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EE205" w14:textId="789E6E3B" w:rsidR="00466AA3" w:rsidRPr="0098629B" w:rsidRDefault="006B4DCF">
      <w:pPr>
        <w:rPr>
          <w:rFonts w:cs="Arial"/>
          <w:caps/>
        </w:rPr>
      </w:pPr>
      <w:r w:rsidRPr="0098629B">
        <w:rPr>
          <w:noProof/>
        </w:rPr>
        <w:drawing>
          <wp:anchor distT="0" distB="0" distL="114300" distR="114300" simplePos="0" relativeHeight="251838976" behindDoc="0" locked="0" layoutInCell="1" allowOverlap="1" wp14:anchorId="5424E78E" wp14:editId="5079B49C">
            <wp:simplePos x="0" y="0"/>
            <wp:positionH relativeFrom="page">
              <wp:posOffset>418888</wp:posOffset>
            </wp:positionH>
            <wp:positionV relativeFrom="page">
              <wp:posOffset>350520</wp:posOffset>
            </wp:positionV>
            <wp:extent cx="1971040" cy="1428115"/>
            <wp:effectExtent l="0" t="0" r="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1"/>
                    <a:stretch>
                      <a:fillRect/>
                    </a:stretch>
                  </pic:blipFill>
                  <pic:spPr bwMode="auto">
                    <a:xfrm>
                      <a:off x="0" y="0"/>
                      <a:ext cx="197104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CC7" w:rsidRPr="0098629B">
        <w:rPr>
          <w:noProof/>
        </w:rPr>
        <w:drawing>
          <wp:anchor distT="0" distB="0" distL="114300" distR="114300" simplePos="0" relativeHeight="251832832" behindDoc="0" locked="0" layoutInCell="1" allowOverlap="1" wp14:anchorId="2F6903F5" wp14:editId="70F7BF9F">
            <wp:simplePos x="0" y="0"/>
            <wp:positionH relativeFrom="page">
              <wp:posOffset>5156518</wp:posOffset>
            </wp:positionH>
            <wp:positionV relativeFrom="page">
              <wp:posOffset>-1891983</wp:posOffset>
            </wp:positionV>
            <wp:extent cx="1713600" cy="1040400"/>
            <wp:effectExtent l="0" t="0" r="1270" b="7620"/>
            <wp:wrapNone/>
            <wp:docPr id="13" name="Image 13" descr="C:\Users\coralie.fondeville\AppData\Local\Microsoft\Windows\INetCache\Content.Word\MIN_Charge_Ville_et_Logement_CMJN-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alie.fondeville\AppData\Local\Microsoft\Windows\INetCache\Content.Word\MIN_Charge_Ville_et_Logement_CMJN-4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3600" cy="104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1B78E" w14:textId="0EACA083" w:rsidR="00466AA3" w:rsidRPr="0098629B" w:rsidRDefault="00466AA3">
      <w:pPr>
        <w:rPr>
          <w:rFonts w:cs="Arial"/>
          <w:caps/>
        </w:rPr>
      </w:pPr>
    </w:p>
    <w:tbl>
      <w:tblPr>
        <w:tblStyle w:val="TableGrid"/>
        <w:tblpPr w:leftFromText="142" w:rightFromText="142" w:vertAnchor="page" w:horzAnchor="margin" w:tblpY="3346"/>
        <w:tblW w:w="1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017"/>
      </w:tblGrid>
      <w:tr w:rsidR="00AC119B" w:rsidRPr="0098629B" w14:paraId="22332619" w14:textId="77777777" w:rsidTr="00F5247D">
        <w:trPr>
          <w:trHeight w:val="12053"/>
        </w:trPr>
        <w:tc>
          <w:tcPr>
            <w:tcW w:w="11017" w:type="dxa"/>
            <w:shd w:val="clear" w:color="auto" w:fill="F2F2F2" w:themeFill="background1" w:themeFillShade="F2"/>
          </w:tcPr>
          <w:p w14:paraId="64AB7EFA" w14:textId="77777777" w:rsidR="00466AA3" w:rsidRPr="0098629B" w:rsidRDefault="00F377C1" w:rsidP="00F5247D">
            <w:pPr>
              <w:rPr>
                <w:rFonts w:cs="Arial"/>
                <w:caps/>
                <w:color w:val="FFFFFF" w:themeColor="background1"/>
                <w14:textFill>
                  <w14:noFill/>
                </w14:textFill>
              </w:rPr>
            </w:pPr>
            <w:r w:rsidRPr="0098629B">
              <w:rPr>
                <w:rFonts w:cs="Arial"/>
                <w:caps/>
                <w:noProof/>
                <w:color w:val="FFFFFF" w:themeColor="background1"/>
                <w14:textFill>
                  <w14:noFill/>
                </w14:textFill>
              </w:rPr>
              <mc:AlternateContent>
                <mc:Choice Requires="wps">
                  <w:drawing>
                    <wp:anchor distT="45720" distB="45720" distL="114300" distR="114300" simplePos="0" relativeHeight="251801088" behindDoc="0" locked="0" layoutInCell="1" allowOverlap="1" wp14:anchorId="1E5E815D" wp14:editId="761BB646">
                      <wp:simplePos x="0" y="0"/>
                      <wp:positionH relativeFrom="column">
                        <wp:posOffset>700405</wp:posOffset>
                      </wp:positionH>
                      <wp:positionV relativeFrom="paragraph">
                        <wp:posOffset>2657475</wp:posOffset>
                      </wp:positionV>
                      <wp:extent cx="5556250" cy="3038475"/>
                      <wp:effectExtent l="0" t="0" r="6350" b="952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038475"/>
                              </a:xfrm>
                              <a:prstGeom prst="rect">
                                <a:avLst/>
                              </a:prstGeom>
                              <a:noFill/>
                              <a:ln w="9525">
                                <a:noFill/>
                                <a:miter lim="800000"/>
                                <a:headEnd/>
                                <a:tailEnd/>
                              </a:ln>
                            </wps:spPr>
                            <wps:txbx>
                              <w:txbxContent>
                                <w:p w14:paraId="53D95E7A" w14:textId="02D6CD42" w:rsidR="007114CC" w:rsidRPr="000C08B6" w:rsidRDefault="007114CC" w:rsidP="006007BA">
                                  <w:pPr>
                                    <w:pStyle w:val="Titrerapport"/>
                                    <w:jc w:val="left"/>
                                    <w:rPr>
                                      <w:rFonts w:ascii="Marianne ExtraBold" w:hAnsi="Marianne ExtraBold"/>
                                      <w:b w:val="0"/>
                                    </w:rPr>
                                  </w:pPr>
                                  <w:r>
                                    <w:rPr>
                                      <w:rFonts w:ascii="Marianne ExtraBold" w:hAnsi="Marianne ExtraBold"/>
                                      <w:b w:val="0"/>
                                    </w:rPr>
                                    <w:t>Cinquième rapport bisannuel de la France</w:t>
                                  </w:r>
                                </w:p>
                                <w:p w14:paraId="550A59D7" w14:textId="6C92F16F" w:rsidR="007114CC" w:rsidRPr="000C08B6" w:rsidRDefault="007114CC" w:rsidP="006007BA">
                                  <w:pPr>
                                    <w:pStyle w:val="Soustitrerapport"/>
                                    <w:jc w:val="left"/>
                                    <w:rPr>
                                      <w:rFonts w:ascii="Marianne Medium" w:hAnsi="Marianne Medium"/>
                                      <w:b w:val="0"/>
                                      <w:i w:val="0"/>
                                    </w:rPr>
                                  </w:pPr>
                                  <w:r>
                                    <w:rPr>
                                      <w:rFonts w:ascii="Marianne Medium" w:hAnsi="Marianne Medium"/>
                                      <w:b w:val="0"/>
                                      <w:i w:val="0"/>
                                    </w:rPr>
                                    <w:t>Convention-cadre des Nations unies sur les changements climatiques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E815D" id="_x0000_t202" coordsize="21600,21600" o:spt="202" path="m,l,21600r21600,l21600,xe">
                      <v:stroke joinstyle="miter"/>
                      <v:path gradientshapeok="t" o:connecttype="rect"/>
                    </v:shapetype>
                    <v:shape id="Zone de texte 2" o:spid="_x0000_s1026" type="#_x0000_t202" style="position:absolute;left:0;text-align:left;margin-left:55.15pt;margin-top:209.25pt;width:437.5pt;height:239.2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" filled="f" stroked="f">
                      <v:textbox inset="0,0,0,0">
                        <w:txbxContent>
                          <w:p w14:paraId="53D95E7A" w14:textId="02D6CD42" w:rsidR="007114CC" w:rsidRPr="000C08B6" w:rsidRDefault="007114CC" w:rsidP="006007BA">
                            <w:pPr>
                              <w:pStyle w:val="Titrerapport"/>
                              <w:jc w:val="left"/>
                              <w:rPr>
                                <w:rFonts w:ascii="Marianne ExtraBold" w:hAnsi="Marianne ExtraBold"/>
                                <w:b w:val="0"/>
                              </w:rPr>
                            </w:pPr>
                            <w:r>
                              <w:rPr>
                                <w:rFonts w:ascii="Marianne ExtraBold" w:hAnsi="Marianne ExtraBold"/>
                                <w:b w:val="0"/>
                              </w:rPr>
                              <w:t>Cinquième rapport bisannuel de la France</w:t>
                            </w:r>
                          </w:p>
                          <w:p w14:paraId="550A59D7" w14:textId="6C92F16F" w:rsidR="007114CC" w:rsidRPr="000C08B6" w:rsidRDefault="007114CC" w:rsidP="006007BA">
                            <w:pPr>
                              <w:pStyle w:val="Soustitrerapport"/>
                              <w:jc w:val="left"/>
                              <w:rPr>
                                <w:rFonts w:ascii="Marianne Medium" w:hAnsi="Marianne Medium"/>
                                <w:b w:val="0"/>
                                <w:i w:val="0"/>
                              </w:rPr>
                            </w:pPr>
                            <w:r>
                              <w:rPr>
                                <w:rFonts w:ascii="Marianne Medium" w:hAnsi="Marianne Medium"/>
                                <w:b w:val="0"/>
                                <w:i w:val="0"/>
                              </w:rPr>
                              <w:t>Convention-cadre des Nations unies sur les changements climatiques</w:t>
                            </w:r>
                          </w:p>
                        </w:txbxContent>
                      </v:textbox>
                      <w10:wrap type="square"/>
                    </v:shape>
                  </w:pict>
                </mc:Fallback>
              </mc:AlternateContent>
            </w:r>
            <w:r w:rsidR="004B70B4" w:rsidRPr="0098629B">
              <w:rPr>
                <w:noProof/>
              </w:rPr>
              <mc:AlternateContent>
                <mc:Choice Requires="wps">
                  <w:drawing>
                    <wp:anchor distT="0" distB="0" distL="114300" distR="114300" simplePos="0" relativeHeight="251809280" behindDoc="0" locked="0" layoutInCell="1" allowOverlap="1" wp14:anchorId="46324752" wp14:editId="11E6E6FD">
                      <wp:simplePos x="0" y="0"/>
                      <wp:positionH relativeFrom="column">
                        <wp:posOffset>2969027</wp:posOffset>
                      </wp:positionH>
                      <wp:positionV relativeFrom="paragraph">
                        <wp:posOffset>5087900</wp:posOffset>
                      </wp:positionV>
                      <wp:extent cx="876911" cy="6910070"/>
                      <wp:effectExtent l="5715" t="0" r="5715" b="5715"/>
                      <wp:wrapNone/>
                      <wp:docPr id="389" name="Rectangle 389"/>
                      <wp:cNvGraphicFramePr/>
                      <a:graphic xmlns:a="http://schemas.openxmlformats.org/drawingml/2006/main">
                        <a:graphicData uri="http://schemas.microsoft.com/office/word/2010/wordprocessingShape">
                          <wps:wsp>
                            <wps:cNvSpPr/>
                            <wps:spPr>
                              <a:xfrm rot="5400000">
                                <a:off x="0" y="0"/>
                                <a:ext cx="876911" cy="6910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97938" id="Rectangle 389" o:spid="_x0000_s1026" style="position:absolute;margin-left:233.8pt;margin-top:400.6pt;width:69.05pt;height:544.1pt;rotation:9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" fillcolor="white [3212]" stroked="f" strokeweight="2pt"/>
                  </w:pict>
                </mc:Fallback>
              </mc:AlternateContent>
            </w:r>
          </w:p>
        </w:tc>
      </w:tr>
    </w:tbl>
    <w:p w14:paraId="1F49486D" w14:textId="68A258FB" w:rsidR="005B6CB5" w:rsidRPr="0098629B" w:rsidRDefault="005B6CB5">
      <w:pPr>
        <w:rPr>
          <w:rFonts w:eastAsiaTheme="majorEastAsia" w:cstheme="majorBidi"/>
          <w:spacing w:val="-10"/>
          <w:kern w:val="28"/>
          <w:sz w:val="52"/>
          <w:szCs w:val="56"/>
        </w:rPr>
      </w:pPr>
      <w:r w:rsidRPr="0098629B">
        <w:br w:type="page"/>
      </w:r>
    </w:p>
    <w:p w14:paraId="596C520A" w14:textId="0383C463" w:rsidR="00246278" w:rsidRPr="0098629B" w:rsidRDefault="00246278" w:rsidP="00250DCB">
      <w:pPr>
        <w:pStyle w:val="Prambule"/>
        <w:ind w:left="0"/>
        <w:sectPr w:rsidR="00246278" w:rsidRPr="0098629B" w:rsidSect="00777BD5">
          <w:footerReference w:type="default" r:id="rId13"/>
          <w:headerReference w:type="first" r:id="rId14"/>
          <w:pgSz w:w="11906" w:h="16838" w:code="9"/>
          <w:pgMar w:top="907" w:right="907" w:bottom="1361" w:left="907" w:header="284" w:footer="284" w:gutter="0"/>
          <w:cols w:space="708"/>
          <w:titlePg/>
          <w:docGrid w:linePitch="360"/>
        </w:sectPr>
      </w:pPr>
    </w:p>
    <w:sdt>
      <w:sdtPr>
        <w:rPr>
          <w:rFonts w:ascii="Marianne" w:eastAsia="Times New Roman" w:hAnsi="Marianne" w:cs="Times New Roman"/>
          <w:color w:val="auto"/>
          <w:sz w:val="21"/>
          <w:szCs w:val="24"/>
        </w:rPr>
        <w:id w:val="239524238"/>
        <w:docPartObj>
          <w:docPartGallery w:val="Table of Contents"/>
          <w:docPartUnique/>
        </w:docPartObj>
      </w:sdtPr>
      <w:sdtEndPr>
        <w:rPr>
          <w:b/>
          <w:bCs/>
          <w:sz w:val="22"/>
        </w:rPr>
      </w:sdtEndPr>
      <w:sdtContent>
        <w:p w14:paraId="17650CD6" w14:textId="77777777" w:rsidR="000F7B26" w:rsidRDefault="000F7B26">
          <w:pPr>
            <w:pStyle w:val="TOCHeading"/>
            <w:rPr>
              <w:rFonts w:ascii="Marianne" w:eastAsia="Times New Roman" w:hAnsi="Marianne" w:cs="Times New Roman"/>
              <w:color w:val="auto"/>
              <w:sz w:val="21"/>
              <w:szCs w:val="24"/>
            </w:rPr>
          </w:pPr>
        </w:p>
        <w:p w14:paraId="0EB1B186" w14:textId="77777777" w:rsidR="000F7B26" w:rsidRDefault="000F7B26">
          <w:pPr>
            <w:spacing w:line="240" w:lineRule="atLeast"/>
            <w:jc w:val="left"/>
            <w:rPr>
              <w:sz w:val="21"/>
            </w:rPr>
          </w:pPr>
          <w:r>
            <w:rPr>
              <w:sz w:val="21"/>
            </w:rPr>
            <w:br w:type="page"/>
          </w:r>
        </w:p>
        <w:p w14:paraId="39075F62" w14:textId="1AAA34A1" w:rsidR="003D55E6" w:rsidRPr="0098629B" w:rsidRDefault="003D55E6">
          <w:pPr>
            <w:pStyle w:val="TOCHeading"/>
          </w:pPr>
          <w:r w:rsidRPr="0098629B">
            <w:lastRenderedPageBreak/>
            <w:t>Table des matières</w:t>
          </w:r>
        </w:p>
        <w:p w14:paraId="2A0ADB35" w14:textId="67CECD13" w:rsidR="00332D6C" w:rsidRDefault="003D55E6">
          <w:pPr>
            <w:pStyle w:val="TOC1"/>
            <w:rPr>
              <w:rFonts w:eastAsiaTheme="minorEastAsia" w:cstheme="minorBidi"/>
              <w:b w:val="0"/>
              <w:bCs w:val="0"/>
              <w:caps w:val="0"/>
              <w:noProof/>
              <w:szCs w:val="22"/>
            </w:rPr>
          </w:pPr>
          <w:r w:rsidRPr="0098629B">
            <w:fldChar w:fldCharType="begin"/>
          </w:r>
          <w:r w:rsidRPr="0098629B">
            <w:instrText xml:space="preserve"> TOC \o "1-3" \h \z \u </w:instrText>
          </w:r>
          <w:r w:rsidRPr="0098629B">
            <w:fldChar w:fldCharType="separate"/>
          </w:r>
          <w:hyperlink w:anchor="_Toc138344571" w:history="1">
            <w:r w:rsidR="00332D6C" w:rsidRPr="009F465B">
              <w:rPr>
                <w:rStyle w:val="Hyperlink"/>
                <w:rFonts w:eastAsiaTheme="majorEastAsia"/>
                <w:noProof/>
              </w:rPr>
              <w:t>Chapitre I – L’inventaire de gaz à effet de serre</w:t>
            </w:r>
            <w:r w:rsidR="00332D6C">
              <w:rPr>
                <w:noProof/>
                <w:webHidden/>
              </w:rPr>
              <w:tab/>
            </w:r>
            <w:r w:rsidR="00332D6C">
              <w:rPr>
                <w:noProof/>
                <w:webHidden/>
              </w:rPr>
              <w:fldChar w:fldCharType="begin"/>
            </w:r>
            <w:r w:rsidR="00332D6C">
              <w:rPr>
                <w:noProof/>
                <w:webHidden/>
              </w:rPr>
              <w:instrText xml:space="preserve"> PAGEREF _Toc138344571 \h </w:instrText>
            </w:r>
            <w:r w:rsidR="00332D6C">
              <w:rPr>
                <w:noProof/>
                <w:webHidden/>
              </w:rPr>
            </w:r>
            <w:r w:rsidR="00332D6C">
              <w:rPr>
                <w:noProof/>
                <w:webHidden/>
              </w:rPr>
              <w:fldChar w:fldCharType="separate"/>
            </w:r>
            <w:r w:rsidR="00332D6C">
              <w:rPr>
                <w:noProof/>
                <w:webHidden/>
              </w:rPr>
              <w:t>9</w:t>
            </w:r>
            <w:r w:rsidR="00332D6C">
              <w:rPr>
                <w:noProof/>
                <w:webHidden/>
              </w:rPr>
              <w:fldChar w:fldCharType="end"/>
            </w:r>
          </w:hyperlink>
        </w:p>
        <w:p w14:paraId="7D8842C9" w14:textId="197250CA" w:rsidR="00332D6C" w:rsidRDefault="00757301">
          <w:pPr>
            <w:pStyle w:val="TOC2"/>
            <w:tabs>
              <w:tab w:val="left" w:pos="800"/>
              <w:tab w:val="right" w:leader="dot" w:pos="9854"/>
            </w:tabs>
            <w:rPr>
              <w:rFonts w:eastAsiaTheme="minorEastAsia" w:cstheme="minorBidi"/>
              <w:smallCaps w:val="0"/>
              <w:noProof/>
              <w:szCs w:val="22"/>
            </w:rPr>
          </w:pPr>
          <w:hyperlink w:anchor="_Toc138344572" w:history="1">
            <w:r w:rsidR="00332D6C" w:rsidRPr="009F465B">
              <w:rPr>
                <w:rStyle w:val="Hyperlink"/>
                <w:rFonts w:eastAsiaTheme="majorEastAsia"/>
                <w:noProof/>
              </w:rPr>
              <w:t>A.</w:t>
            </w:r>
            <w:r w:rsidR="00332D6C">
              <w:rPr>
                <w:rFonts w:eastAsiaTheme="minorEastAsia" w:cstheme="minorBidi"/>
                <w:smallCaps w:val="0"/>
                <w:noProof/>
                <w:szCs w:val="22"/>
              </w:rPr>
              <w:tab/>
            </w:r>
            <w:r w:rsidR="00332D6C" w:rsidRPr="009F465B">
              <w:rPr>
                <w:rStyle w:val="Hyperlink"/>
                <w:rFonts w:eastAsiaTheme="majorEastAsia"/>
                <w:noProof/>
              </w:rPr>
              <w:t>Evolution depuis 1990</w:t>
            </w:r>
            <w:r w:rsidR="00332D6C">
              <w:rPr>
                <w:noProof/>
                <w:webHidden/>
              </w:rPr>
              <w:tab/>
            </w:r>
            <w:r w:rsidR="00332D6C">
              <w:rPr>
                <w:noProof/>
                <w:webHidden/>
              </w:rPr>
              <w:fldChar w:fldCharType="begin"/>
            </w:r>
            <w:r w:rsidR="00332D6C">
              <w:rPr>
                <w:noProof/>
                <w:webHidden/>
              </w:rPr>
              <w:instrText xml:space="preserve"> PAGEREF _Toc138344572 \h </w:instrText>
            </w:r>
            <w:r w:rsidR="00332D6C">
              <w:rPr>
                <w:noProof/>
                <w:webHidden/>
              </w:rPr>
            </w:r>
            <w:r w:rsidR="00332D6C">
              <w:rPr>
                <w:noProof/>
                <w:webHidden/>
              </w:rPr>
              <w:fldChar w:fldCharType="separate"/>
            </w:r>
            <w:r w:rsidR="00332D6C">
              <w:rPr>
                <w:noProof/>
                <w:webHidden/>
              </w:rPr>
              <w:t>9</w:t>
            </w:r>
            <w:r w:rsidR="00332D6C">
              <w:rPr>
                <w:noProof/>
                <w:webHidden/>
              </w:rPr>
              <w:fldChar w:fldCharType="end"/>
            </w:r>
          </w:hyperlink>
        </w:p>
        <w:p w14:paraId="6F77249C" w14:textId="0C7D1707" w:rsidR="00332D6C" w:rsidRDefault="00757301">
          <w:pPr>
            <w:pStyle w:val="TOC3"/>
            <w:tabs>
              <w:tab w:val="left" w:pos="1000"/>
              <w:tab w:val="right" w:leader="dot" w:pos="9854"/>
            </w:tabs>
            <w:rPr>
              <w:rFonts w:eastAsiaTheme="minorEastAsia" w:cstheme="minorBidi"/>
              <w:i w:val="0"/>
              <w:iCs w:val="0"/>
              <w:noProof/>
              <w:szCs w:val="22"/>
            </w:rPr>
          </w:pPr>
          <w:hyperlink w:anchor="_Toc138344573" w:history="1">
            <w:r w:rsidR="00332D6C" w:rsidRPr="009F465B">
              <w:rPr>
                <w:rStyle w:val="Hyperlink"/>
                <w:rFonts w:ascii="Marianne" w:eastAsiaTheme="majorEastAsia" w:hAnsi="Marianne"/>
                <w:noProof/>
              </w:rPr>
              <w:t>A.1.</w:t>
            </w:r>
            <w:r w:rsidR="00332D6C">
              <w:rPr>
                <w:rFonts w:eastAsiaTheme="minorEastAsia" w:cstheme="minorBidi"/>
                <w:i w:val="0"/>
                <w:iCs w:val="0"/>
                <w:noProof/>
                <w:szCs w:val="22"/>
              </w:rPr>
              <w:tab/>
            </w:r>
            <w:r w:rsidR="00332D6C" w:rsidRPr="009F465B">
              <w:rPr>
                <w:rStyle w:val="Hyperlink"/>
                <w:rFonts w:eastAsiaTheme="majorEastAsia"/>
                <w:noProof/>
              </w:rPr>
              <w:t>Émissions au périmètre Convention de 1990 à 2020</w:t>
            </w:r>
            <w:r w:rsidR="00332D6C">
              <w:rPr>
                <w:noProof/>
                <w:webHidden/>
              </w:rPr>
              <w:tab/>
            </w:r>
            <w:r w:rsidR="00332D6C">
              <w:rPr>
                <w:noProof/>
                <w:webHidden/>
              </w:rPr>
              <w:fldChar w:fldCharType="begin"/>
            </w:r>
            <w:r w:rsidR="00332D6C">
              <w:rPr>
                <w:noProof/>
                <w:webHidden/>
              </w:rPr>
              <w:instrText xml:space="preserve"> PAGEREF _Toc138344573 \h </w:instrText>
            </w:r>
            <w:r w:rsidR="00332D6C">
              <w:rPr>
                <w:noProof/>
                <w:webHidden/>
              </w:rPr>
            </w:r>
            <w:r w:rsidR="00332D6C">
              <w:rPr>
                <w:noProof/>
                <w:webHidden/>
              </w:rPr>
              <w:fldChar w:fldCharType="separate"/>
            </w:r>
            <w:r w:rsidR="00332D6C">
              <w:rPr>
                <w:noProof/>
                <w:webHidden/>
              </w:rPr>
              <w:t>9</w:t>
            </w:r>
            <w:r w:rsidR="00332D6C">
              <w:rPr>
                <w:noProof/>
                <w:webHidden/>
              </w:rPr>
              <w:fldChar w:fldCharType="end"/>
            </w:r>
          </w:hyperlink>
        </w:p>
        <w:p w14:paraId="48C45DCC" w14:textId="60C8E3E2" w:rsidR="00332D6C" w:rsidRDefault="00757301">
          <w:pPr>
            <w:pStyle w:val="TOC3"/>
            <w:tabs>
              <w:tab w:val="left" w:pos="1200"/>
              <w:tab w:val="right" w:leader="dot" w:pos="9854"/>
            </w:tabs>
            <w:rPr>
              <w:rFonts w:eastAsiaTheme="minorEastAsia" w:cstheme="minorBidi"/>
              <w:i w:val="0"/>
              <w:iCs w:val="0"/>
              <w:noProof/>
              <w:szCs w:val="22"/>
            </w:rPr>
          </w:pPr>
          <w:hyperlink w:anchor="_Toc138344574" w:history="1">
            <w:r w:rsidR="00332D6C" w:rsidRPr="009F465B">
              <w:rPr>
                <w:rStyle w:val="Hyperlink"/>
                <w:rFonts w:ascii="Marianne" w:eastAsiaTheme="majorEastAsia" w:hAnsi="Marianne"/>
                <w:noProof/>
              </w:rPr>
              <w:t>A.2.</w:t>
            </w:r>
            <w:r w:rsidR="00332D6C">
              <w:rPr>
                <w:rFonts w:eastAsiaTheme="minorEastAsia" w:cstheme="minorBidi"/>
                <w:i w:val="0"/>
                <w:iCs w:val="0"/>
                <w:noProof/>
                <w:szCs w:val="22"/>
              </w:rPr>
              <w:tab/>
            </w:r>
            <w:r w:rsidR="00332D6C" w:rsidRPr="009F465B">
              <w:rPr>
                <w:rStyle w:val="Hyperlink"/>
                <w:rFonts w:eastAsiaTheme="majorEastAsia"/>
                <w:noProof/>
              </w:rPr>
              <w:t>Emissions au périmètre «</w:t>
            </w:r>
            <w:r w:rsidR="00332D6C" w:rsidRPr="009F465B">
              <w:rPr>
                <w:rStyle w:val="Hyperlink"/>
                <w:rFonts w:ascii="Calibri" w:eastAsiaTheme="majorEastAsia" w:hAnsi="Calibri" w:cs="Calibri"/>
                <w:noProof/>
              </w:rPr>
              <w:t> </w:t>
            </w:r>
            <w:r w:rsidR="00332D6C" w:rsidRPr="009F465B">
              <w:rPr>
                <w:rStyle w:val="Hyperlink"/>
                <w:rFonts w:eastAsiaTheme="majorEastAsia"/>
                <w:noProof/>
              </w:rPr>
              <w:t>Kyoto</w:t>
            </w:r>
            <w:r w:rsidR="00332D6C" w:rsidRPr="009F465B">
              <w:rPr>
                <w:rStyle w:val="Hyperlink"/>
                <w:rFonts w:ascii="Calibri" w:eastAsiaTheme="majorEastAsia" w:hAnsi="Calibri" w:cs="Calibri"/>
                <w:noProof/>
              </w:rPr>
              <w:t> </w:t>
            </w:r>
            <w:r w:rsidR="00332D6C" w:rsidRPr="009F465B">
              <w:rPr>
                <w:rStyle w:val="Hyperlink"/>
                <w:rFonts w:ascii="Marianne" w:eastAsiaTheme="majorEastAsia" w:hAnsi="Marianne" w:cs="Marianne"/>
                <w:noProof/>
              </w:rPr>
              <w:t>»</w:t>
            </w:r>
            <w:r w:rsidR="00332D6C" w:rsidRPr="009F465B">
              <w:rPr>
                <w:rStyle w:val="Hyperlink"/>
                <w:rFonts w:eastAsiaTheme="majorEastAsia"/>
                <w:noProof/>
              </w:rPr>
              <w:t xml:space="preserve"> de 1990 </w:t>
            </w:r>
            <w:r w:rsidR="00332D6C" w:rsidRPr="009F465B">
              <w:rPr>
                <w:rStyle w:val="Hyperlink"/>
                <w:rFonts w:ascii="Marianne" w:eastAsiaTheme="majorEastAsia" w:hAnsi="Marianne" w:cs="Marianne"/>
                <w:noProof/>
              </w:rPr>
              <w:t>à</w:t>
            </w:r>
            <w:r w:rsidR="00332D6C" w:rsidRPr="009F465B">
              <w:rPr>
                <w:rStyle w:val="Hyperlink"/>
                <w:rFonts w:eastAsiaTheme="majorEastAsia"/>
                <w:noProof/>
              </w:rPr>
              <w:t xml:space="preserve"> 2020</w:t>
            </w:r>
            <w:r w:rsidR="00332D6C">
              <w:rPr>
                <w:noProof/>
                <w:webHidden/>
              </w:rPr>
              <w:tab/>
            </w:r>
            <w:r w:rsidR="00332D6C">
              <w:rPr>
                <w:noProof/>
                <w:webHidden/>
              </w:rPr>
              <w:fldChar w:fldCharType="begin"/>
            </w:r>
            <w:r w:rsidR="00332D6C">
              <w:rPr>
                <w:noProof/>
                <w:webHidden/>
              </w:rPr>
              <w:instrText xml:space="preserve"> PAGEREF _Toc138344574 \h </w:instrText>
            </w:r>
            <w:r w:rsidR="00332D6C">
              <w:rPr>
                <w:noProof/>
                <w:webHidden/>
              </w:rPr>
            </w:r>
            <w:r w:rsidR="00332D6C">
              <w:rPr>
                <w:noProof/>
                <w:webHidden/>
              </w:rPr>
              <w:fldChar w:fldCharType="separate"/>
            </w:r>
            <w:r w:rsidR="00332D6C">
              <w:rPr>
                <w:noProof/>
                <w:webHidden/>
              </w:rPr>
              <w:t>10</w:t>
            </w:r>
            <w:r w:rsidR="00332D6C">
              <w:rPr>
                <w:noProof/>
                <w:webHidden/>
              </w:rPr>
              <w:fldChar w:fldCharType="end"/>
            </w:r>
          </w:hyperlink>
        </w:p>
        <w:p w14:paraId="304F2EF5" w14:textId="54335861" w:rsidR="00332D6C" w:rsidRDefault="00757301">
          <w:pPr>
            <w:pStyle w:val="TOC2"/>
            <w:tabs>
              <w:tab w:val="left" w:pos="600"/>
              <w:tab w:val="right" w:leader="dot" w:pos="9854"/>
            </w:tabs>
            <w:rPr>
              <w:rFonts w:eastAsiaTheme="minorEastAsia" w:cstheme="minorBidi"/>
              <w:smallCaps w:val="0"/>
              <w:noProof/>
              <w:szCs w:val="22"/>
            </w:rPr>
          </w:pPr>
          <w:hyperlink w:anchor="_Toc138344575" w:history="1">
            <w:r w:rsidR="00332D6C" w:rsidRPr="009F465B">
              <w:rPr>
                <w:rStyle w:val="Hyperlink"/>
                <w:rFonts w:eastAsiaTheme="majorEastAsia"/>
                <w:noProof/>
              </w:rPr>
              <w:t>B.</w:t>
            </w:r>
            <w:r w:rsidR="00332D6C">
              <w:rPr>
                <w:rFonts w:eastAsiaTheme="minorEastAsia" w:cstheme="minorBidi"/>
                <w:smallCaps w:val="0"/>
                <w:noProof/>
                <w:szCs w:val="22"/>
              </w:rPr>
              <w:tab/>
            </w:r>
            <w:r w:rsidR="00332D6C" w:rsidRPr="009F465B">
              <w:rPr>
                <w:rStyle w:val="Hyperlink"/>
                <w:rFonts w:eastAsiaTheme="majorEastAsia"/>
                <w:noProof/>
              </w:rPr>
              <w:t>Evolution par gaz depuis 1990 au périmètre Kyoto</w:t>
            </w:r>
            <w:r w:rsidR="00332D6C">
              <w:rPr>
                <w:noProof/>
                <w:webHidden/>
              </w:rPr>
              <w:tab/>
            </w:r>
            <w:r w:rsidR="00332D6C">
              <w:rPr>
                <w:noProof/>
                <w:webHidden/>
              </w:rPr>
              <w:fldChar w:fldCharType="begin"/>
            </w:r>
            <w:r w:rsidR="00332D6C">
              <w:rPr>
                <w:noProof/>
                <w:webHidden/>
              </w:rPr>
              <w:instrText xml:space="preserve"> PAGEREF _Toc138344575 \h </w:instrText>
            </w:r>
            <w:r w:rsidR="00332D6C">
              <w:rPr>
                <w:noProof/>
                <w:webHidden/>
              </w:rPr>
            </w:r>
            <w:r w:rsidR="00332D6C">
              <w:rPr>
                <w:noProof/>
                <w:webHidden/>
              </w:rPr>
              <w:fldChar w:fldCharType="separate"/>
            </w:r>
            <w:r w:rsidR="00332D6C">
              <w:rPr>
                <w:noProof/>
                <w:webHidden/>
              </w:rPr>
              <w:t>11</w:t>
            </w:r>
            <w:r w:rsidR="00332D6C">
              <w:rPr>
                <w:noProof/>
                <w:webHidden/>
              </w:rPr>
              <w:fldChar w:fldCharType="end"/>
            </w:r>
          </w:hyperlink>
        </w:p>
        <w:p w14:paraId="68C92A4B" w14:textId="2209D6ED" w:rsidR="00332D6C" w:rsidRDefault="00757301">
          <w:pPr>
            <w:pStyle w:val="TOC3"/>
            <w:tabs>
              <w:tab w:val="left" w:pos="1000"/>
              <w:tab w:val="right" w:leader="dot" w:pos="9854"/>
            </w:tabs>
            <w:rPr>
              <w:rFonts w:eastAsiaTheme="minorEastAsia" w:cstheme="minorBidi"/>
              <w:i w:val="0"/>
              <w:iCs w:val="0"/>
              <w:noProof/>
              <w:szCs w:val="22"/>
            </w:rPr>
          </w:pPr>
          <w:hyperlink w:anchor="_Toc138344576" w:history="1">
            <w:r w:rsidR="00332D6C" w:rsidRPr="009F465B">
              <w:rPr>
                <w:rStyle w:val="Hyperlink"/>
                <w:rFonts w:ascii="Marianne" w:eastAsiaTheme="majorEastAsia" w:hAnsi="Marianne"/>
                <w:noProof/>
              </w:rPr>
              <w:t>B.1.</w:t>
            </w:r>
            <w:r w:rsidR="00332D6C">
              <w:rPr>
                <w:rFonts w:eastAsiaTheme="minorEastAsia" w:cstheme="minorBidi"/>
                <w:i w:val="0"/>
                <w:iCs w:val="0"/>
                <w:noProof/>
                <w:szCs w:val="22"/>
              </w:rPr>
              <w:tab/>
            </w:r>
            <w:r w:rsidR="00332D6C" w:rsidRPr="009F465B">
              <w:rPr>
                <w:rStyle w:val="Hyperlink"/>
                <w:rFonts w:eastAsiaTheme="majorEastAsia"/>
                <w:noProof/>
              </w:rPr>
              <w:t>Emissions de CO</w:t>
            </w:r>
            <w:r w:rsidR="00332D6C" w:rsidRPr="009F465B">
              <w:rPr>
                <w:rStyle w:val="Hyperlink"/>
                <w:rFonts w:eastAsiaTheme="majorEastAsia"/>
                <w:noProof/>
                <w:vertAlign w:val="subscript"/>
              </w:rPr>
              <w:t>2</w:t>
            </w:r>
            <w:r w:rsidR="00332D6C">
              <w:rPr>
                <w:noProof/>
                <w:webHidden/>
              </w:rPr>
              <w:tab/>
            </w:r>
            <w:r w:rsidR="00332D6C">
              <w:rPr>
                <w:noProof/>
                <w:webHidden/>
              </w:rPr>
              <w:fldChar w:fldCharType="begin"/>
            </w:r>
            <w:r w:rsidR="00332D6C">
              <w:rPr>
                <w:noProof/>
                <w:webHidden/>
              </w:rPr>
              <w:instrText xml:space="preserve"> PAGEREF _Toc138344576 \h </w:instrText>
            </w:r>
            <w:r w:rsidR="00332D6C">
              <w:rPr>
                <w:noProof/>
                <w:webHidden/>
              </w:rPr>
            </w:r>
            <w:r w:rsidR="00332D6C">
              <w:rPr>
                <w:noProof/>
                <w:webHidden/>
              </w:rPr>
              <w:fldChar w:fldCharType="separate"/>
            </w:r>
            <w:r w:rsidR="00332D6C">
              <w:rPr>
                <w:noProof/>
                <w:webHidden/>
              </w:rPr>
              <w:t>13</w:t>
            </w:r>
            <w:r w:rsidR="00332D6C">
              <w:rPr>
                <w:noProof/>
                <w:webHidden/>
              </w:rPr>
              <w:fldChar w:fldCharType="end"/>
            </w:r>
          </w:hyperlink>
        </w:p>
        <w:p w14:paraId="08686F6B" w14:textId="27E6F6E0" w:rsidR="00332D6C" w:rsidRDefault="00757301">
          <w:pPr>
            <w:pStyle w:val="TOC3"/>
            <w:tabs>
              <w:tab w:val="left" w:pos="1000"/>
              <w:tab w:val="right" w:leader="dot" w:pos="9854"/>
            </w:tabs>
            <w:rPr>
              <w:rFonts w:eastAsiaTheme="minorEastAsia" w:cstheme="minorBidi"/>
              <w:i w:val="0"/>
              <w:iCs w:val="0"/>
              <w:noProof/>
              <w:szCs w:val="22"/>
            </w:rPr>
          </w:pPr>
          <w:hyperlink w:anchor="_Toc138344577" w:history="1">
            <w:r w:rsidR="00332D6C" w:rsidRPr="009F465B">
              <w:rPr>
                <w:rStyle w:val="Hyperlink"/>
                <w:rFonts w:ascii="Marianne" w:eastAsiaTheme="majorEastAsia" w:hAnsi="Marianne"/>
                <w:noProof/>
              </w:rPr>
              <w:t>B.2.</w:t>
            </w:r>
            <w:r w:rsidR="00332D6C">
              <w:rPr>
                <w:rFonts w:eastAsiaTheme="minorEastAsia" w:cstheme="minorBidi"/>
                <w:i w:val="0"/>
                <w:iCs w:val="0"/>
                <w:noProof/>
                <w:szCs w:val="22"/>
              </w:rPr>
              <w:tab/>
            </w:r>
            <w:r w:rsidR="00332D6C" w:rsidRPr="009F465B">
              <w:rPr>
                <w:rStyle w:val="Hyperlink"/>
                <w:rFonts w:eastAsiaTheme="majorEastAsia"/>
                <w:noProof/>
              </w:rPr>
              <w:t>Emissions de méthane (CH</w:t>
            </w:r>
            <w:r w:rsidR="00332D6C" w:rsidRPr="009F465B">
              <w:rPr>
                <w:rStyle w:val="Hyperlink"/>
                <w:rFonts w:eastAsiaTheme="majorEastAsia"/>
                <w:noProof/>
                <w:vertAlign w:val="subscript"/>
              </w:rPr>
              <w:t>4</w:t>
            </w:r>
            <w:r w:rsidR="00332D6C" w:rsidRPr="009F465B">
              <w:rPr>
                <w:rStyle w:val="Hyperlink"/>
                <w:rFonts w:eastAsiaTheme="majorEastAsia"/>
                <w:noProof/>
              </w:rPr>
              <w:t>)</w:t>
            </w:r>
            <w:r w:rsidR="00332D6C">
              <w:rPr>
                <w:noProof/>
                <w:webHidden/>
              </w:rPr>
              <w:tab/>
            </w:r>
            <w:r w:rsidR="00332D6C">
              <w:rPr>
                <w:noProof/>
                <w:webHidden/>
              </w:rPr>
              <w:fldChar w:fldCharType="begin"/>
            </w:r>
            <w:r w:rsidR="00332D6C">
              <w:rPr>
                <w:noProof/>
                <w:webHidden/>
              </w:rPr>
              <w:instrText xml:space="preserve"> PAGEREF _Toc138344577 \h </w:instrText>
            </w:r>
            <w:r w:rsidR="00332D6C">
              <w:rPr>
                <w:noProof/>
                <w:webHidden/>
              </w:rPr>
            </w:r>
            <w:r w:rsidR="00332D6C">
              <w:rPr>
                <w:noProof/>
                <w:webHidden/>
              </w:rPr>
              <w:fldChar w:fldCharType="separate"/>
            </w:r>
            <w:r w:rsidR="00332D6C">
              <w:rPr>
                <w:noProof/>
                <w:webHidden/>
              </w:rPr>
              <w:t>14</w:t>
            </w:r>
            <w:r w:rsidR="00332D6C">
              <w:rPr>
                <w:noProof/>
                <w:webHidden/>
              </w:rPr>
              <w:fldChar w:fldCharType="end"/>
            </w:r>
          </w:hyperlink>
        </w:p>
        <w:p w14:paraId="29870C20" w14:textId="12489846" w:rsidR="00332D6C" w:rsidRDefault="00757301">
          <w:pPr>
            <w:pStyle w:val="TOC3"/>
            <w:tabs>
              <w:tab w:val="left" w:pos="1000"/>
              <w:tab w:val="right" w:leader="dot" w:pos="9854"/>
            </w:tabs>
            <w:rPr>
              <w:rFonts w:eastAsiaTheme="minorEastAsia" w:cstheme="minorBidi"/>
              <w:i w:val="0"/>
              <w:iCs w:val="0"/>
              <w:noProof/>
              <w:szCs w:val="22"/>
            </w:rPr>
          </w:pPr>
          <w:hyperlink w:anchor="_Toc138344578" w:history="1">
            <w:r w:rsidR="00332D6C" w:rsidRPr="009F465B">
              <w:rPr>
                <w:rStyle w:val="Hyperlink"/>
                <w:rFonts w:ascii="Marianne" w:eastAsiaTheme="majorEastAsia" w:hAnsi="Marianne"/>
                <w:noProof/>
              </w:rPr>
              <w:t>B.3.</w:t>
            </w:r>
            <w:r w:rsidR="00332D6C">
              <w:rPr>
                <w:rFonts w:eastAsiaTheme="minorEastAsia" w:cstheme="minorBidi"/>
                <w:i w:val="0"/>
                <w:iCs w:val="0"/>
                <w:noProof/>
                <w:szCs w:val="22"/>
              </w:rPr>
              <w:tab/>
            </w:r>
            <w:r w:rsidR="00332D6C" w:rsidRPr="009F465B">
              <w:rPr>
                <w:rStyle w:val="Hyperlink"/>
                <w:rFonts w:eastAsiaTheme="majorEastAsia"/>
                <w:noProof/>
              </w:rPr>
              <w:t>Répartition par secteurs des émissions de protoxyde d’azote (N</w:t>
            </w:r>
            <w:r w:rsidR="00332D6C" w:rsidRPr="009F465B">
              <w:rPr>
                <w:rStyle w:val="Hyperlink"/>
                <w:rFonts w:eastAsiaTheme="majorEastAsia"/>
                <w:noProof/>
                <w:vertAlign w:val="subscript"/>
              </w:rPr>
              <w:t>2</w:t>
            </w:r>
            <w:r w:rsidR="00332D6C" w:rsidRPr="009F465B">
              <w:rPr>
                <w:rStyle w:val="Hyperlink"/>
                <w:rFonts w:eastAsiaTheme="majorEastAsia"/>
                <w:noProof/>
              </w:rPr>
              <w:t>O)</w:t>
            </w:r>
            <w:r w:rsidR="00332D6C">
              <w:rPr>
                <w:noProof/>
                <w:webHidden/>
              </w:rPr>
              <w:tab/>
            </w:r>
            <w:r w:rsidR="00332D6C">
              <w:rPr>
                <w:noProof/>
                <w:webHidden/>
              </w:rPr>
              <w:fldChar w:fldCharType="begin"/>
            </w:r>
            <w:r w:rsidR="00332D6C">
              <w:rPr>
                <w:noProof/>
                <w:webHidden/>
              </w:rPr>
              <w:instrText xml:space="preserve"> PAGEREF _Toc138344578 \h </w:instrText>
            </w:r>
            <w:r w:rsidR="00332D6C">
              <w:rPr>
                <w:noProof/>
                <w:webHidden/>
              </w:rPr>
            </w:r>
            <w:r w:rsidR="00332D6C">
              <w:rPr>
                <w:noProof/>
                <w:webHidden/>
              </w:rPr>
              <w:fldChar w:fldCharType="separate"/>
            </w:r>
            <w:r w:rsidR="00332D6C">
              <w:rPr>
                <w:noProof/>
                <w:webHidden/>
              </w:rPr>
              <w:t>15</w:t>
            </w:r>
            <w:r w:rsidR="00332D6C">
              <w:rPr>
                <w:noProof/>
                <w:webHidden/>
              </w:rPr>
              <w:fldChar w:fldCharType="end"/>
            </w:r>
          </w:hyperlink>
        </w:p>
        <w:p w14:paraId="3CE90091" w14:textId="6756CF09" w:rsidR="00332D6C" w:rsidRDefault="00757301">
          <w:pPr>
            <w:pStyle w:val="TOC3"/>
            <w:tabs>
              <w:tab w:val="left" w:pos="1000"/>
              <w:tab w:val="right" w:leader="dot" w:pos="9854"/>
            </w:tabs>
            <w:rPr>
              <w:rFonts w:eastAsiaTheme="minorEastAsia" w:cstheme="minorBidi"/>
              <w:i w:val="0"/>
              <w:iCs w:val="0"/>
              <w:noProof/>
              <w:szCs w:val="22"/>
            </w:rPr>
          </w:pPr>
          <w:hyperlink w:anchor="_Toc138344579" w:history="1">
            <w:r w:rsidR="00332D6C" w:rsidRPr="009F465B">
              <w:rPr>
                <w:rStyle w:val="Hyperlink"/>
                <w:rFonts w:ascii="Marianne" w:eastAsiaTheme="majorEastAsia" w:hAnsi="Marianne"/>
                <w:noProof/>
              </w:rPr>
              <w:t>B.4.</w:t>
            </w:r>
            <w:r w:rsidR="00332D6C">
              <w:rPr>
                <w:rFonts w:eastAsiaTheme="minorEastAsia" w:cstheme="minorBidi"/>
                <w:i w:val="0"/>
                <w:iCs w:val="0"/>
                <w:noProof/>
                <w:szCs w:val="22"/>
              </w:rPr>
              <w:tab/>
            </w:r>
            <w:r w:rsidR="00332D6C" w:rsidRPr="009F465B">
              <w:rPr>
                <w:rStyle w:val="Hyperlink"/>
                <w:rFonts w:eastAsiaTheme="majorEastAsia"/>
                <w:noProof/>
              </w:rPr>
              <w:t>Répartition des émissions par secteur : les gaz fluorés (PFC, HFC SF</w:t>
            </w:r>
            <w:r w:rsidR="00332D6C" w:rsidRPr="009F465B">
              <w:rPr>
                <w:rStyle w:val="Hyperlink"/>
                <w:rFonts w:eastAsiaTheme="majorEastAsia"/>
                <w:noProof/>
                <w:vertAlign w:val="subscript"/>
              </w:rPr>
              <w:t>6</w:t>
            </w:r>
            <w:r w:rsidR="00332D6C" w:rsidRPr="009F465B">
              <w:rPr>
                <w:rStyle w:val="Hyperlink"/>
                <w:rFonts w:eastAsiaTheme="majorEastAsia"/>
                <w:noProof/>
              </w:rPr>
              <w:t xml:space="preserve"> et NF</w:t>
            </w:r>
            <w:r w:rsidR="00332D6C" w:rsidRPr="009F465B">
              <w:rPr>
                <w:rStyle w:val="Hyperlink"/>
                <w:rFonts w:eastAsiaTheme="majorEastAsia"/>
                <w:noProof/>
                <w:vertAlign w:val="subscript"/>
              </w:rPr>
              <w:t>3</w:t>
            </w:r>
            <w:r w:rsidR="00332D6C" w:rsidRPr="009F465B">
              <w:rPr>
                <w:rStyle w:val="Hyperlink"/>
                <w:rFonts w:eastAsiaTheme="majorEastAsia"/>
                <w:noProof/>
              </w:rPr>
              <w:t>)</w:t>
            </w:r>
            <w:r w:rsidR="00332D6C">
              <w:rPr>
                <w:noProof/>
                <w:webHidden/>
              </w:rPr>
              <w:tab/>
            </w:r>
            <w:r w:rsidR="00332D6C">
              <w:rPr>
                <w:noProof/>
                <w:webHidden/>
              </w:rPr>
              <w:fldChar w:fldCharType="begin"/>
            </w:r>
            <w:r w:rsidR="00332D6C">
              <w:rPr>
                <w:noProof/>
                <w:webHidden/>
              </w:rPr>
              <w:instrText xml:space="preserve"> PAGEREF _Toc138344579 \h </w:instrText>
            </w:r>
            <w:r w:rsidR="00332D6C">
              <w:rPr>
                <w:noProof/>
                <w:webHidden/>
              </w:rPr>
            </w:r>
            <w:r w:rsidR="00332D6C">
              <w:rPr>
                <w:noProof/>
                <w:webHidden/>
              </w:rPr>
              <w:fldChar w:fldCharType="separate"/>
            </w:r>
            <w:r w:rsidR="00332D6C">
              <w:rPr>
                <w:noProof/>
                <w:webHidden/>
              </w:rPr>
              <w:t>16</w:t>
            </w:r>
            <w:r w:rsidR="00332D6C">
              <w:rPr>
                <w:noProof/>
                <w:webHidden/>
              </w:rPr>
              <w:fldChar w:fldCharType="end"/>
            </w:r>
          </w:hyperlink>
        </w:p>
        <w:p w14:paraId="51C78574" w14:textId="1C11192D" w:rsidR="00332D6C" w:rsidRDefault="00757301">
          <w:pPr>
            <w:pStyle w:val="TOC2"/>
            <w:tabs>
              <w:tab w:val="left" w:pos="600"/>
              <w:tab w:val="right" w:leader="dot" w:pos="9854"/>
            </w:tabs>
            <w:rPr>
              <w:rFonts w:eastAsiaTheme="minorEastAsia" w:cstheme="minorBidi"/>
              <w:smallCaps w:val="0"/>
              <w:noProof/>
              <w:szCs w:val="22"/>
            </w:rPr>
          </w:pPr>
          <w:hyperlink w:anchor="_Toc138344580" w:history="1">
            <w:r w:rsidR="00332D6C" w:rsidRPr="009F465B">
              <w:rPr>
                <w:rStyle w:val="Hyperlink"/>
                <w:rFonts w:eastAsiaTheme="majorEastAsia"/>
                <w:noProof/>
              </w:rPr>
              <w:t>C.</w:t>
            </w:r>
            <w:r w:rsidR="00332D6C">
              <w:rPr>
                <w:rFonts w:eastAsiaTheme="minorEastAsia" w:cstheme="minorBidi"/>
                <w:smallCaps w:val="0"/>
                <w:noProof/>
                <w:szCs w:val="22"/>
              </w:rPr>
              <w:tab/>
            </w:r>
            <w:r w:rsidR="00332D6C" w:rsidRPr="009F465B">
              <w:rPr>
                <w:rStyle w:val="Hyperlink"/>
                <w:rFonts w:eastAsiaTheme="majorEastAsia"/>
                <w:noProof/>
              </w:rPr>
              <w:t>Le système national d’inventaire</w:t>
            </w:r>
            <w:r w:rsidR="00332D6C">
              <w:rPr>
                <w:noProof/>
                <w:webHidden/>
              </w:rPr>
              <w:tab/>
            </w:r>
            <w:r w:rsidR="00332D6C">
              <w:rPr>
                <w:noProof/>
                <w:webHidden/>
              </w:rPr>
              <w:fldChar w:fldCharType="begin"/>
            </w:r>
            <w:r w:rsidR="00332D6C">
              <w:rPr>
                <w:noProof/>
                <w:webHidden/>
              </w:rPr>
              <w:instrText xml:space="preserve"> PAGEREF _Toc138344580 \h </w:instrText>
            </w:r>
            <w:r w:rsidR="00332D6C">
              <w:rPr>
                <w:noProof/>
                <w:webHidden/>
              </w:rPr>
            </w:r>
            <w:r w:rsidR="00332D6C">
              <w:rPr>
                <w:noProof/>
                <w:webHidden/>
              </w:rPr>
              <w:fldChar w:fldCharType="separate"/>
            </w:r>
            <w:r w:rsidR="00332D6C">
              <w:rPr>
                <w:noProof/>
                <w:webHidden/>
              </w:rPr>
              <w:t>17</w:t>
            </w:r>
            <w:r w:rsidR="00332D6C">
              <w:rPr>
                <w:noProof/>
                <w:webHidden/>
              </w:rPr>
              <w:fldChar w:fldCharType="end"/>
            </w:r>
          </w:hyperlink>
        </w:p>
        <w:p w14:paraId="6E57979E" w14:textId="6F334BAC" w:rsidR="00332D6C" w:rsidRDefault="00757301">
          <w:pPr>
            <w:pStyle w:val="TOC1"/>
            <w:rPr>
              <w:rFonts w:eastAsiaTheme="minorEastAsia" w:cstheme="minorBidi"/>
              <w:b w:val="0"/>
              <w:bCs w:val="0"/>
              <w:caps w:val="0"/>
              <w:noProof/>
              <w:szCs w:val="22"/>
            </w:rPr>
          </w:pPr>
          <w:hyperlink w:anchor="_Toc138344581" w:history="1">
            <w:r w:rsidR="00332D6C" w:rsidRPr="009F465B">
              <w:rPr>
                <w:rStyle w:val="Hyperlink"/>
                <w:rFonts w:eastAsiaTheme="majorEastAsia"/>
                <w:noProof/>
              </w:rPr>
              <w:t>Chapitre II – Les objectifs chiffrés de réduction des émissions</w:t>
            </w:r>
            <w:r w:rsidR="00332D6C">
              <w:rPr>
                <w:noProof/>
                <w:webHidden/>
              </w:rPr>
              <w:tab/>
            </w:r>
            <w:r w:rsidR="00332D6C">
              <w:rPr>
                <w:noProof/>
                <w:webHidden/>
              </w:rPr>
              <w:fldChar w:fldCharType="begin"/>
            </w:r>
            <w:r w:rsidR="00332D6C">
              <w:rPr>
                <w:noProof/>
                <w:webHidden/>
              </w:rPr>
              <w:instrText xml:space="preserve"> PAGEREF _Toc138344581 \h </w:instrText>
            </w:r>
            <w:r w:rsidR="00332D6C">
              <w:rPr>
                <w:noProof/>
                <w:webHidden/>
              </w:rPr>
            </w:r>
            <w:r w:rsidR="00332D6C">
              <w:rPr>
                <w:noProof/>
                <w:webHidden/>
              </w:rPr>
              <w:fldChar w:fldCharType="separate"/>
            </w:r>
            <w:r w:rsidR="00332D6C">
              <w:rPr>
                <w:noProof/>
                <w:webHidden/>
              </w:rPr>
              <w:t>18</w:t>
            </w:r>
            <w:r w:rsidR="00332D6C">
              <w:rPr>
                <w:noProof/>
                <w:webHidden/>
              </w:rPr>
              <w:fldChar w:fldCharType="end"/>
            </w:r>
          </w:hyperlink>
        </w:p>
        <w:p w14:paraId="3160787E" w14:textId="61948253" w:rsidR="00332D6C" w:rsidRDefault="00757301">
          <w:pPr>
            <w:pStyle w:val="TOC2"/>
            <w:tabs>
              <w:tab w:val="left" w:pos="800"/>
              <w:tab w:val="right" w:leader="dot" w:pos="9854"/>
            </w:tabs>
            <w:rPr>
              <w:rFonts w:eastAsiaTheme="minorEastAsia" w:cstheme="minorBidi"/>
              <w:smallCaps w:val="0"/>
              <w:noProof/>
              <w:szCs w:val="22"/>
            </w:rPr>
          </w:pPr>
          <w:hyperlink w:anchor="_Toc138344582" w:history="1">
            <w:r w:rsidR="00332D6C" w:rsidRPr="009F465B">
              <w:rPr>
                <w:rStyle w:val="Hyperlink"/>
                <w:rFonts w:eastAsiaTheme="majorEastAsia"/>
                <w:noProof/>
              </w:rPr>
              <w:t>A.</w:t>
            </w:r>
            <w:r w:rsidR="00332D6C">
              <w:rPr>
                <w:rFonts w:eastAsiaTheme="minorEastAsia" w:cstheme="minorBidi"/>
                <w:smallCaps w:val="0"/>
                <w:noProof/>
                <w:szCs w:val="22"/>
              </w:rPr>
              <w:tab/>
            </w:r>
            <w:r w:rsidR="00332D6C" w:rsidRPr="009F465B">
              <w:rPr>
                <w:rStyle w:val="Hyperlink"/>
                <w:rFonts w:eastAsiaTheme="majorEastAsia"/>
                <w:noProof/>
              </w:rPr>
              <w:t>Présentation de l’objectif, des gaz et secteurs couverts</w:t>
            </w:r>
            <w:r w:rsidR="00332D6C">
              <w:rPr>
                <w:noProof/>
                <w:webHidden/>
              </w:rPr>
              <w:tab/>
            </w:r>
            <w:r w:rsidR="00332D6C">
              <w:rPr>
                <w:noProof/>
                <w:webHidden/>
              </w:rPr>
              <w:fldChar w:fldCharType="begin"/>
            </w:r>
            <w:r w:rsidR="00332D6C">
              <w:rPr>
                <w:noProof/>
                <w:webHidden/>
              </w:rPr>
              <w:instrText xml:space="preserve"> PAGEREF _Toc138344582 \h </w:instrText>
            </w:r>
            <w:r w:rsidR="00332D6C">
              <w:rPr>
                <w:noProof/>
                <w:webHidden/>
              </w:rPr>
            </w:r>
            <w:r w:rsidR="00332D6C">
              <w:rPr>
                <w:noProof/>
                <w:webHidden/>
              </w:rPr>
              <w:fldChar w:fldCharType="separate"/>
            </w:r>
            <w:r w:rsidR="00332D6C">
              <w:rPr>
                <w:noProof/>
                <w:webHidden/>
              </w:rPr>
              <w:t>18</w:t>
            </w:r>
            <w:r w:rsidR="00332D6C">
              <w:rPr>
                <w:noProof/>
                <w:webHidden/>
              </w:rPr>
              <w:fldChar w:fldCharType="end"/>
            </w:r>
          </w:hyperlink>
        </w:p>
        <w:p w14:paraId="5CFB496C" w14:textId="7D61B240" w:rsidR="00332D6C" w:rsidRDefault="00757301">
          <w:pPr>
            <w:pStyle w:val="TOC3"/>
            <w:tabs>
              <w:tab w:val="left" w:pos="1000"/>
              <w:tab w:val="right" w:leader="dot" w:pos="9854"/>
            </w:tabs>
            <w:rPr>
              <w:rFonts w:eastAsiaTheme="minorEastAsia" w:cstheme="minorBidi"/>
              <w:i w:val="0"/>
              <w:iCs w:val="0"/>
              <w:noProof/>
              <w:szCs w:val="22"/>
            </w:rPr>
          </w:pPr>
          <w:hyperlink w:anchor="_Toc138344583" w:history="1">
            <w:r w:rsidR="00332D6C" w:rsidRPr="009F465B">
              <w:rPr>
                <w:rStyle w:val="Hyperlink"/>
                <w:rFonts w:ascii="Marianne" w:eastAsiaTheme="majorEastAsia" w:hAnsi="Marianne"/>
                <w:noProof/>
              </w:rPr>
              <w:t>A.1.</w:t>
            </w:r>
            <w:r w:rsidR="00332D6C">
              <w:rPr>
                <w:rFonts w:eastAsiaTheme="minorEastAsia" w:cstheme="minorBidi"/>
                <w:i w:val="0"/>
                <w:iCs w:val="0"/>
                <w:noProof/>
                <w:szCs w:val="22"/>
              </w:rPr>
              <w:tab/>
            </w:r>
            <w:r w:rsidR="00332D6C" w:rsidRPr="009F465B">
              <w:rPr>
                <w:rStyle w:val="Hyperlink"/>
                <w:rFonts w:eastAsiaTheme="majorEastAsia"/>
                <w:noProof/>
              </w:rPr>
              <w:t>Au niveau européen</w:t>
            </w:r>
            <w:r w:rsidR="00332D6C">
              <w:rPr>
                <w:noProof/>
                <w:webHidden/>
              </w:rPr>
              <w:tab/>
            </w:r>
            <w:r w:rsidR="00332D6C">
              <w:rPr>
                <w:noProof/>
                <w:webHidden/>
              </w:rPr>
              <w:fldChar w:fldCharType="begin"/>
            </w:r>
            <w:r w:rsidR="00332D6C">
              <w:rPr>
                <w:noProof/>
                <w:webHidden/>
              </w:rPr>
              <w:instrText xml:space="preserve"> PAGEREF _Toc138344583 \h </w:instrText>
            </w:r>
            <w:r w:rsidR="00332D6C">
              <w:rPr>
                <w:noProof/>
                <w:webHidden/>
              </w:rPr>
            </w:r>
            <w:r w:rsidR="00332D6C">
              <w:rPr>
                <w:noProof/>
                <w:webHidden/>
              </w:rPr>
              <w:fldChar w:fldCharType="separate"/>
            </w:r>
            <w:r w:rsidR="00332D6C">
              <w:rPr>
                <w:noProof/>
                <w:webHidden/>
              </w:rPr>
              <w:t>18</w:t>
            </w:r>
            <w:r w:rsidR="00332D6C">
              <w:rPr>
                <w:noProof/>
                <w:webHidden/>
              </w:rPr>
              <w:fldChar w:fldCharType="end"/>
            </w:r>
          </w:hyperlink>
        </w:p>
        <w:p w14:paraId="2F3C914C" w14:textId="0BE84D2D" w:rsidR="00332D6C" w:rsidRDefault="00757301">
          <w:pPr>
            <w:pStyle w:val="TOC3"/>
            <w:tabs>
              <w:tab w:val="left" w:pos="1200"/>
              <w:tab w:val="right" w:leader="dot" w:pos="9854"/>
            </w:tabs>
            <w:rPr>
              <w:rFonts w:eastAsiaTheme="minorEastAsia" w:cstheme="minorBidi"/>
              <w:i w:val="0"/>
              <w:iCs w:val="0"/>
              <w:noProof/>
              <w:szCs w:val="22"/>
            </w:rPr>
          </w:pPr>
          <w:hyperlink w:anchor="_Toc138344584" w:history="1">
            <w:r w:rsidR="00332D6C" w:rsidRPr="009F465B">
              <w:rPr>
                <w:rStyle w:val="Hyperlink"/>
                <w:rFonts w:ascii="Marianne" w:eastAsiaTheme="majorEastAsia" w:hAnsi="Marianne"/>
                <w:noProof/>
              </w:rPr>
              <w:t>A.2.</w:t>
            </w:r>
            <w:r w:rsidR="00332D6C">
              <w:rPr>
                <w:rFonts w:eastAsiaTheme="minorEastAsia" w:cstheme="minorBidi"/>
                <w:i w:val="0"/>
                <w:iCs w:val="0"/>
                <w:noProof/>
                <w:szCs w:val="22"/>
              </w:rPr>
              <w:tab/>
            </w:r>
            <w:r w:rsidR="00332D6C" w:rsidRPr="009F465B">
              <w:rPr>
                <w:rStyle w:val="Hyperlink"/>
                <w:rFonts w:eastAsiaTheme="majorEastAsia"/>
                <w:noProof/>
              </w:rPr>
              <w:t>Au niveau national</w:t>
            </w:r>
            <w:r w:rsidR="00332D6C">
              <w:rPr>
                <w:noProof/>
                <w:webHidden/>
              </w:rPr>
              <w:tab/>
            </w:r>
            <w:r w:rsidR="00332D6C">
              <w:rPr>
                <w:noProof/>
                <w:webHidden/>
              </w:rPr>
              <w:fldChar w:fldCharType="begin"/>
            </w:r>
            <w:r w:rsidR="00332D6C">
              <w:rPr>
                <w:noProof/>
                <w:webHidden/>
              </w:rPr>
              <w:instrText xml:space="preserve"> PAGEREF _Toc138344584 \h </w:instrText>
            </w:r>
            <w:r w:rsidR="00332D6C">
              <w:rPr>
                <w:noProof/>
                <w:webHidden/>
              </w:rPr>
            </w:r>
            <w:r w:rsidR="00332D6C">
              <w:rPr>
                <w:noProof/>
                <w:webHidden/>
              </w:rPr>
              <w:fldChar w:fldCharType="separate"/>
            </w:r>
            <w:r w:rsidR="00332D6C">
              <w:rPr>
                <w:noProof/>
                <w:webHidden/>
              </w:rPr>
              <w:t>20</w:t>
            </w:r>
            <w:r w:rsidR="00332D6C">
              <w:rPr>
                <w:noProof/>
                <w:webHidden/>
              </w:rPr>
              <w:fldChar w:fldCharType="end"/>
            </w:r>
          </w:hyperlink>
        </w:p>
        <w:p w14:paraId="419EDB03" w14:textId="46459258" w:rsidR="00332D6C" w:rsidRDefault="00757301">
          <w:pPr>
            <w:pStyle w:val="TOC3"/>
            <w:tabs>
              <w:tab w:val="left" w:pos="1200"/>
              <w:tab w:val="right" w:leader="dot" w:pos="9854"/>
            </w:tabs>
            <w:rPr>
              <w:rFonts w:eastAsiaTheme="minorEastAsia" w:cstheme="minorBidi"/>
              <w:i w:val="0"/>
              <w:iCs w:val="0"/>
              <w:noProof/>
              <w:szCs w:val="22"/>
            </w:rPr>
          </w:pPr>
          <w:hyperlink w:anchor="_Toc138344585" w:history="1">
            <w:r w:rsidR="00332D6C" w:rsidRPr="009F465B">
              <w:rPr>
                <w:rStyle w:val="Hyperlink"/>
                <w:rFonts w:ascii="Marianne" w:eastAsiaTheme="majorEastAsia" w:hAnsi="Marianne"/>
                <w:noProof/>
              </w:rPr>
              <w:t>A.3.</w:t>
            </w:r>
            <w:r w:rsidR="00332D6C">
              <w:rPr>
                <w:rFonts w:eastAsiaTheme="minorEastAsia" w:cstheme="minorBidi"/>
                <w:i w:val="0"/>
                <w:iCs w:val="0"/>
                <w:noProof/>
                <w:szCs w:val="22"/>
              </w:rPr>
              <w:tab/>
            </w:r>
            <w:r w:rsidR="00332D6C" w:rsidRPr="009F465B">
              <w:rPr>
                <w:rStyle w:val="Hyperlink"/>
                <w:rFonts w:eastAsiaTheme="majorEastAsia"/>
                <w:noProof/>
              </w:rPr>
              <w:t>Point sur l’atteinte des objectifs de la France pour 2020</w:t>
            </w:r>
            <w:r w:rsidR="00332D6C">
              <w:rPr>
                <w:noProof/>
                <w:webHidden/>
              </w:rPr>
              <w:tab/>
            </w:r>
            <w:r w:rsidR="00332D6C">
              <w:rPr>
                <w:noProof/>
                <w:webHidden/>
              </w:rPr>
              <w:fldChar w:fldCharType="begin"/>
            </w:r>
            <w:r w:rsidR="00332D6C">
              <w:rPr>
                <w:noProof/>
                <w:webHidden/>
              </w:rPr>
              <w:instrText xml:space="preserve"> PAGEREF _Toc138344585 \h </w:instrText>
            </w:r>
            <w:r w:rsidR="00332D6C">
              <w:rPr>
                <w:noProof/>
                <w:webHidden/>
              </w:rPr>
            </w:r>
            <w:r w:rsidR="00332D6C">
              <w:rPr>
                <w:noProof/>
                <w:webHidden/>
              </w:rPr>
              <w:fldChar w:fldCharType="separate"/>
            </w:r>
            <w:r w:rsidR="00332D6C">
              <w:rPr>
                <w:noProof/>
                <w:webHidden/>
              </w:rPr>
              <w:t>23</w:t>
            </w:r>
            <w:r w:rsidR="00332D6C">
              <w:rPr>
                <w:noProof/>
                <w:webHidden/>
              </w:rPr>
              <w:fldChar w:fldCharType="end"/>
            </w:r>
          </w:hyperlink>
        </w:p>
        <w:p w14:paraId="0644EA18" w14:textId="4235112B" w:rsidR="00332D6C" w:rsidRDefault="00757301">
          <w:pPr>
            <w:pStyle w:val="TOC2"/>
            <w:tabs>
              <w:tab w:val="left" w:pos="600"/>
              <w:tab w:val="right" w:leader="dot" w:pos="9854"/>
            </w:tabs>
            <w:rPr>
              <w:rFonts w:eastAsiaTheme="minorEastAsia" w:cstheme="minorBidi"/>
              <w:smallCaps w:val="0"/>
              <w:noProof/>
              <w:szCs w:val="22"/>
            </w:rPr>
          </w:pPr>
          <w:hyperlink w:anchor="_Toc138344586" w:history="1">
            <w:r w:rsidR="00332D6C" w:rsidRPr="009F465B">
              <w:rPr>
                <w:rStyle w:val="Hyperlink"/>
                <w:rFonts w:eastAsiaTheme="majorEastAsia"/>
                <w:noProof/>
              </w:rPr>
              <w:t>B.</w:t>
            </w:r>
            <w:r w:rsidR="00332D6C">
              <w:rPr>
                <w:rFonts w:eastAsiaTheme="minorEastAsia" w:cstheme="minorBidi"/>
                <w:smallCaps w:val="0"/>
                <w:noProof/>
                <w:szCs w:val="22"/>
              </w:rPr>
              <w:tab/>
            </w:r>
            <w:r w:rsidR="00332D6C" w:rsidRPr="009F465B">
              <w:rPr>
                <w:rStyle w:val="Hyperlink"/>
                <w:rFonts w:eastAsiaTheme="majorEastAsia"/>
                <w:noProof/>
              </w:rPr>
              <w:t>Recours aux mécanismes de marché</w:t>
            </w:r>
            <w:r w:rsidR="00332D6C">
              <w:rPr>
                <w:noProof/>
                <w:webHidden/>
              </w:rPr>
              <w:tab/>
            </w:r>
            <w:r w:rsidR="00332D6C">
              <w:rPr>
                <w:noProof/>
                <w:webHidden/>
              </w:rPr>
              <w:fldChar w:fldCharType="begin"/>
            </w:r>
            <w:r w:rsidR="00332D6C">
              <w:rPr>
                <w:noProof/>
                <w:webHidden/>
              </w:rPr>
              <w:instrText xml:space="preserve"> PAGEREF _Toc138344586 \h </w:instrText>
            </w:r>
            <w:r w:rsidR="00332D6C">
              <w:rPr>
                <w:noProof/>
                <w:webHidden/>
              </w:rPr>
            </w:r>
            <w:r w:rsidR="00332D6C">
              <w:rPr>
                <w:noProof/>
                <w:webHidden/>
              </w:rPr>
              <w:fldChar w:fldCharType="separate"/>
            </w:r>
            <w:r w:rsidR="00332D6C">
              <w:rPr>
                <w:noProof/>
                <w:webHidden/>
              </w:rPr>
              <w:t>28</w:t>
            </w:r>
            <w:r w:rsidR="00332D6C">
              <w:rPr>
                <w:noProof/>
                <w:webHidden/>
              </w:rPr>
              <w:fldChar w:fldCharType="end"/>
            </w:r>
          </w:hyperlink>
        </w:p>
        <w:p w14:paraId="1CD552B1" w14:textId="0FFE2D01" w:rsidR="00332D6C" w:rsidRDefault="00757301">
          <w:pPr>
            <w:pStyle w:val="TOC1"/>
            <w:rPr>
              <w:rFonts w:eastAsiaTheme="minorEastAsia" w:cstheme="minorBidi"/>
              <w:b w:val="0"/>
              <w:bCs w:val="0"/>
              <w:caps w:val="0"/>
              <w:noProof/>
              <w:szCs w:val="22"/>
            </w:rPr>
          </w:pPr>
          <w:hyperlink w:anchor="_Toc138344587" w:history="1">
            <w:r w:rsidR="00332D6C" w:rsidRPr="009F465B">
              <w:rPr>
                <w:rStyle w:val="Hyperlink"/>
                <w:rFonts w:eastAsiaTheme="majorEastAsia"/>
                <w:noProof/>
              </w:rPr>
              <w:t>Chapitre III – Progrès dans l’atteinte des objectifs chiffrés et informations pertinentes – actions d’atténuation</w:t>
            </w:r>
            <w:r w:rsidR="00332D6C">
              <w:rPr>
                <w:noProof/>
                <w:webHidden/>
              </w:rPr>
              <w:tab/>
            </w:r>
            <w:r w:rsidR="00332D6C">
              <w:rPr>
                <w:noProof/>
                <w:webHidden/>
              </w:rPr>
              <w:fldChar w:fldCharType="begin"/>
            </w:r>
            <w:r w:rsidR="00332D6C">
              <w:rPr>
                <w:noProof/>
                <w:webHidden/>
              </w:rPr>
              <w:instrText xml:space="preserve"> PAGEREF _Toc138344587 \h </w:instrText>
            </w:r>
            <w:r w:rsidR="00332D6C">
              <w:rPr>
                <w:noProof/>
                <w:webHidden/>
              </w:rPr>
            </w:r>
            <w:r w:rsidR="00332D6C">
              <w:rPr>
                <w:noProof/>
                <w:webHidden/>
              </w:rPr>
              <w:fldChar w:fldCharType="separate"/>
            </w:r>
            <w:r w:rsidR="00332D6C">
              <w:rPr>
                <w:noProof/>
                <w:webHidden/>
              </w:rPr>
              <w:t>31</w:t>
            </w:r>
            <w:r w:rsidR="00332D6C">
              <w:rPr>
                <w:noProof/>
                <w:webHidden/>
              </w:rPr>
              <w:fldChar w:fldCharType="end"/>
            </w:r>
          </w:hyperlink>
        </w:p>
        <w:p w14:paraId="3ED21E14" w14:textId="28225DEF" w:rsidR="00332D6C" w:rsidRDefault="00757301">
          <w:pPr>
            <w:pStyle w:val="TOC2"/>
            <w:tabs>
              <w:tab w:val="left" w:pos="800"/>
              <w:tab w:val="right" w:leader="dot" w:pos="9854"/>
            </w:tabs>
            <w:rPr>
              <w:rFonts w:eastAsiaTheme="minorEastAsia" w:cstheme="minorBidi"/>
              <w:smallCaps w:val="0"/>
              <w:noProof/>
              <w:szCs w:val="22"/>
            </w:rPr>
          </w:pPr>
          <w:hyperlink w:anchor="_Toc138344588" w:history="1">
            <w:r w:rsidR="00332D6C" w:rsidRPr="009F465B">
              <w:rPr>
                <w:rStyle w:val="Hyperlink"/>
                <w:rFonts w:eastAsiaTheme="majorEastAsia"/>
                <w:noProof/>
              </w:rPr>
              <w:t>A.</w:t>
            </w:r>
            <w:r w:rsidR="00332D6C">
              <w:rPr>
                <w:rFonts w:eastAsiaTheme="minorEastAsia" w:cstheme="minorBidi"/>
                <w:smallCaps w:val="0"/>
                <w:noProof/>
                <w:szCs w:val="22"/>
              </w:rPr>
              <w:tab/>
            </w:r>
            <w:r w:rsidR="00332D6C" w:rsidRPr="009F465B">
              <w:rPr>
                <w:rStyle w:val="Hyperlink"/>
                <w:rFonts w:eastAsiaTheme="majorEastAsia"/>
                <w:noProof/>
              </w:rPr>
              <w:t>Introduction</w:t>
            </w:r>
            <w:r w:rsidR="00332D6C">
              <w:rPr>
                <w:noProof/>
                <w:webHidden/>
              </w:rPr>
              <w:tab/>
            </w:r>
            <w:r w:rsidR="00332D6C">
              <w:rPr>
                <w:noProof/>
                <w:webHidden/>
              </w:rPr>
              <w:fldChar w:fldCharType="begin"/>
            </w:r>
            <w:r w:rsidR="00332D6C">
              <w:rPr>
                <w:noProof/>
                <w:webHidden/>
              </w:rPr>
              <w:instrText xml:space="preserve"> PAGEREF _Toc138344588 \h </w:instrText>
            </w:r>
            <w:r w:rsidR="00332D6C">
              <w:rPr>
                <w:noProof/>
                <w:webHidden/>
              </w:rPr>
            </w:r>
            <w:r w:rsidR="00332D6C">
              <w:rPr>
                <w:noProof/>
                <w:webHidden/>
              </w:rPr>
              <w:fldChar w:fldCharType="separate"/>
            </w:r>
            <w:r w:rsidR="00332D6C">
              <w:rPr>
                <w:noProof/>
                <w:webHidden/>
              </w:rPr>
              <w:t>31</w:t>
            </w:r>
            <w:r w:rsidR="00332D6C">
              <w:rPr>
                <w:noProof/>
                <w:webHidden/>
              </w:rPr>
              <w:fldChar w:fldCharType="end"/>
            </w:r>
          </w:hyperlink>
        </w:p>
        <w:p w14:paraId="1DD8AD93" w14:textId="2A863E69" w:rsidR="00332D6C" w:rsidRDefault="00757301">
          <w:pPr>
            <w:pStyle w:val="TOC2"/>
            <w:tabs>
              <w:tab w:val="left" w:pos="600"/>
              <w:tab w:val="right" w:leader="dot" w:pos="9854"/>
            </w:tabs>
            <w:rPr>
              <w:rFonts w:eastAsiaTheme="minorEastAsia" w:cstheme="minorBidi"/>
              <w:smallCaps w:val="0"/>
              <w:noProof/>
              <w:szCs w:val="22"/>
            </w:rPr>
          </w:pPr>
          <w:hyperlink w:anchor="_Toc138344589" w:history="1">
            <w:r w:rsidR="00332D6C" w:rsidRPr="009F465B">
              <w:rPr>
                <w:rStyle w:val="Hyperlink"/>
                <w:rFonts w:eastAsiaTheme="majorEastAsia"/>
                <w:noProof/>
              </w:rPr>
              <w:t>B.</w:t>
            </w:r>
            <w:r w:rsidR="00332D6C">
              <w:rPr>
                <w:rFonts w:eastAsiaTheme="minorEastAsia" w:cstheme="minorBidi"/>
                <w:smallCaps w:val="0"/>
                <w:noProof/>
                <w:szCs w:val="22"/>
              </w:rPr>
              <w:tab/>
            </w:r>
            <w:r w:rsidR="00332D6C" w:rsidRPr="009F465B">
              <w:rPr>
                <w:rStyle w:val="Hyperlink"/>
                <w:rFonts w:eastAsiaTheme="majorEastAsia"/>
                <w:noProof/>
              </w:rPr>
              <w:t>Conception des politiques et mesures et évolutions institutionnelles pour l’atteinte des objectifs climatiques</w:t>
            </w:r>
            <w:r w:rsidR="00332D6C">
              <w:rPr>
                <w:noProof/>
                <w:webHidden/>
              </w:rPr>
              <w:tab/>
            </w:r>
            <w:r w:rsidR="00332D6C">
              <w:rPr>
                <w:noProof/>
                <w:webHidden/>
              </w:rPr>
              <w:fldChar w:fldCharType="begin"/>
            </w:r>
            <w:r w:rsidR="00332D6C">
              <w:rPr>
                <w:noProof/>
                <w:webHidden/>
              </w:rPr>
              <w:instrText xml:space="preserve"> PAGEREF _Toc138344589 \h </w:instrText>
            </w:r>
            <w:r w:rsidR="00332D6C">
              <w:rPr>
                <w:noProof/>
                <w:webHidden/>
              </w:rPr>
            </w:r>
            <w:r w:rsidR="00332D6C">
              <w:rPr>
                <w:noProof/>
                <w:webHidden/>
              </w:rPr>
              <w:fldChar w:fldCharType="separate"/>
            </w:r>
            <w:r w:rsidR="00332D6C">
              <w:rPr>
                <w:noProof/>
                <w:webHidden/>
              </w:rPr>
              <w:t>31</w:t>
            </w:r>
            <w:r w:rsidR="00332D6C">
              <w:rPr>
                <w:noProof/>
                <w:webHidden/>
              </w:rPr>
              <w:fldChar w:fldCharType="end"/>
            </w:r>
          </w:hyperlink>
        </w:p>
        <w:p w14:paraId="1C879EBF" w14:textId="34356353" w:rsidR="00332D6C" w:rsidRDefault="00757301">
          <w:pPr>
            <w:pStyle w:val="TOC3"/>
            <w:tabs>
              <w:tab w:val="left" w:pos="1000"/>
              <w:tab w:val="right" w:leader="dot" w:pos="9854"/>
            </w:tabs>
            <w:rPr>
              <w:rFonts w:eastAsiaTheme="minorEastAsia" w:cstheme="minorBidi"/>
              <w:i w:val="0"/>
              <w:iCs w:val="0"/>
              <w:noProof/>
              <w:szCs w:val="22"/>
            </w:rPr>
          </w:pPr>
          <w:hyperlink w:anchor="_Toc138344590" w:history="1">
            <w:r w:rsidR="00332D6C" w:rsidRPr="009F465B">
              <w:rPr>
                <w:rStyle w:val="Hyperlink"/>
                <w:rFonts w:ascii="Marianne" w:eastAsiaTheme="majorEastAsia" w:hAnsi="Marianne"/>
                <w:noProof/>
              </w:rPr>
              <w:t>B.1.</w:t>
            </w:r>
            <w:r w:rsidR="00332D6C">
              <w:rPr>
                <w:rFonts w:eastAsiaTheme="minorEastAsia" w:cstheme="minorBidi"/>
                <w:i w:val="0"/>
                <w:iCs w:val="0"/>
                <w:noProof/>
                <w:szCs w:val="22"/>
              </w:rPr>
              <w:tab/>
            </w:r>
            <w:r w:rsidR="00332D6C" w:rsidRPr="009F465B">
              <w:rPr>
                <w:rStyle w:val="Hyperlink"/>
                <w:rFonts w:eastAsiaTheme="majorEastAsia"/>
                <w:noProof/>
              </w:rPr>
              <w:t>Les fondements institutionnels</w:t>
            </w:r>
            <w:r w:rsidR="00332D6C">
              <w:rPr>
                <w:noProof/>
                <w:webHidden/>
              </w:rPr>
              <w:tab/>
            </w:r>
            <w:r w:rsidR="00332D6C">
              <w:rPr>
                <w:noProof/>
                <w:webHidden/>
              </w:rPr>
              <w:fldChar w:fldCharType="begin"/>
            </w:r>
            <w:r w:rsidR="00332D6C">
              <w:rPr>
                <w:noProof/>
                <w:webHidden/>
              </w:rPr>
              <w:instrText xml:space="preserve"> PAGEREF _Toc138344590 \h </w:instrText>
            </w:r>
            <w:r w:rsidR="00332D6C">
              <w:rPr>
                <w:noProof/>
                <w:webHidden/>
              </w:rPr>
            </w:r>
            <w:r w:rsidR="00332D6C">
              <w:rPr>
                <w:noProof/>
                <w:webHidden/>
              </w:rPr>
              <w:fldChar w:fldCharType="separate"/>
            </w:r>
            <w:r w:rsidR="00332D6C">
              <w:rPr>
                <w:noProof/>
                <w:webHidden/>
              </w:rPr>
              <w:t>31</w:t>
            </w:r>
            <w:r w:rsidR="00332D6C">
              <w:rPr>
                <w:noProof/>
                <w:webHidden/>
              </w:rPr>
              <w:fldChar w:fldCharType="end"/>
            </w:r>
          </w:hyperlink>
        </w:p>
        <w:p w14:paraId="19E1BDA9" w14:textId="6A9698E3" w:rsidR="00332D6C" w:rsidRDefault="00757301">
          <w:pPr>
            <w:pStyle w:val="TOC3"/>
            <w:tabs>
              <w:tab w:val="left" w:pos="1000"/>
              <w:tab w:val="right" w:leader="dot" w:pos="9854"/>
            </w:tabs>
            <w:rPr>
              <w:rFonts w:eastAsiaTheme="minorEastAsia" w:cstheme="minorBidi"/>
              <w:i w:val="0"/>
              <w:iCs w:val="0"/>
              <w:noProof/>
              <w:szCs w:val="22"/>
            </w:rPr>
          </w:pPr>
          <w:hyperlink w:anchor="_Toc138344591" w:history="1">
            <w:r w:rsidR="00332D6C" w:rsidRPr="009F465B">
              <w:rPr>
                <w:rStyle w:val="Hyperlink"/>
                <w:rFonts w:ascii="Marianne" w:eastAsiaTheme="majorEastAsia" w:hAnsi="Marianne"/>
                <w:noProof/>
              </w:rPr>
              <w:t>B.2.</w:t>
            </w:r>
            <w:r w:rsidR="00332D6C">
              <w:rPr>
                <w:rFonts w:eastAsiaTheme="minorEastAsia" w:cstheme="minorBidi"/>
                <w:i w:val="0"/>
                <w:iCs w:val="0"/>
                <w:noProof/>
                <w:szCs w:val="22"/>
              </w:rPr>
              <w:tab/>
            </w:r>
            <w:r w:rsidR="00332D6C" w:rsidRPr="009F465B">
              <w:rPr>
                <w:rStyle w:val="Hyperlink"/>
                <w:rFonts w:eastAsiaTheme="majorEastAsia"/>
                <w:noProof/>
              </w:rPr>
              <w:t>Les fondements de la politique climatique</w:t>
            </w:r>
            <w:r w:rsidR="00332D6C">
              <w:rPr>
                <w:noProof/>
                <w:webHidden/>
              </w:rPr>
              <w:tab/>
            </w:r>
            <w:r w:rsidR="00332D6C">
              <w:rPr>
                <w:noProof/>
                <w:webHidden/>
              </w:rPr>
              <w:fldChar w:fldCharType="begin"/>
            </w:r>
            <w:r w:rsidR="00332D6C">
              <w:rPr>
                <w:noProof/>
                <w:webHidden/>
              </w:rPr>
              <w:instrText xml:space="preserve"> PAGEREF _Toc138344591 \h </w:instrText>
            </w:r>
            <w:r w:rsidR="00332D6C">
              <w:rPr>
                <w:noProof/>
                <w:webHidden/>
              </w:rPr>
            </w:r>
            <w:r w:rsidR="00332D6C">
              <w:rPr>
                <w:noProof/>
                <w:webHidden/>
              </w:rPr>
              <w:fldChar w:fldCharType="separate"/>
            </w:r>
            <w:r w:rsidR="00332D6C">
              <w:rPr>
                <w:noProof/>
                <w:webHidden/>
              </w:rPr>
              <w:t>33</w:t>
            </w:r>
            <w:r w:rsidR="00332D6C">
              <w:rPr>
                <w:noProof/>
                <w:webHidden/>
              </w:rPr>
              <w:fldChar w:fldCharType="end"/>
            </w:r>
          </w:hyperlink>
        </w:p>
        <w:p w14:paraId="0435BFAF" w14:textId="7965693B" w:rsidR="00332D6C" w:rsidRDefault="00757301">
          <w:pPr>
            <w:pStyle w:val="TOC3"/>
            <w:tabs>
              <w:tab w:val="left" w:pos="1000"/>
              <w:tab w:val="right" w:leader="dot" w:pos="9854"/>
            </w:tabs>
            <w:rPr>
              <w:rFonts w:eastAsiaTheme="minorEastAsia" w:cstheme="minorBidi"/>
              <w:i w:val="0"/>
              <w:iCs w:val="0"/>
              <w:noProof/>
              <w:szCs w:val="22"/>
            </w:rPr>
          </w:pPr>
          <w:hyperlink w:anchor="_Toc138344592" w:history="1">
            <w:r w:rsidR="00332D6C" w:rsidRPr="009F465B">
              <w:rPr>
                <w:rStyle w:val="Hyperlink"/>
                <w:rFonts w:ascii="Marianne" w:eastAsiaTheme="majorEastAsia" w:hAnsi="Marianne"/>
                <w:noProof/>
              </w:rPr>
              <w:t>B.3.</w:t>
            </w:r>
            <w:r w:rsidR="00332D6C">
              <w:rPr>
                <w:rFonts w:eastAsiaTheme="minorEastAsia" w:cstheme="minorBidi"/>
                <w:i w:val="0"/>
                <w:iCs w:val="0"/>
                <w:noProof/>
                <w:szCs w:val="22"/>
              </w:rPr>
              <w:tab/>
            </w:r>
            <w:r w:rsidR="00332D6C" w:rsidRPr="009F465B">
              <w:rPr>
                <w:rStyle w:val="Hyperlink"/>
                <w:rFonts w:eastAsiaTheme="majorEastAsia"/>
                <w:noProof/>
              </w:rPr>
              <w:t>Suivi et évaluation de la politique climat</w:t>
            </w:r>
            <w:r w:rsidR="00332D6C">
              <w:rPr>
                <w:noProof/>
                <w:webHidden/>
              </w:rPr>
              <w:tab/>
            </w:r>
            <w:r w:rsidR="00332D6C">
              <w:rPr>
                <w:noProof/>
                <w:webHidden/>
              </w:rPr>
              <w:fldChar w:fldCharType="begin"/>
            </w:r>
            <w:r w:rsidR="00332D6C">
              <w:rPr>
                <w:noProof/>
                <w:webHidden/>
              </w:rPr>
              <w:instrText xml:space="preserve"> PAGEREF _Toc138344592 \h </w:instrText>
            </w:r>
            <w:r w:rsidR="00332D6C">
              <w:rPr>
                <w:noProof/>
                <w:webHidden/>
              </w:rPr>
            </w:r>
            <w:r w:rsidR="00332D6C">
              <w:rPr>
                <w:noProof/>
                <w:webHidden/>
              </w:rPr>
              <w:fldChar w:fldCharType="separate"/>
            </w:r>
            <w:r w:rsidR="00332D6C">
              <w:rPr>
                <w:noProof/>
                <w:webHidden/>
              </w:rPr>
              <w:t>34</w:t>
            </w:r>
            <w:r w:rsidR="00332D6C">
              <w:rPr>
                <w:noProof/>
                <w:webHidden/>
              </w:rPr>
              <w:fldChar w:fldCharType="end"/>
            </w:r>
          </w:hyperlink>
        </w:p>
        <w:p w14:paraId="1D075466" w14:textId="695B6159" w:rsidR="00332D6C" w:rsidRDefault="00757301">
          <w:pPr>
            <w:pStyle w:val="TOC3"/>
            <w:tabs>
              <w:tab w:val="left" w:pos="1000"/>
              <w:tab w:val="right" w:leader="dot" w:pos="9854"/>
            </w:tabs>
            <w:rPr>
              <w:rFonts w:eastAsiaTheme="minorEastAsia" w:cstheme="minorBidi"/>
              <w:i w:val="0"/>
              <w:iCs w:val="0"/>
              <w:noProof/>
              <w:szCs w:val="22"/>
            </w:rPr>
          </w:pPr>
          <w:hyperlink w:anchor="_Toc138344593" w:history="1">
            <w:r w:rsidR="00332D6C" w:rsidRPr="009F465B">
              <w:rPr>
                <w:rStyle w:val="Hyperlink"/>
                <w:rFonts w:ascii="Marianne" w:eastAsiaTheme="majorEastAsia" w:hAnsi="Marianne"/>
                <w:noProof/>
                <w:lang w:eastAsia="en-US"/>
              </w:rPr>
              <w:t>B.4.</w:t>
            </w:r>
            <w:r w:rsidR="00332D6C">
              <w:rPr>
                <w:rFonts w:eastAsiaTheme="minorEastAsia" w:cstheme="minorBidi"/>
                <w:i w:val="0"/>
                <w:iCs w:val="0"/>
                <w:noProof/>
                <w:szCs w:val="22"/>
              </w:rPr>
              <w:tab/>
            </w:r>
            <w:r w:rsidR="00332D6C" w:rsidRPr="009F465B">
              <w:rPr>
                <w:rStyle w:val="Hyperlink"/>
                <w:rFonts w:eastAsiaTheme="majorEastAsia"/>
                <w:noProof/>
                <w:lang w:eastAsia="en-US"/>
              </w:rPr>
              <w:t>Mise en œuvre des politiques européennes</w:t>
            </w:r>
            <w:r w:rsidR="00332D6C">
              <w:rPr>
                <w:noProof/>
                <w:webHidden/>
              </w:rPr>
              <w:tab/>
            </w:r>
            <w:r w:rsidR="00332D6C">
              <w:rPr>
                <w:noProof/>
                <w:webHidden/>
              </w:rPr>
              <w:fldChar w:fldCharType="begin"/>
            </w:r>
            <w:r w:rsidR="00332D6C">
              <w:rPr>
                <w:noProof/>
                <w:webHidden/>
              </w:rPr>
              <w:instrText xml:space="preserve"> PAGEREF _Toc138344593 \h </w:instrText>
            </w:r>
            <w:r w:rsidR="00332D6C">
              <w:rPr>
                <w:noProof/>
                <w:webHidden/>
              </w:rPr>
            </w:r>
            <w:r w:rsidR="00332D6C">
              <w:rPr>
                <w:noProof/>
                <w:webHidden/>
              </w:rPr>
              <w:fldChar w:fldCharType="separate"/>
            </w:r>
            <w:r w:rsidR="00332D6C">
              <w:rPr>
                <w:noProof/>
                <w:webHidden/>
              </w:rPr>
              <w:t>36</w:t>
            </w:r>
            <w:r w:rsidR="00332D6C">
              <w:rPr>
                <w:noProof/>
                <w:webHidden/>
              </w:rPr>
              <w:fldChar w:fldCharType="end"/>
            </w:r>
          </w:hyperlink>
        </w:p>
        <w:p w14:paraId="3D3D8CE5" w14:textId="7F073DF9" w:rsidR="00332D6C" w:rsidRDefault="00757301">
          <w:pPr>
            <w:pStyle w:val="TOC2"/>
            <w:tabs>
              <w:tab w:val="left" w:pos="600"/>
              <w:tab w:val="right" w:leader="dot" w:pos="9854"/>
            </w:tabs>
            <w:rPr>
              <w:rFonts w:eastAsiaTheme="minorEastAsia" w:cstheme="minorBidi"/>
              <w:smallCaps w:val="0"/>
              <w:noProof/>
              <w:szCs w:val="22"/>
            </w:rPr>
          </w:pPr>
          <w:hyperlink w:anchor="_Toc138344594" w:history="1">
            <w:r w:rsidR="00332D6C" w:rsidRPr="009F465B">
              <w:rPr>
                <w:rStyle w:val="Hyperlink"/>
                <w:rFonts w:eastAsiaTheme="majorEastAsia"/>
                <w:noProof/>
                <w:lang w:eastAsia="en-US"/>
              </w:rPr>
              <w:t>C.</w:t>
            </w:r>
            <w:r w:rsidR="00332D6C">
              <w:rPr>
                <w:rFonts w:eastAsiaTheme="minorEastAsia" w:cstheme="minorBidi"/>
                <w:smallCaps w:val="0"/>
                <w:noProof/>
                <w:szCs w:val="22"/>
              </w:rPr>
              <w:tab/>
            </w:r>
            <w:r w:rsidR="00332D6C" w:rsidRPr="009F465B">
              <w:rPr>
                <w:rStyle w:val="Hyperlink"/>
                <w:rFonts w:eastAsiaTheme="majorEastAsia"/>
                <w:noProof/>
                <w:lang w:eastAsia="en-US"/>
              </w:rPr>
              <w:t>Les politiques et mesures et leurs effets</w:t>
            </w:r>
            <w:r w:rsidR="00332D6C">
              <w:rPr>
                <w:noProof/>
                <w:webHidden/>
              </w:rPr>
              <w:tab/>
            </w:r>
            <w:r w:rsidR="00332D6C">
              <w:rPr>
                <w:noProof/>
                <w:webHidden/>
              </w:rPr>
              <w:fldChar w:fldCharType="begin"/>
            </w:r>
            <w:r w:rsidR="00332D6C">
              <w:rPr>
                <w:noProof/>
                <w:webHidden/>
              </w:rPr>
              <w:instrText xml:space="preserve"> PAGEREF _Toc138344594 \h </w:instrText>
            </w:r>
            <w:r w:rsidR="00332D6C">
              <w:rPr>
                <w:noProof/>
                <w:webHidden/>
              </w:rPr>
            </w:r>
            <w:r w:rsidR="00332D6C">
              <w:rPr>
                <w:noProof/>
                <w:webHidden/>
              </w:rPr>
              <w:fldChar w:fldCharType="separate"/>
            </w:r>
            <w:r w:rsidR="00332D6C">
              <w:rPr>
                <w:noProof/>
                <w:webHidden/>
              </w:rPr>
              <w:t>37</w:t>
            </w:r>
            <w:r w:rsidR="00332D6C">
              <w:rPr>
                <w:noProof/>
                <w:webHidden/>
              </w:rPr>
              <w:fldChar w:fldCharType="end"/>
            </w:r>
          </w:hyperlink>
        </w:p>
        <w:p w14:paraId="7D52FDBC" w14:textId="5FF6E718" w:rsidR="00332D6C" w:rsidRDefault="00757301">
          <w:pPr>
            <w:pStyle w:val="TOC3"/>
            <w:tabs>
              <w:tab w:val="left" w:pos="1000"/>
              <w:tab w:val="right" w:leader="dot" w:pos="9854"/>
            </w:tabs>
            <w:rPr>
              <w:rFonts w:eastAsiaTheme="minorEastAsia" w:cstheme="minorBidi"/>
              <w:i w:val="0"/>
              <w:iCs w:val="0"/>
              <w:noProof/>
              <w:szCs w:val="22"/>
            </w:rPr>
          </w:pPr>
          <w:hyperlink w:anchor="_Toc138344595" w:history="1">
            <w:r w:rsidR="00332D6C" w:rsidRPr="009F465B">
              <w:rPr>
                <w:rStyle w:val="Hyperlink"/>
                <w:rFonts w:ascii="Marianne" w:eastAsiaTheme="majorEastAsia" w:hAnsi="Marianne"/>
                <w:noProof/>
                <w:lang w:eastAsia="en-US"/>
              </w:rPr>
              <w:t>C.1.</w:t>
            </w:r>
            <w:r w:rsidR="00332D6C">
              <w:rPr>
                <w:rFonts w:eastAsiaTheme="minorEastAsia" w:cstheme="minorBidi"/>
                <w:i w:val="0"/>
                <w:iCs w:val="0"/>
                <w:noProof/>
                <w:szCs w:val="22"/>
              </w:rPr>
              <w:tab/>
            </w:r>
            <w:r w:rsidR="00332D6C" w:rsidRPr="009F465B">
              <w:rPr>
                <w:rStyle w:val="Hyperlink"/>
                <w:rFonts w:eastAsiaTheme="majorEastAsia"/>
                <w:noProof/>
                <w:lang w:eastAsia="en-US"/>
              </w:rPr>
              <w:t>Les transports</w:t>
            </w:r>
            <w:r w:rsidR="00332D6C">
              <w:rPr>
                <w:noProof/>
                <w:webHidden/>
              </w:rPr>
              <w:tab/>
            </w:r>
            <w:r w:rsidR="00332D6C">
              <w:rPr>
                <w:noProof/>
                <w:webHidden/>
              </w:rPr>
              <w:fldChar w:fldCharType="begin"/>
            </w:r>
            <w:r w:rsidR="00332D6C">
              <w:rPr>
                <w:noProof/>
                <w:webHidden/>
              </w:rPr>
              <w:instrText xml:space="preserve"> PAGEREF _Toc138344595 \h </w:instrText>
            </w:r>
            <w:r w:rsidR="00332D6C">
              <w:rPr>
                <w:noProof/>
                <w:webHidden/>
              </w:rPr>
            </w:r>
            <w:r w:rsidR="00332D6C">
              <w:rPr>
                <w:noProof/>
                <w:webHidden/>
              </w:rPr>
              <w:fldChar w:fldCharType="separate"/>
            </w:r>
            <w:r w:rsidR="00332D6C">
              <w:rPr>
                <w:noProof/>
                <w:webHidden/>
              </w:rPr>
              <w:t>40</w:t>
            </w:r>
            <w:r w:rsidR="00332D6C">
              <w:rPr>
                <w:noProof/>
                <w:webHidden/>
              </w:rPr>
              <w:fldChar w:fldCharType="end"/>
            </w:r>
          </w:hyperlink>
        </w:p>
        <w:p w14:paraId="73DD1F9D" w14:textId="6F41DCF4" w:rsidR="00332D6C" w:rsidRDefault="00757301">
          <w:pPr>
            <w:pStyle w:val="TOC3"/>
            <w:tabs>
              <w:tab w:val="left" w:pos="1200"/>
              <w:tab w:val="right" w:leader="dot" w:pos="9854"/>
            </w:tabs>
            <w:rPr>
              <w:rFonts w:eastAsiaTheme="minorEastAsia" w:cstheme="minorBidi"/>
              <w:i w:val="0"/>
              <w:iCs w:val="0"/>
              <w:noProof/>
              <w:szCs w:val="22"/>
            </w:rPr>
          </w:pPr>
          <w:hyperlink w:anchor="_Toc138344596" w:history="1">
            <w:r w:rsidR="00332D6C" w:rsidRPr="009F465B">
              <w:rPr>
                <w:rStyle w:val="Hyperlink"/>
                <w:rFonts w:ascii="Marianne" w:eastAsiaTheme="majorEastAsia" w:hAnsi="Marianne"/>
                <w:noProof/>
                <w:lang w:eastAsia="en-US"/>
              </w:rPr>
              <w:t>C.2.</w:t>
            </w:r>
            <w:r w:rsidR="00332D6C">
              <w:rPr>
                <w:rFonts w:eastAsiaTheme="minorEastAsia" w:cstheme="minorBidi"/>
                <w:i w:val="0"/>
                <w:iCs w:val="0"/>
                <w:noProof/>
                <w:szCs w:val="22"/>
              </w:rPr>
              <w:tab/>
            </w:r>
            <w:r w:rsidR="00332D6C" w:rsidRPr="009F465B">
              <w:rPr>
                <w:rStyle w:val="Hyperlink"/>
                <w:rFonts w:eastAsiaTheme="majorEastAsia"/>
                <w:noProof/>
                <w:lang w:eastAsia="en-US"/>
              </w:rPr>
              <w:t>Résidentiel/tertiaire</w:t>
            </w:r>
            <w:r w:rsidR="00332D6C">
              <w:rPr>
                <w:noProof/>
                <w:webHidden/>
              </w:rPr>
              <w:tab/>
            </w:r>
            <w:r w:rsidR="00332D6C">
              <w:rPr>
                <w:noProof/>
                <w:webHidden/>
              </w:rPr>
              <w:fldChar w:fldCharType="begin"/>
            </w:r>
            <w:r w:rsidR="00332D6C">
              <w:rPr>
                <w:noProof/>
                <w:webHidden/>
              </w:rPr>
              <w:instrText xml:space="preserve"> PAGEREF _Toc138344596 \h </w:instrText>
            </w:r>
            <w:r w:rsidR="00332D6C">
              <w:rPr>
                <w:noProof/>
                <w:webHidden/>
              </w:rPr>
            </w:r>
            <w:r w:rsidR="00332D6C">
              <w:rPr>
                <w:noProof/>
                <w:webHidden/>
              </w:rPr>
              <w:fldChar w:fldCharType="separate"/>
            </w:r>
            <w:r w:rsidR="00332D6C">
              <w:rPr>
                <w:noProof/>
                <w:webHidden/>
              </w:rPr>
              <w:t>50</w:t>
            </w:r>
            <w:r w:rsidR="00332D6C">
              <w:rPr>
                <w:noProof/>
                <w:webHidden/>
              </w:rPr>
              <w:fldChar w:fldCharType="end"/>
            </w:r>
          </w:hyperlink>
        </w:p>
        <w:p w14:paraId="0512AFDE" w14:textId="7CA6618C" w:rsidR="00332D6C" w:rsidRDefault="00757301">
          <w:pPr>
            <w:pStyle w:val="TOC3"/>
            <w:tabs>
              <w:tab w:val="left" w:pos="1200"/>
              <w:tab w:val="right" w:leader="dot" w:pos="9854"/>
            </w:tabs>
            <w:rPr>
              <w:rFonts w:eastAsiaTheme="minorEastAsia" w:cstheme="minorBidi"/>
              <w:i w:val="0"/>
              <w:iCs w:val="0"/>
              <w:noProof/>
              <w:szCs w:val="22"/>
            </w:rPr>
          </w:pPr>
          <w:hyperlink w:anchor="_Toc138344597" w:history="1">
            <w:r w:rsidR="00332D6C" w:rsidRPr="009F465B">
              <w:rPr>
                <w:rStyle w:val="Hyperlink"/>
                <w:rFonts w:ascii="Marianne" w:eastAsiaTheme="majorEastAsia" w:hAnsi="Marianne"/>
                <w:noProof/>
                <w:lang w:eastAsia="en-US"/>
              </w:rPr>
              <w:t>C.3.</w:t>
            </w:r>
            <w:r w:rsidR="00332D6C">
              <w:rPr>
                <w:rFonts w:eastAsiaTheme="minorEastAsia" w:cstheme="minorBidi"/>
                <w:i w:val="0"/>
                <w:iCs w:val="0"/>
                <w:noProof/>
                <w:szCs w:val="22"/>
              </w:rPr>
              <w:tab/>
            </w:r>
            <w:r w:rsidR="00332D6C" w:rsidRPr="009F465B">
              <w:rPr>
                <w:rStyle w:val="Hyperlink"/>
                <w:rFonts w:eastAsiaTheme="majorEastAsia"/>
                <w:noProof/>
                <w:lang w:eastAsia="en-US"/>
              </w:rPr>
              <w:t>Industrie manufacturière</w:t>
            </w:r>
            <w:r w:rsidR="00332D6C">
              <w:rPr>
                <w:noProof/>
                <w:webHidden/>
              </w:rPr>
              <w:tab/>
            </w:r>
            <w:r w:rsidR="00332D6C">
              <w:rPr>
                <w:noProof/>
                <w:webHidden/>
              </w:rPr>
              <w:fldChar w:fldCharType="begin"/>
            </w:r>
            <w:r w:rsidR="00332D6C">
              <w:rPr>
                <w:noProof/>
                <w:webHidden/>
              </w:rPr>
              <w:instrText xml:space="preserve"> PAGEREF _Toc138344597 \h </w:instrText>
            </w:r>
            <w:r w:rsidR="00332D6C">
              <w:rPr>
                <w:noProof/>
                <w:webHidden/>
              </w:rPr>
            </w:r>
            <w:r w:rsidR="00332D6C">
              <w:rPr>
                <w:noProof/>
                <w:webHidden/>
              </w:rPr>
              <w:fldChar w:fldCharType="separate"/>
            </w:r>
            <w:r w:rsidR="00332D6C">
              <w:rPr>
                <w:noProof/>
                <w:webHidden/>
              </w:rPr>
              <w:t>58</w:t>
            </w:r>
            <w:r w:rsidR="00332D6C">
              <w:rPr>
                <w:noProof/>
                <w:webHidden/>
              </w:rPr>
              <w:fldChar w:fldCharType="end"/>
            </w:r>
          </w:hyperlink>
        </w:p>
        <w:p w14:paraId="38F1856E" w14:textId="4B7F50DC" w:rsidR="00332D6C" w:rsidRDefault="00757301">
          <w:pPr>
            <w:pStyle w:val="TOC3"/>
            <w:tabs>
              <w:tab w:val="left" w:pos="1200"/>
              <w:tab w:val="right" w:leader="dot" w:pos="9854"/>
            </w:tabs>
            <w:rPr>
              <w:rFonts w:eastAsiaTheme="minorEastAsia" w:cstheme="minorBidi"/>
              <w:i w:val="0"/>
              <w:iCs w:val="0"/>
              <w:noProof/>
              <w:szCs w:val="22"/>
            </w:rPr>
          </w:pPr>
          <w:hyperlink w:anchor="_Toc138344598" w:history="1">
            <w:r w:rsidR="00332D6C" w:rsidRPr="009F465B">
              <w:rPr>
                <w:rStyle w:val="Hyperlink"/>
                <w:rFonts w:ascii="Marianne" w:eastAsiaTheme="majorEastAsia" w:hAnsi="Marianne"/>
                <w:noProof/>
                <w:lang w:eastAsia="en-US"/>
              </w:rPr>
              <w:t>C.4.</w:t>
            </w:r>
            <w:r w:rsidR="00332D6C">
              <w:rPr>
                <w:rFonts w:eastAsiaTheme="minorEastAsia" w:cstheme="minorBidi"/>
                <w:i w:val="0"/>
                <w:iCs w:val="0"/>
                <w:noProof/>
                <w:szCs w:val="22"/>
              </w:rPr>
              <w:tab/>
            </w:r>
            <w:r w:rsidR="00332D6C" w:rsidRPr="009F465B">
              <w:rPr>
                <w:rStyle w:val="Hyperlink"/>
                <w:rFonts w:eastAsiaTheme="majorEastAsia"/>
                <w:noProof/>
                <w:lang w:eastAsia="en-US"/>
              </w:rPr>
              <w:t>Industrie de l’énergie</w:t>
            </w:r>
            <w:r w:rsidR="00332D6C">
              <w:rPr>
                <w:noProof/>
                <w:webHidden/>
              </w:rPr>
              <w:tab/>
            </w:r>
            <w:r w:rsidR="00332D6C">
              <w:rPr>
                <w:noProof/>
                <w:webHidden/>
              </w:rPr>
              <w:fldChar w:fldCharType="begin"/>
            </w:r>
            <w:r w:rsidR="00332D6C">
              <w:rPr>
                <w:noProof/>
                <w:webHidden/>
              </w:rPr>
              <w:instrText xml:space="preserve"> PAGEREF _Toc138344598 \h </w:instrText>
            </w:r>
            <w:r w:rsidR="00332D6C">
              <w:rPr>
                <w:noProof/>
                <w:webHidden/>
              </w:rPr>
            </w:r>
            <w:r w:rsidR="00332D6C">
              <w:rPr>
                <w:noProof/>
                <w:webHidden/>
              </w:rPr>
              <w:fldChar w:fldCharType="separate"/>
            </w:r>
            <w:r w:rsidR="00332D6C">
              <w:rPr>
                <w:noProof/>
                <w:webHidden/>
              </w:rPr>
              <w:t>61</w:t>
            </w:r>
            <w:r w:rsidR="00332D6C">
              <w:rPr>
                <w:noProof/>
                <w:webHidden/>
              </w:rPr>
              <w:fldChar w:fldCharType="end"/>
            </w:r>
          </w:hyperlink>
        </w:p>
        <w:p w14:paraId="2498A621" w14:textId="1DE44007" w:rsidR="00332D6C" w:rsidRDefault="00757301">
          <w:pPr>
            <w:pStyle w:val="TOC3"/>
            <w:tabs>
              <w:tab w:val="left" w:pos="1200"/>
              <w:tab w:val="right" w:leader="dot" w:pos="9854"/>
            </w:tabs>
            <w:rPr>
              <w:rFonts w:eastAsiaTheme="minorEastAsia" w:cstheme="minorBidi"/>
              <w:i w:val="0"/>
              <w:iCs w:val="0"/>
              <w:noProof/>
              <w:szCs w:val="22"/>
            </w:rPr>
          </w:pPr>
          <w:hyperlink w:anchor="_Toc138344599" w:history="1">
            <w:r w:rsidR="00332D6C" w:rsidRPr="009F465B">
              <w:rPr>
                <w:rStyle w:val="Hyperlink"/>
                <w:rFonts w:ascii="Marianne" w:eastAsiaTheme="majorEastAsia" w:hAnsi="Marianne"/>
                <w:noProof/>
                <w:lang w:eastAsia="en-US"/>
              </w:rPr>
              <w:t>C.5.</w:t>
            </w:r>
            <w:r w:rsidR="00332D6C">
              <w:rPr>
                <w:rFonts w:eastAsiaTheme="minorEastAsia" w:cstheme="minorBidi"/>
                <w:i w:val="0"/>
                <w:iCs w:val="0"/>
                <w:noProof/>
                <w:szCs w:val="22"/>
              </w:rPr>
              <w:tab/>
            </w:r>
            <w:r w:rsidR="00332D6C" w:rsidRPr="009F465B">
              <w:rPr>
                <w:rStyle w:val="Hyperlink"/>
                <w:rFonts w:eastAsiaTheme="majorEastAsia"/>
                <w:noProof/>
                <w:lang w:eastAsia="en-US"/>
              </w:rPr>
              <w:t>Agriculture et forêt</w:t>
            </w:r>
            <w:r w:rsidR="00332D6C">
              <w:rPr>
                <w:noProof/>
                <w:webHidden/>
              </w:rPr>
              <w:tab/>
            </w:r>
            <w:r w:rsidR="00332D6C">
              <w:rPr>
                <w:noProof/>
                <w:webHidden/>
              </w:rPr>
              <w:fldChar w:fldCharType="begin"/>
            </w:r>
            <w:r w:rsidR="00332D6C">
              <w:rPr>
                <w:noProof/>
                <w:webHidden/>
              </w:rPr>
              <w:instrText xml:space="preserve"> PAGEREF _Toc138344599 \h </w:instrText>
            </w:r>
            <w:r w:rsidR="00332D6C">
              <w:rPr>
                <w:noProof/>
                <w:webHidden/>
              </w:rPr>
            </w:r>
            <w:r w:rsidR="00332D6C">
              <w:rPr>
                <w:noProof/>
                <w:webHidden/>
              </w:rPr>
              <w:fldChar w:fldCharType="separate"/>
            </w:r>
            <w:r w:rsidR="00332D6C">
              <w:rPr>
                <w:noProof/>
                <w:webHidden/>
              </w:rPr>
              <w:t>67</w:t>
            </w:r>
            <w:r w:rsidR="00332D6C">
              <w:rPr>
                <w:noProof/>
                <w:webHidden/>
              </w:rPr>
              <w:fldChar w:fldCharType="end"/>
            </w:r>
          </w:hyperlink>
        </w:p>
        <w:p w14:paraId="0F29F950" w14:textId="4577BB7B" w:rsidR="00332D6C" w:rsidRDefault="00757301">
          <w:pPr>
            <w:pStyle w:val="TOC3"/>
            <w:tabs>
              <w:tab w:val="left" w:pos="1200"/>
              <w:tab w:val="right" w:leader="dot" w:pos="9854"/>
            </w:tabs>
            <w:rPr>
              <w:rFonts w:eastAsiaTheme="minorEastAsia" w:cstheme="minorBidi"/>
              <w:i w:val="0"/>
              <w:iCs w:val="0"/>
              <w:noProof/>
              <w:szCs w:val="22"/>
            </w:rPr>
          </w:pPr>
          <w:hyperlink w:anchor="_Toc138344600" w:history="1">
            <w:r w:rsidR="00332D6C" w:rsidRPr="009F465B">
              <w:rPr>
                <w:rStyle w:val="Hyperlink"/>
                <w:rFonts w:ascii="Marianne" w:eastAsiaTheme="majorEastAsia" w:hAnsi="Marianne"/>
                <w:noProof/>
                <w:lang w:eastAsia="en-US"/>
              </w:rPr>
              <w:t>C.6.</w:t>
            </w:r>
            <w:r w:rsidR="00332D6C">
              <w:rPr>
                <w:rFonts w:eastAsiaTheme="minorEastAsia" w:cstheme="minorBidi"/>
                <w:i w:val="0"/>
                <w:iCs w:val="0"/>
                <w:noProof/>
                <w:szCs w:val="22"/>
              </w:rPr>
              <w:tab/>
            </w:r>
            <w:r w:rsidR="00332D6C" w:rsidRPr="009F465B">
              <w:rPr>
                <w:rStyle w:val="Hyperlink"/>
                <w:rFonts w:eastAsiaTheme="majorEastAsia"/>
                <w:noProof/>
                <w:lang w:eastAsia="en-US"/>
              </w:rPr>
              <w:t>UTCATF</w:t>
            </w:r>
            <w:r w:rsidR="00332D6C">
              <w:rPr>
                <w:noProof/>
                <w:webHidden/>
              </w:rPr>
              <w:tab/>
            </w:r>
            <w:r w:rsidR="00332D6C">
              <w:rPr>
                <w:noProof/>
                <w:webHidden/>
              </w:rPr>
              <w:fldChar w:fldCharType="begin"/>
            </w:r>
            <w:r w:rsidR="00332D6C">
              <w:rPr>
                <w:noProof/>
                <w:webHidden/>
              </w:rPr>
              <w:instrText xml:space="preserve"> PAGEREF _Toc138344600 \h </w:instrText>
            </w:r>
            <w:r w:rsidR="00332D6C">
              <w:rPr>
                <w:noProof/>
                <w:webHidden/>
              </w:rPr>
            </w:r>
            <w:r w:rsidR="00332D6C">
              <w:rPr>
                <w:noProof/>
                <w:webHidden/>
              </w:rPr>
              <w:fldChar w:fldCharType="separate"/>
            </w:r>
            <w:r w:rsidR="00332D6C">
              <w:rPr>
                <w:noProof/>
                <w:webHidden/>
              </w:rPr>
              <w:t>67</w:t>
            </w:r>
            <w:r w:rsidR="00332D6C">
              <w:rPr>
                <w:noProof/>
                <w:webHidden/>
              </w:rPr>
              <w:fldChar w:fldCharType="end"/>
            </w:r>
          </w:hyperlink>
        </w:p>
        <w:p w14:paraId="584E23D0" w14:textId="6A1378E7" w:rsidR="00332D6C" w:rsidRDefault="00757301">
          <w:pPr>
            <w:pStyle w:val="TOC3"/>
            <w:tabs>
              <w:tab w:val="left" w:pos="1200"/>
              <w:tab w:val="right" w:leader="dot" w:pos="9854"/>
            </w:tabs>
            <w:rPr>
              <w:rFonts w:eastAsiaTheme="minorEastAsia" w:cstheme="minorBidi"/>
              <w:i w:val="0"/>
              <w:iCs w:val="0"/>
              <w:noProof/>
              <w:szCs w:val="22"/>
            </w:rPr>
          </w:pPr>
          <w:hyperlink w:anchor="_Toc138344601" w:history="1">
            <w:r w:rsidR="00332D6C" w:rsidRPr="009F465B">
              <w:rPr>
                <w:rStyle w:val="Hyperlink"/>
                <w:rFonts w:ascii="Marianne" w:eastAsiaTheme="majorEastAsia" w:hAnsi="Marianne"/>
                <w:noProof/>
                <w:lang w:eastAsia="en-US"/>
              </w:rPr>
              <w:t>C.7.</w:t>
            </w:r>
            <w:r w:rsidR="00332D6C">
              <w:rPr>
                <w:rFonts w:eastAsiaTheme="minorEastAsia" w:cstheme="minorBidi"/>
                <w:i w:val="0"/>
                <w:iCs w:val="0"/>
                <w:noProof/>
                <w:szCs w:val="22"/>
              </w:rPr>
              <w:tab/>
            </w:r>
            <w:r w:rsidR="00332D6C" w:rsidRPr="009F465B">
              <w:rPr>
                <w:rStyle w:val="Hyperlink"/>
                <w:rFonts w:eastAsiaTheme="majorEastAsia"/>
                <w:noProof/>
                <w:lang w:eastAsia="en-US"/>
              </w:rPr>
              <w:t>Traitement des déchets</w:t>
            </w:r>
            <w:r w:rsidR="00332D6C">
              <w:rPr>
                <w:noProof/>
                <w:webHidden/>
              </w:rPr>
              <w:tab/>
            </w:r>
            <w:r w:rsidR="00332D6C">
              <w:rPr>
                <w:noProof/>
                <w:webHidden/>
              </w:rPr>
              <w:fldChar w:fldCharType="begin"/>
            </w:r>
            <w:r w:rsidR="00332D6C">
              <w:rPr>
                <w:noProof/>
                <w:webHidden/>
              </w:rPr>
              <w:instrText xml:space="preserve"> PAGEREF _Toc138344601 \h </w:instrText>
            </w:r>
            <w:r w:rsidR="00332D6C">
              <w:rPr>
                <w:noProof/>
                <w:webHidden/>
              </w:rPr>
            </w:r>
            <w:r w:rsidR="00332D6C">
              <w:rPr>
                <w:noProof/>
                <w:webHidden/>
              </w:rPr>
              <w:fldChar w:fldCharType="separate"/>
            </w:r>
            <w:r w:rsidR="00332D6C">
              <w:rPr>
                <w:noProof/>
                <w:webHidden/>
              </w:rPr>
              <w:t>73</w:t>
            </w:r>
            <w:r w:rsidR="00332D6C">
              <w:rPr>
                <w:noProof/>
                <w:webHidden/>
              </w:rPr>
              <w:fldChar w:fldCharType="end"/>
            </w:r>
          </w:hyperlink>
        </w:p>
        <w:p w14:paraId="48C0D3C7" w14:textId="7FCC9051" w:rsidR="00332D6C" w:rsidRDefault="00757301">
          <w:pPr>
            <w:pStyle w:val="TOC3"/>
            <w:tabs>
              <w:tab w:val="left" w:pos="1200"/>
              <w:tab w:val="right" w:leader="dot" w:pos="9854"/>
            </w:tabs>
            <w:rPr>
              <w:rFonts w:eastAsiaTheme="minorEastAsia" w:cstheme="minorBidi"/>
              <w:i w:val="0"/>
              <w:iCs w:val="0"/>
              <w:noProof/>
              <w:szCs w:val="22"/>
            </w:rPr>
          </w:pPr>
          <w:hyperlink w:anchor="_Toc138344602" w:history="1">
            <w:r w:rsidR="00332D6C" w:rsidRPr="009F465B">
              <w:rPr>
                <w:rStyle w:val="Hyperlink"/>
                <w:rFonts w:ascii="Marianne" w:eastAsiaTheme="majorEastAsia" w:hAnsi="Marianne"/>
                <w:noProof/>
                <w:lang w:eastAsia="en-US"/>
              </w:rPr>
              <w:t>C.8.</w:t>
            </w:r>
            <w:r w:rsidR="00332D6C">
              <w:rPr>
                <w:rFonts w:eastAsiaTheme="minorEastAsia" w:cstheme="minorBidi"/>
                <w:i w:val="0"/>
                <w:iCs w:val="0"/>
                <w:noProof/>
                <w:szCs w:val="22"/>
              </w:rPr>
              <w:tab/>
            </w:r>
            <w:r w:rsidR="00332D6C" w:rsidRPr="009F465B">
              <w:rPr>
                <w:rStyle w:val="Hyperlink"/>
                <w:rFonts w:eastAsiaTheme="majorEastAsia"/>
                <w:noProof/>
                <w:lang w:eastAsia="en-US"/>
              </w:rPr>
              <w:t>Politiques et mesures transversales</w:t>
            </w:r>
            <w:r w:rsidR="00332D6C">
              <w:rPr>
                <w:noProof/>
                <w:webHidden/>
              </w:rPr>
              <w:tab/>
            </w:r>
            <w:r w:rsidR="00332D6C">
              <w:rPr>
                <w:noProof/>
                <w:webHidden/>
              </w:rPr>
              <w:fldChar w:fldCharType="begin"/>
            </w:r>
            <w:r w:rsidR="00332D6C">
              <w:rPr>
                <w:noProof/>
                <w:webHidden/>
              </w:rPr>
              <w:instrText xml:space="preserve"> PAGEREF _Toc138344602 \h </w:instrText>
            </w:r>
            <w:r w:rsidR="00332D6C">
              <w:rPr>
                <w:noProof/>
                <w:webHidden/>
              </w:rPr>
            </w:r>
            <w:r w:rsidR="00332D6C">
              <w:rPr>
                <w:noProof/>
                <w:webHidden/>
              </w:rPr>
              <w:fldChar w:fldCharType="separate"/>
            </w:r>
            <w:r w:rsidR="00332D6C">
              <w:rPr>
                <w:noProof/>
                <w:webHidden/>
              </w:rPr>
              <w:t>77</w:t>
            </w:r>
            <w:r w:rsidR="00332D6C">
              <w:rPr>
                <w:noProof/>
                <w:webHidden/>
              </w:rPr>
              <w:fldChar w:fldCharType="end"/>
            </w:r>
          </w:hyperlink>
        </w:p>
        <w:p w14:paraId="288964BE" w14:textId="67C3086C" w:rsidR="00332D6C" w:rsidRDefault="00757301">
          <w:pPr>
            <w:pStyle w:val="TOC3"/>
            <w:tabs>
              <w:tab w:val="left" w:pos="1200"/>
              <w:tab w:val="right" w:leader="dot" w:pos="9854"/>
            </w:tabs>
            <w:rPr>
              <w:rFonts w:eastAsiaTheme="minorEastAsia" w:cstheme="minorBidi"/>
              <w:i w:val="0"/>
              <w:iCs w:val="0"/>
              <w:noProof/>
              <w:szCs w:val="22"/>
            </w:rPr>
          </w:pPr>
          <w:hyperlink w:anchor="_Toc138344603" w:history="1">
            <w:r w:rsidR="00332D6C" w:rsidRPr="009F465B">
              <w:rPr>
                <w:rStyle w:val="Hyperlink"/>
                <w:rFonts w:ascii="Marianne" w:eastAsiaTheme="majorEastAsia" w:hAnsi="Marianne"/>
                <w:noProof/>
                <w:lang w:eastAsia="en-US"/>
              </w:rPr>
              <w:t>C.9.</w:t>
            </w:r>
            <w:r w:rsidR="00332D6C">
              <w:rPr>
                <w:rFonts w:eastAsiaTheme="minorEastAsia" w:cstheme="minorBidi"/>
                <w:i w:val="0"/>
                <w:iCs w:val="0"/>
                <w:noProof/>
                <w:szCs w:val="22"/>
              </w:rPr>
              <w:tab/>
            </w:r>
            <w:r w:rsidR="00332D6C" w:rsidRPr="009F465B">
              <w:rPr>
                <w:rStyle w:val="Hyperlink"/>
                <w:rFonts w:eastAsiaTheme="majorEastAsia"/>
                <w:noProof/>
                <w:lang w:eastAsia="en-US"/>
              </w:rPr>
              <w:t>Tableau des politiques et mesures</w:t>
            </w:r>
            <w:r w:rsidR="00332D6C">
              <w:rPr>
                <w:noProof/>
                <w:webHidden/>
              </w:rPr>
              <w:tab/>
            </w:r>
            <w:r w:rsidR="00332D6C">
              <w:rPr>
                <w:noProof/>
                <w:webHidden/>
              </w:rPr>
              <w:fldChar w:fldCharType="begin"/>
            </w:r>
            <w:r w:rsidR="00332D6C">
              <w:rPr>
                <w:noProof/>
                <w:webHidden/>
              </w:rPr>
              <w:instrText xml:space="preserve"> PAGEREF _Toc138344603 \h </w:instrText>
            </w:r>
            <w:r w:rsidR="00332D6C">
              <w:rPr>
                <w:noProof/>
                <w:webHidden/>
              </w:rPr>
            </w:r>
            <w:r w:rsidR="00332D6C">
              <w:rPr>
                <w:noProof/>
                <w:webHidden/>
              </w:rPr>
              <w:fldChar w:fldCharType="separate"/>
            </w:r>
            <w:r w:rsidR="00332D6C">
              <w:rPr>
                <w:noProof/>
                <w:webHidden/>
              </w:rPr>
              <w:t>79</w:t>
            </w:r>
            <w:r w:rsidR="00332D6C">
              <w:rPr>
                <w:noProof/>
                <w:webHidden/>
              </w:rPr>
              <w:fldChar w:fldCharType="end"/>
            </w:r>
          </w:hyperlink>
        </w:p>
        <w:p w14:paraId="39EA92A2" w14:textId="078FF68D" w:rsidR="00332D6C" w:rsidRDefault="00757301">
          <w:pPr>
            <w:pStyle w:val="TOC2"/>
            <w:tabs>
              <w:tab w:val="left" w:pos="800"/>
              <w:tab w:val="right" w:leader="dot" w:pos="9854"/>
            </w:tabs>
            <w:rPr>
              <w:rFonts w:eastAsiaTheme="minorEastAsia" w:cstheme="minorBidi"/>
              <w:smallCaps w:val="0"/>
              <w:noProof/>
              <w:szCs w:val="22"/>
            </w:rPr>
          </w:pPr>
          <w:hyperlink w:anchor="_Toc138344604" w:history="1">
            <w:r w:rsidR="00332D6C" w:rsidRPr="009F465B">
              <w:rPr>
                <w:rStyle w:val="Hyperlink"/>
                <w:rFonts w:eastAsiaTheme="majorEastAsia"/>
                <w:noProof/>
                <w:lang w:eastAsia="en-US"/>
              </w:rPr>
              <w:t>D.</w:t>
            </w:r>
            <w:r w:rsidR="00332D6C">
              <w:rPr>
                <w:rFonts w:eastAsiaTheme="minorEastAsia" w:cstheme="minorBidi"/>
                <w:smallCaps w:val="0"/>
                <w:noProof/>
                <w:szCs w:val="22"/>
              </w:rPr>
              <w:tab/>
            </w:r>
            <w:r w:rsidR="00332D6C" w:rsidRPr="009F465B">
              <w:rPr>
                <w:rStyle w:val="Hyperlink"/>
                <w:rFonts w:eastAsiaTheme="majorEastAsia"/>
                <w:noProof/>
                <w:lang w:eastAsia="en-US"/>
              </w:rPr>
              <w:t>Effet sur le long-terme des politiques et mesures engagées</w:t>
            </w:r>
            <w:r w:rsidR="00332D6C">
              <w:rPr>
                <w:noProof/>
                <w:webHidden/>
              </w:rPr>
              <w:tab/>
            </w:r>
            <w:r w:rsidR="00332D6C">
              <w:rPr>
                <w:noProof/>
                <w:webHidden/>
              </w:rPr>
              <w:fldChar w:fldCharType="begin"/>
            </w:r>
            <w:r w:rsidR="00332D6C">
              <w:rPr>
                <w:noProof/>
                <w:webHidden/>
              </w:rPr>
              <w:instrText xml:space="preserve"> PAGEREF _Toc138344604 \h </w:instrText>
            </w:r>
            <w:r w:rsidR="00332D6C">
              <w:rPr>
                <w:noProof/>
                <w:webHidden/>
              </w:rPr>
            </w:r>
            <w:r w:rsidR="00332D6C">
              <w:rPr>
                <w:noProof/>
                <w:webHidden/>
              </w:rPr>
              <w:fldChar w:fldCharType="separate"/>
            </w:r>
            <w:r w:rsidR="00332D6C">
              <w:rPr>
                <w:noProof/>
                <w:webHidden/>
              </w:rPr>
              <w:t>79</w:t>
            </w:r>
            <w:r w:rsidR="00332D6C">
              <w:rPr>
                <w:noProof/>
                <w:webHidden/>
              </w:rPr>
              <w:fldChar w:fldCharType="end"/>
            </w:r>
          </w:hyperlink>
        </w:p>
        <w:p w14:paraId="770820DF" w14:textId="547D6A11" w:rsidR="00332D6C" w:rsidRDefault="00757301">
          <w:pPr>
            <w:pStyle w:val="TOC3"/>
            <w:tabs>
              <w:tab w:val="left" w:pos="1200"/>
              <w:tab w:val="right" w:leader="dot" w:pos="9854"/>
            </w:tabs>
            <w:rPr>
              <w:rFonts w:eastAsiaTheme="minorEastAsia" w:cstheme="minorBidi"/>
              <w:i w:val="0"/>
              <w:iCs w:val="0"/>
              <w:noProof/>
              <w:szCs w:val="22"/>
            </w:rPr>
          </w:pPr>
          <w:hyperlink w:anchor="_Toc138344605" w:history="1">
            <w:r w:rsidR="00332D6C" w:rsidRPr="009F465B">
              <w:rPr>
                <w:rStyle w:val="Hyperlink"/>
                <w:rFonts w:ascii="Marianne" w:eastAsiaTheme="majorEastAsia" w:hAnsi="Marianne"/>
                <w:noProof/>
                <w:lang w:eastAsia="en-US"/>
              </w:rPr>
              <w:t>D.1.</w:t>
            </w:r>
            <w:r w:rsidR="00332D6C">
              <w:rPr>
                <w:rFonts w:eastAsiaTheme="minorEastAsia" w:cstheme="minorBidi"/>
                <w:i w:val="0"/>
                <w:iCs w:val="0"/>
                <w:noProof/>
                <w:szCs w:val="22"/>
              </w:rPr>
              <w:tab/>
            </w:r>
            <w:r w:rsidR="00332D6C" w:rsidRPr="009F465B">
              <w:rPr>
                <w:rStyle w:val="Hyperlink"/>
                <w:rFonts w:eastAsiaTheme="majorEastAsia"/>
                <w:noProof/>
                <w:lang w:eastAsia="en-US"/>
              </w:rPr>
              <w:t>Effet sur la réduction des émissions</w:t>
            </w:r>
            <w:r w:rsidR="00332D6C">
              <w:rPr>
                <w:noProof/>
                <w:webHidden/>
              </w:rPr>
              <w:tab/>
            </w:r>
            <w:r w:rsidR="00332D6C">
              <w:rPr>
                <w:noProof/>
                <w:webHidden/>
              </w:rPr>
              <w:fldChar w:fldCharType="begin"/>
            </w:r>
            <w:r w:rsidR="00332D6C">
              <w:rPr>
                <w:noProof/>
                <w:webHidden/>
              </w:rPr>
              <w:instrText xml:space="preserve"> PAGEREF _Toc138344605 \h </w:instrText>
            </w:r>
            <w:r w:rsidR="00332D6C">
              <w:rPr>
                <w:noProof/>
                <w:webHidden/>
              </w:rPr>
            </w:r>
            <w:r w:rsidR="00332D6C">
              <w:rPr>
                <w:noProof/>
                <w:webHidden/>
              </w:rPr>
              <w:fldChar w:fldCharType="separate"/>
            </w:r>
            <w:r w:rsidR="00332D6C">
              <w:rPr>
                <w:noProof/>
                <w:webHidden/>
              </w:rPr>
              <w:t>79</w:t>
            </w:r>
            <w:r w:rsidR="00332D6C">
              <w:rPr>
                <w:noProof/>
                <w:webHidden/>
              </w:rPr>
              <w:fldChar w:fldCharType="end"/>
            </w:r>
          </w:hyperlink>
        </w:p>
        <w:p w14:paraId="0DE20AEB" w14:textId="4A41151E" w:rsidR="00332D6C" w:rsidRDefault="00757301">
          <w:pPr>
            <w:pStyle w:val="TOC3"/>
            <w:tabs>
              <w:tab w:val="left" w:pos="1200"/>
              <w:tab w:val="right" w:leader="dot" w:pos="9854"/>
            </w:tabs>
            <w:rPr>
              <w:rFonts w:eastAsiaTheme="minorEastAsia" w:cstheme="minorBidi"/>
              <w:i w:val="0"/>
              <w:iCs w:val="0"/>
              <w:noProof/>
              <w:szCs w:val="22"/>
            </w:rPr>
          </w:pPr>
          <w:hyperlink w:anchor="_Toc138344606" w:history="1">
            <w:r w:rsidR="00332D6C" w:rsidRPr="009F465B">
              <w:rPr>
                <w:rStyle w:val="Hyperlink"/>
                <w:rFonts w:ascii="Marianne" w:eastAsiaTheme="majorEastAsia" w:hAnsi="Marianne"/>
                <w:noProof/>
                <w:lang w:eastAsia="en-US"/>
              </w:rPr>
              <w:t>D.2.</w:t>
            </w:r>
            <w:r w:rsidR="00332D6C">
              <w:rPr>
                <w:rFonts w:eastAsiaTheme="minorEastAsia" w:cstheme="minorBidi"/>
                <w:i w:val="0"/>
                <w:iCs w:val="0"/>
                <w:noProof/>
                <w:szCs w:val="22"/>
              </w:rPr>
              <w:tab/>
            </w:r>
            <w:r w:rsidR="00332D6C" w:rsidRPr="009F465B">
              <w:rPr>
                <w:rStyle w:val="Hyperlink"/>
                <w:rFonts w:eastAsiaTheme="majorEastAsia"/>
                <w:noProof/>
                <w:lang w:eastAsia="en-US"/>
              </w:rPr>
              <w:t>Impacts économiques et sociaux</w:t>
            </w:r>
            <w:r w:rsidR="00332D6C">
              <w:rPr>
                <w:noProof/>
                <w:webHidden/>
              </w:rPr>
              <w:tab/>
            </w:r>
            <w:r w:rsidR="00332D6C">
              <w:rPr>
                <w:noProof/>
                <w:webHidden/>
              </w:rPr>
              <w:fldChar w:fldCharType="begin"/>
            </w:r>
            <w:r w:rsidR="00332D6C">
              <w:rPr>
                <w:noProof/>
                <w:webHidden/>
              </w:rPr>
              <w:instrText xml:space="preserve"> PAGEREF _Toc138344606 \h </w:instrText>
            </w:r>
            <w:r w:rsidR="00332D6C">
              <w:rPr>
                <w:noProof/>
                <w:webHidden/>
              </w:rPr>
            </w:r>
            <w:r w:rsidR="00332D6C">
              <w:rPr>
                <w:noProof/>
                <w:webHidden/>
              </w:rPr>
              <w:fldChar w:fldCharType="separate"/>
            </w:r>
            <w:r w:rsidR="00332D6C">
              <w:rPr>
                <w:noProof/>
                <w:webHidden/>
              </w:rPr>
              <w:t>80</w:t>
            </w:r>
            <w:r w:rsidR="00332D6C">
              <w:rPr>
                <w:noProof/>
                <w:webHidden/>
              </w:rPr>
              <w:fldChar w:fldCharType="end"/>
            </w:r>
          </w:hyperlink>
        </w:p>
        <w:p w14:paraId="33C98F3F" w14:textId="74B77216" w:rsidR="00332D6C" w:rsidRDefault="00757301">
          <w:pPr>
            <w:pStyle w:val="TOC3"/>
            <w:tabs>
              <w:tab w:val="left" w:pos="1200"/>
              <w:tab w:val="right" w:leader="dot" w:pos="9854"/>
            </w:tabs>
            <w:rPr>
              <w:rFonts w:eastAsiaTheme="minorEastAsia" w:cstheme="minorBidi"/>
              <w:i w:val="0"/>
              <w:iCs w:val="0"/>
              <w:noProof/>
              <w:szCs w:val="22"/>
            </w:rPr>
          </w:pPr>
          <w:hyperlink w:anchor="_Toc138344607" w:history="1">
            <w:r w:rsidR="00332D6C" w:rsidRPr="009F465B">
              <w:rPr>
                <w:rStyle w:val="Hyperlink"/>
                <w:rFonts w:ascii="Marianne" w:eastAsiaTheme="majorEastAsia" w:hAnsi="Marianne"/>
                <w:noProof/>
                <w:lang w:eastAsia="en-US"/>
              </w:rPr>
              <w:t>D.3.</w:t>
            </w:r>
            <w:r w:rsidR="00332D6C">
              <w:rPr>
                <w:rFonts w:eastAsiaTheme="minorEastAsia" w:cstheme="minorBidi"/>
                <w:i w:val="0"/>
                <w:iCs w:val="0"/>
                <w:noProof/>
                <w:szCs w:val="22"/>
              </w:rPr>
              <w:tab/>
            </w:r>
            <w:r w:rsidR="00332D6C" w:rsidRPr="009F465B">
              <w:rPr>
                <w:rStyle w:val="Hyperlink"/>
                <w:rFonts w:eastAsiaTheme="majorEastAsia"/>
                <w:noProof/>
                <w:lang w:eastAsia="en-US"/>
              </w:rPr>
              <w:t>Minimisation des effets adverses sur les pays en voie de développement</w:t>
            </w:r>
            <w:r w:rsidR="00332D6C">
              <w:rPr>
                <w:noProof/>
                <w:webHidden/>
              </w:rPr>
              <w:tab/>
            </w:r>
            <w:r w:rsidR="00332D6C">
              <w:rPr>
                <w:noProof/>
                <w:webHidden/>
              </w:rPr>
              <w:fldChar w:fldCharType="begin"/>
            </w:r>
            <w:r w:rsidR="00332D6C">
              <w:rPr>
                <w:noProof/>
                <w:webHidden/>
              </w:rPr>
              <w:instrText xml:space="preserve"> PAGEREF _Toc138344607 \h </w:instrText>
            </w:r>
            <w:r w:rsidR="00332D6C">
              <w:rPr>
                <w:noProof/>
                <w:webHidden/>
              </w:rPr>
            </w:r>
            <w:r w:rsidR="00332D6C">
              <w:rPr>
                <w:noProof/>
                <w:webHidden/>
              </w:rPr>
              <w:fldChar w:fldCharType="separate"/>
            </w:r>
            <w:r w:rsidR="00332D6C">
              <w:rPr>
                <w:noProof/>
                <w:webHidden/>
              </w:rPr>
              <w:t>80</w:t>
            </w:r>
            <w:r w:rsidR="00332D6C">
              <w:rPr>
                <w:noProof/>
                <w:webHidden/>
              </w:rPr>
              <w:fldChar w:fldCharType="end"/>
            </w:r>
          </w:hyperlink>
        </w:p>
        <w:p w14:paraId="56892E5D" w14:textId="65C72E6F" w:rsidR="00332D6C" w:rsidRDefault="00757301">
          <w:pPr>
            <w:pStyle w:val="TOC1"/>
            <w:rPr>
              <w:rFonts w:eastAsiaTheme="minorEastAsia" w:cstheme="minorBidi"/>
              <w:b w:val="0"/>
              <w:bCs w:val="0"/>
              <w:caps w:val="0"/>
              <w:noProof/>
              <w:szCs w:val="22"/>
            </w:rPr>
          </w:pPr>
          <w:hyperlink w:anchor="_Toc138344608" w:history="1">
            <w:r w:rsidR="00332D6C" w:rsidRPr="009F465B">
              <w:rPr>
                <w:rStyle w:val="Hyperlink"/>
                <w:rFonts w:eastAsiaTheme="majorEastAsia"/>
                <w:noProof/>
              </w:rPr>
              <w:t>Chapitre IV – Projections d’émissions de gaz à effet de serre</w:t>
            </w:r>
            <w:r w:rsidR="00332D6C">
              <w:rPr>
                <w:noProof/>
                <w:webHidden/>
              </w:rPr>
              <w:tab/>
            </w:r>
            <w:r w:rsidR="00332D6C">
              <w:rPr>
                <w:noProof/>
                <w:webHidden/>
              </w:rPr>
              <w:fldChar w:fldCharType="begin"/>
            </w:r>
            <w:r w:rsidR="00332D6C">
              <w:rPr>
                <w:noProof/>
                <w:webHidden/>
              </w:rPr>
              <w:instrText xml:space="preserve"> PAGEREF _Toc138344608 \h </w:instrText>
            </w:r>
            <w:r w:rsidR="00332D6C">
              <w:rPr>
                <w:noProof/>
                <w:webHidden/>
              </w:rPr>
            </w:r>
            <w:r w:rsidR="00332D6C">
              <w:rPr>
                <w:noProof/>
                <w:webHidden/>
              </w:rPr>
              <w:fldChar w:fldCharType="separate"/>
            </w:r>
            <w:r w:rsidR="00332D6C">
              <w:rPr>
                <w:noProof/>
                <w:webHidden/>
              </w:rPr>
              <w:t>82</w:t>
            </w:r>
            <w:r w:rsidR="00332D6C">
              <w:rPr>
                <w:noProof/>
                <w:webHidden/>
              </w:rPr>
              <w:fldChar w:fldCharType="end"/>
            </w:r>
          </w:hyperlink>
        </w:p>
        <w:p w14:paraId="67C494C0" w14:textId="3AF6670B" w:rsidR="00332D6C" w:rsidRDefault="00757301">
          <w:pPr>
            <w:pStyle w:val="TOC2"/>
            <w:tabs>
              <w:tab w:val="left" w:pos="800"/>
              <w:tab w:val="right" w:leader="dot" w:pos="9854"/>
            </w:tabs>
            <w:rPr>
              <w:rFonts w:eastAsiaTheme="minorEastAsia" w:cstheme="minorBidi"/>
              <w:smallCaps w:val="0"/>
              <w:noProof/>
              <w:szCs w:val="22"/>
            </w:rPr>
          </w:pPr>
          <w:hyperlink w:anchor="_Toc138344609" w:history="1">
            <w:r w:rsidR="00332D6C" w:rsidRPr="009F465B">
              <w:rPr>
                <w:rStyle w:val="Hyperlink"/>
                <w:rFonts w:eastAsiaTheme="majorEastAsia"/>
                <w:noProof/>
              </w:rPr>
              <w:t>A.</w:t>
            </w:r>
            <w:r w:rsidR="00332D6C">
              <w:rPr>
                <w:rFonts w:eastAsiaTheme="minorEastAsia" w:cstheme="minorBidi"/>
                <w:smallCaps w:val="0"/>
                <w:noProof/>
                <w:szCs w:val="22"/>
              </w:rPr>
              <w:tab/>
            </w:r>
            <w:r w:rsidR="00332D6C" w:rsidRPr="009F465B">
              <w:rPr>
                <w:rStyle w:val="Hyperlink"/>
                <w:rFonts w:eastAsiaTheme="majorEastAsia"/>
                <w:noProof/>
              </w:rPr>
              <w:t>Définition des scenarios</w:t>
            </w:r>
            <w:r w:rsidR="00332D6C">
              <w:rPr>
                <w:noProof/>
                <w:webHidden/>
              </w:rPr>
              <w:tab/>
            </w:r>
            <w:r w:rsidR="00332D6C">
              <w:rPr>
                <w:noProof/>
                <w:webHidden/>
              </w:rPr>
              <w:fldChar w:fldCharType="begin"/>
            </w:r>
            <w:r w:rsidR="00332D6C">
              <w:rPr>
                <w:noProof/>
                <w:webHidden/>
              </w:rPr>
              <w:instrText xml:space="preserve"> PAGEREF _Toc138344609 \h </w:instrText>
            </w:r>
            <w:r w:rsidR="00332D6C">
              <w:rPr>
                <w:noProof/>
                <w:webHidden/>
              </w:rPr>
            </w:r>
            <w:r w:rsidR="00332D6C">
              <w:rPr>
                <w:noProof/>
                <w:webHidden/>
              </w:rPr>
              <w:fldChar w:fldCharType="separate"/>
            </w:r>
            <w:r w:rsidR="00332D6C">
              <w:rPr>
                <w:noProof/>
                <w:webHidden/>
              </w:rPr>
              <w:t>82</w:t>
            </w:r>
            <w:r w:rsidR="00332D6C">
              <w:rPr>
                <w:noProof/>
                <w:webHidden/>
              </w:rPr>
              <w:fldChar w:fldCharType="end"/>
            </w:r>
          </w:hyperlink>
        </w:p>
        <w:p w14:paraId="7B8B8A53" w14:textId="5C06013F" w:rsidR="00332D6C" w:rsidRDefault="00757301">
          <w:pPr>
            <w:pStyle w:val="TOC2"/>
            <w:tabs>
              <w:tab w:val="left" w:pos="600"/>
              <w:tab w:val="right" w:leader="dot" w:pos="9854"/>
            </w:tabs>
            <w:rPr>
              <w:rFonts w:eastAsiaTheme="minorEastAsia" w:cstheme="minorBidi"/>
              <w:smallCaps w:val="0"/>
              <w:noProof/>
              <w:szCs w:val="22"/>
            </w:rPr>
          </w:pPr>
          <w:hyperlink w:anchor="_Toc138344610" w:history="1">
            <w:r w:rsidR="00332D6C" w:rsidRPr="009F465B">
              <w:rPr>
                <w:rStyle w:val="Hyperlink"/>
                <w:rFonts w:eastAsiaTheme="majorEastAsia"/>
                <w:noProof/>
              </w:rPr>
              <w:t>B.</w:t>
            </w:r>
            <w:r w:rsidR="00332D6C">
              <w:rPr>
                <w:rFonts w:eastAsiaTheme="minorEastAsia" w:cstheme="minorBidi"/>
                <w:smallCaps w:val="0"/>
                <w:noProof/>
                <w:szCs w:val="22"/>
              </w:rPr>
              <w:tab/>
            </w:r>
            <w:r w:rsidR="00332D6C" w:rsidRPr="009F465B">
              <w:rPr>
                <w:rStyle w:val="Hyperlink"/>
                <w:rFonts w:eastAsiaTheme="majorEastAsia"/>
                <w:noProof/>
              </w:rPr>
              <w:t>Principales politiques et mesures inclues dans les scénarios</w:t>
            </w:r>
            <w:r w:rsidR="00332D6C">
              <w:rPr>
                <w:noProof/>
                <w:webHidden/>
              </w:rPr>
              <w:tab/>
            </w:r>
            <w:r w:rsidR="00332D6C">
              <w:rPr>
                <w:noProof/>
                <w:webHidden/>
              </w:rPr>
              <w:fldChar w:fldCharType="begin"/>
            </w:r>
            <w:r w:rsidR="00332D6C">
              <w:rPr>
                <w:noProof/>
                <w:webHidden/>
              </w:rPr>
              <w:instrText xml:space="preserve"> PAGEREF _Toc138344610 \h </w:instrText>
            </w:r>
            <w:r w:rsidR="00332D6C">
              <w:rPr>
                <w:noProof/>
                <w:webHidden/>
              </w:rPr>
            </w:r>
            <w:r w:rsidR="00332D6C">
              <w:rPr>
                <w:noProof/>
                <w:webHidden/>
              </w:rPr>
              <w:fldChar w:fldCharType="separate"/>
            </w:r>
            <w:r w:rsidR="00332D6C">
              <w:rPr>
                <w:noProof/>
                <w:webHidden/>
              </w:rPr>
              <w:t>83</w:t>
            </w:r>
            <w:r w:rsidR="00332D6C">
              <w:rPr>
                <w:noProof/>
                <w:webHidden/>
              </w:rPr>
              <w:fldChar w:fldCharType="end"/>
            </w:r>
          </w:hyperlink>
        </w:p>
        <w:p w14:paraId="334686AB" w14:textId="1397F944" w:rsidR="00332D6C" w:rsidRDefault="00757301">
          <w:pPr>
            <w:pStyle w:val="TOC3"/>
            <w:tabs>
              <w:tab w:val="left" w:pos="1000"/>
              <w:tab w:val="right" w:leader="dot" w:pos="9854"/>
            </w:tabs>
            <w:rPr>
              <w:rFonts w:eastAsiaTheme="minorEastAsia" w:cstheme="minorBidi"/>
              <w:i w:val="0"/>
              <w:iCs w:val="0"/>
              <w:noProof/>
              <w:szCs w:val="22"/>
            </w:rPr>
          </w:pPr>
          <w:hyperlink w:anchor="_Toc138344611" w:history="1">
            <w:r w:rsidR="00332D6C" w:rsidRPr="009F465B">
              <w:rPr>
                <w:rStyle w:val="Hyperlink"/>
                <w:rFonts w:ascii="Marianne" w:eastAsiaTheme="majorEastAsia" w:hAnsi="Marianne"/>
                <w:noProof/>
              </w:rPr>
              <w:t>B.2.</w:t>
            </w:r>
            <w:r w:rsidR="00332D6C">
              <w:rPr>
                <w:rFonts w:eastAsiaTheme="minorEastAsia" w:cstheme="minorBidi"/>
                <w:i w:val="0"/>
                <w:iCs w:val="0"/>
                <w:noProof/>
                <w:szCs w:val="22"/>
              </w:rPr>
              <w:tab/>
            </w:r>
            <w:r w:rsidR="00332D6C" w:rsidRPr="009F465B">
              <w:rPr>
                <w:rStyle w:val="Hyperlink"/>
                <w:rFonts w:eastAsiaTheme="majorEastAsia"/>
                <w:noProof/>
              </w:rPr>
              <w:t>Analyse de sensibilité</w:t>
            </w:r>
            <w:r w:rsidR="00332D6C">
              <w:rPr>
                <w:noProof/>
                <w:webHidden/>
              </w:rPr>
              <w:tab/>
            </w:r>
            <w:r w:rsidR="00332D6C">
              <w:rPr>
                <w:noProof/>
                <w:webHidden/>
              </w:rPr>
              <w:fldChar w:fldCharType="begin"/>
            </w:r>
            <w:r w:rsidR="00332D6C">
              <w:rPr>
                <w:noProof/>
                <w:webHidden/>
              </w:rPr>
              <w:instrText xml:space="preserve"> PAGEREF _Toc138344611 \h </w:instrText>
            </w:r>
            <w:r w:rsidR="00332D6C">
              <w:rPr>
                <w:noProof/>
                <w:webHidden/>
              </w:rPr>
            </w:r>
            <w:r w:rsidR="00332D6C">
              <w:rPr>
                <w:noProof/>
                <w:webHidden/>
              </w:rPr>
              <w:fldChar w:fldCharType="separate"/>
            </w:r>
            <w:r w:rsidR="00332D6C">
              <w:rPr>
                <w:noProof/>
                <w:webHidden/>
              </w:rPr>
              <w:t>89</w:t>
            </w:r>
            <w:r w:rsidR="00332D6C">
              <w:rPr>
                <w:noProof/>
                <w:webHidden/>
              </w:rPr>
              <w:fldChar w:fldCharType="end"/>
            </w:r>
          </w:hyperlink>
        </w:p>
        <w:p w14:paraId="33A912FB" w14:textId="62DFDFE4" w:rsidR="00332D6C" w:rsidRDefault="00757301">
          <w:pPr>
            <w:pStyle w:val="TOC2"/>
            <w:tabs>
              <w:tab w:val="left" w:pos="600"/>
              <w:tab w:val="right" w:leader="dot" w:pos="9854"/>
            </w:tabs>
            <w:rPr>
              <w:rFonts w:eastAsiaTheme="minorEastAsia" w:cstheme="minorBidi"/>
              <w:smallCaps w:val="0"/>
              <w:noProof/>
              <w:szCs w:val="22"/>
            </w:rPr>
          </w:pPr>
          <w:hyperlink w:anchor="_Toc138344612" w:history="1">
            <w:r w:rsidR="00332D6C" w:rsidRPr="009F465B">
              <w:rPr>
                <w:rStyle w:val="Hyperlink"/>
                <w:rFonts w:eastAsiaTheme="majorEastAsia"/>
                <w:noProof/>
              </w:rPr>
              <w:t>C.</w:t>
            </w:r>
            <w:r w:rsidR="00332D6C">
              <w:rPr>
                <w:rFonts w:eastAsiaTheme="minorEastAsia" w:cstheme="minorBidi"/>
                <w:smallCaps w:val="0"/>
                <w:noProof/>
                <w:szCs w:val="22"/>
              </w:rPr>
              <w:tab/>
            </w:r>
            <w:r w:rsidR="00332D6C" w:rsidRPr="009F465B">
              <w:rPr>
                <w:rStyle w:val="Hyperlink"/>
                <w:rFonts w:eastAsiaTheme="majorEastAsia"/>
                <w:noProof/>
              </w:rPr>
              <w:t>Présentation des résultats généraux</w:t>
            </w:r>
            <w:r w:rsidR="00332D6C">
              <w:rPr>
                <w:noProof/>
                <w:webHidden/>
              </w:rPr>
              <w:tab/>
            </w:r>
            <w:r w:rsidR="00332D6C">
              <w:rPr>
                <w:noProof/>
                <w:webHidden/>
              </w:rPr>
              <w:fldChar w:fldCharType="begin"/>
            </w:r>
            <w:r w:rsidR="00332D6C">
              <w:rPr>
                <w:noProof/>
                <w:webHidden/>
              </w:rPr>
              <w:instrText xml:space="preserve"> PAGEREF _Toc138344612 \h </w:instrText>
            </w:r>
            <w:r w:rsidR="00332D6C">
              <w:rPr>
                <w:noProof/>
                <w:webHidden/>
              </w:rPr>
            </w:r>
            <w:r w:rsidR="00332D6C">
              <w:rPr>
                <w:noProof/>
                <w:webHidden/>
              </w:rPr>
              <w:fldChar w:fldCharType="separate"/>
            </w:r>
            <w:r w:rsidR="00332D6C">
              <w:rPr>
                <w:noProof/>
                <w:webHidden/>
              </w:rPr>
              <w:t>89</w:t>
            </w:r>
            <w:r w:rsidR="00332D6C">
              <w:rPr>
                <w:noProof/>
                <w:webHidden/>
              </w:rPr>
              <w:fldChar w:fldCharType="end"/>
            </w:r>
          </w:hyperlink>
        </w:p>
        <w:p w14:paraId="7849FE3F" w14:textId="7D9A985E" w:rsidR="00332D6C" w:rsidRDefault="00757301">
          <w:pPr>
            <w:pStyle w:val="TOC2"/>
            <w:tabs>
              <w:tab w:val="left" w:pos="600"/>
              <w:tab w:val="right" w:leader="dot" w:pos="9854"/>
            </w:tabs>
            <w:rPr>
              <w:rFonts w:eastAsiaTheme="minorEastAsia" w:cstheme="minorBidi"/>
              <w:smallCaps w:val="0"/>
              <w:noProof/>
              <w:szCs w:val="22"/>
            </w:rPr>
          </w:pPr>
          <w:hyperlink w:anchor="_Toc138344613" w:history="1">
            <w:r w:rsidR="00332D6C" w:rsidRPr="009F465B">
              <w:rPr>
                <w:rStyle w:val="Hyperlink"/>
                <w:rFonts w:eastAsiaTheme="majorEastAsia"/>
                <w:noProof/>
              </w:rPr>
              <w:t>C.</w:t>
            </w:r>
            <w:r w:rsidR="00332D6C">
              <w:rPr>
                <w:rFonts w:eastAsiaTheme="minorEastAsia" w:cstheme="minorBidi"/>
                <w:smallCaps w:val="0"/>
                <w:noProof/>
                <w:szCs w:val="22"/>
              </w:rPr>
              <w:tab/>
            </w:r>
            <w:r w:rsidR="00332D6C" w:rsidRPr="009F465B">
              <w:rPr>
                <w:rStyle w:val="Hyperlink"/>
                <w:rFonts w:eastAsiaTheme="majorEastAsia"/>
                <w:noProof/>
              </w:rPr>
              <w:t>Couverture et présentation</w:t>
            </w:r>
            <w:r w:rsidR="00332D6C">
              <w:rPr>
                <w:noProof/>
                <w:webHidden/>
              </w:rPr>
              <w:tab/>
            </w:r>
            <w:r w:rsidR="00332D6C">
              <w:rPr>
                <w:noProof/>
                <w:webHidden/>
              </w:rPr>
              <w:fldChar w:fldCharType="begin"/>
            </w:r>
            <w:r w:rsidR="00332D6C">
              <w:rPr>
                <w:noProof/>
                <w:webHidden/>
              </w:rPr>
              <w:instrText xml:space="preserve"> PAGEREF _Toc138344613 \h </w:instrText>
            </w:r>
            <w:r w:rsidR="00332D6C">
              <w:rPr>
                <w:noProof/>
                <w:webHidden/>
              </w:rPr>
            </w:r>
            <w:r w:rsidR="00332D6C">
              <w:rPr>
                <w:noProof/>
                <w:webHidden/>
              </w:rPr>
              <w:fldChar w:fldCharType="separate"/>
            </w:r>
            <w:r w:rsidR="00332D6C">
              <w:rPr>
                <w:noProof/>
                <w:webHidden/>
              </w:rPr>
              <w:t>94</w:t>
            </w:r>
            <w:r w:rsidR="00332D6C">
              <w:rPr>
                <w:noProof/>
                <w:webHidden/>
              </w:rPr>
              <w:fldChar w:fldCharType="end"/>
            </w:r>
          </w:hyperlink>
        </w:p>
        <w:p w14:paraId="49ABB9A3" w14:textId="0BF42344" w:rsidR="00332D6C" w:rsidRDefault="00757301">
          <w:pPr>
            <w:pStyle w:val="TOC3"/>
            <w:tabs>
              <w:tab w:val="left" w:pos="1000"/>
              <w:tab w:val="right" w:leader="dot" w:pos="9854"/>
            </w:tabs>
            <w:rPr>
              <w:rFonts w:eastAsiaTheme="minorEastAsia" w:cstheme="minorBidi"/>
              <w:i w:val="0"/>
              <w:iCs w:val="0"/>
              <w:noProof/>
              <w:szCs w:val="22"/>
            </w:rPr>
          </w:pPr>
          <w:hyperlink w:anchor="_Toc138344614" w:history="1">
            <w:r w:rsidR="00332D6C" w:rsidRPr="009F465B">
              <w:rPr>
                <w:rStyle w:val="Hyperlink"/>
                <w:rFonts w:ascii="Marianne" w:eastAsiaTheme="majorEastAsia" w:hAnsi="Marianne"/>
                <w:noProof/>
              </w:rPr>
              <w:t>C.1.</w:t>
            </w:r>
            <w:r w:rsidR="00332D6C">
              <w:rPr>
                <w:rFonts w:eastAsiaTheme="minorEastAsia" w:cstheme="minorBidi"/>
                <w:i w:val="0"/>
                <w:iCs w:val="0"/>
                <w:noProof/>
                <w:szCs w:val="22"/>
              </w:rPr>
              <w:tab/>
            </w:r>
            <w:r w:rsidR="00332D6C" w:rsidRPr="009F465B">
              <w:rPr>
                <w:rStyle w:val="Hyperlink"/>
                <w:rFonts w:eastAsiaTheme="majorEastAsia"/>
                <w:noProof/>
              </w:rPr>
              <w:t>Évolution par secteur d’activités</w:t>
            </w:r>
            <w:r w:rsidR="00332D6C">
              <w:rPr>
                <w:noProof/>
                <w:webHidden/>
              </w:rPr>
              <w:tab/>
            </w:r>
            <w:r w:rsidR="00332D6C">
              <w:rPr>
                <w:noProof/>
                <w:webHidden/>
              </w:rPr>
              <w:fldChar w:fldCharType="begin"/>
            </w:r>
            <w:r w:rsidR="00332D6C">
              <w:rPr>
                <w:noProof/>
                <w:webHidden/>
              </w:rPr>
              <w:instrText xml:space="preserve"> PAGEREF _Toc138344614 \h </w:instrText>
            </w:r>
            <w:r w:rsidR="00332D6C">
              <w:rPr>
                <w:noProof/>
                <w:webHidden/>
              </w:rPr>
            </w:r>
            <w:r w:rsidR="00332D6C">
              <w:rPr>
                <w:noProof/>
                <w:webHidden/>
              </w:rPr>
              <w:fldChar w:fldCharType="separate"/>
            </w:r>
            <w:r w:rsidR="00332D6C">
              <w:rPr>
                <w:noProof/>
                <w:webHidden/>
              </w:rPr>
              <w:t>94</w:t>
            </w:r>
            <w:r w:rsidR="00332D6C">
              <w:rPr>
                <w:noProof/>
                <w:webHidden/>
              </w:rPr>
              <w:fldChar w:fldCharType="end"/>
            </w:r>
          </w:hyperlink>
        </w:p>
        <w:p w14:paraId="5BFD7AB4" w14:textId="1D0138F6" w:rsidR="00332D6C" w:rsidRDefault="00757301">
          <w:pPr>
            <w:pStyle w:val="TOC3"/>
            <w:tabs>
              <w:tab w:val="left" w:pos="1200"/>
              <w:tab w:val="right" w:leader="dot" w:pos="9854"/>
            </w:tabs>
            <w:rPr>
              <w:rFonts w:eastAsiaTheme="minorEastAsia" w:cstheme="minorBidi"/>
              <w:i w:val="0"/>
              <w:iCs w:val="0"/>
              <w:noProof/>
              <w:szCs w:val="22"/>
            </w:rPr>
          </w:pPr>
          <w:hyperlink w:anchor="_Toc138344615" w:history="1">
            <w:r w:rsidR="00332D6C" w:rsidRPr="009F465B">
              <w:rPr>
                <w:rStyle w:val="Hyperlink"/>
                <w:rFonts w:ascii="Marianne" w:eastAsiaTheme="majorEastAsia" w:hAnsi="Marianne"/>
                <w:noProof/>
              </w:rPr>
              <w:t>C.2.</w:t>
            </w:r>
            <w:r w:rsidR="00332D6C">
              <w:rPr>
                <w:rFonts w:eastAsiaTheme="minorEastAsia" w:cstheme="minorBidi"/>
                <w:i w:val="0"/>
                <w:iCs w:val="0"/>
                <w:noProof/>
                <w:szCs w:val="22"/>
              </w:rPr>
              <w:tab/>
            </w:r>
            <w:r w:rsidR="00332D6C" w:rsidRPr="009F465B">
              <w:rPr>
                <w:rStyle w:val="Hyperlink"/>
                <w:rFonts w:eastAsiaTheme="majorEastAsia"/>
                <w:noProof/>
              </w:rPr>
              <w:t>Évolution par gaz</w:t>
            </w:r>
            <w:r w:rsidR="00332D6C">
              <w:rPr>
                <w:noProof/>
                <w:webHidden/>
              </w:rPr>
              <w:tab/>
            </w:r>
            <w:r w:rsidR="00332D6C">
              <w:rPr>
                <w:noProof/>
                <w:webHidden/>
              </w:rPr>
              <w:fldChar w:fldCharType="begin"/>
            </w:r>
            <w:r w:rsidR="00332D6C">
              <w:rPr>
                <w:noProof/>
                <w:webHidden/>
              </w:rPr>
              <w:instrText xml:space="preserve"> PAGEREF _Toc138344615 \h </w:instrText>
            </w:r>
            <w:r w:rsidR="00332D6C">
              <w:rPr>
                <w:noProof/>
                <w:webHidden/>
              </w:rPr>
            </w:r>
            <w:r w:rsidR="00332D6C">
              <w:rPr>
                <w:noProof/>
                <w:webHidden/>
              </w:rPr>
              <w:fldChar w:fldCharType="separate"/>
            </w:r>
            <w:r w:rsidR="00332D6C">
              <w:rPr>
                <w:noProof/>
                <w:webHidden/>
              </w:rPr>
              <w:t>98</w:t>
            </w:r>
            <w:r w:rsidR="00332D6C">
              <w:rPr>
                <w:noProof/>
                <w:webHidden/>
              </w:rPr>
              <w:fldChar w:fldCharType="end"/>
            </w:r>
          </w:hyperlink>
        </w:p>
        <w:p w14:paraId="26593916" w14:textId="0CA548EA" w:rsidR="00332D6C" w:rsidRDefault="00757301">
          <w:pPr>
            <w:pStyle w:val="TOC2"/>
            <w:tabs>
              <w:tab w:val="left" w:pos="800"/>
              <w:tab w:val="right" w:leader="dot" w:pos="9854"/>
            </w:tabs>
            <w:rPr>
              <w:rFonts w:eastAsiaTheme="minorEastAsia" w:cstheme="minorBidi"/>
              <w:smallCaps w:val="0"/>
              <w:noProof/>
              <w:szCs w:val="22"/>
            </w:rPr>
          </w:pPr>
          <w:hyperlink w:anchor="_Toc138344619" w:history="1">
            <w:r w:rsidR="00332D6C" w:rsidRPr="009F465B">
              <w:rPr>
                <w:rStyle w:val="Hyperlink"/>
                <w:rFonts w:eastAsiaTheme="majorEastAsia"/>
                <w:noProof/>
              </w:rPr>
              <w:t>D.</w:t>
            </w:r>
            <w:r w:rsidR="00332D6C">
              <w:rPr>
                <w:rFonts w:eastAsiaTheme="minorEastAsia" w:cstheme="minorBidi"/>
                <w:smallCaps w:val="0"/>
                <w:noProof/>
                <w:szCs w:val="22"/>
              </w:rPr>
              <w:tab/>
            </w:r>
            <w:r w:rsidR="00332D6C" w:rsidRPr="009F465B">
              <w:rPr>
                <w:rStyle w:val="Hyperlink"/>
                <w:rFonts w:eastAsiaTheme="majorEastAsia"/>
                <w:noProof/>
              </w:rPr>
              <w:t>Atteinte des objectifs de la France</w:t>
            </w:r>
            <w:r w:rsidR="00332D6C">
              <w:rPr>
                <w:noProof/>
                <w:webHidden/>
              </w:rPr>
              <w:tab/>
            </w:r>
            <w:r w:rsidR="00332D6C">
              <w:rPr>
                <w:noProof/>
                <w:webHidden/>
              </w:rPr>
              <w:fldChar w:fldCharType="begin"/>
            </w:r>
            <w:r w:rsidR="00332D6C">
              <w:rPr>
                <w:noProof/>
                <w:webHidden/>
              </w:rPr>
              <w:instrText xml:space="preserve"> PAGEREF _Toc138344619 \h </w:instrText>
            </w:r>
            <w:r w:rsidR="00332D6C">
              <w:rPr>
                <w:noProof/>
                <w:webHidden/>
              </w:rPr>
            </w:r>
            <w:r w:rsidR="00332D6C">
              <w:rPr>
                <w:noProof/>
                <w:webHidden/>
              </w:rPr>
              <w:fldChar w:fldCharType="separate"/>
            </w:r>
            <w:r w:rsidR="00332D6C">
              <w:rPr>
                <w:noProof/>
                <w:webHidden/>
              </w:rPr>
              <w:t>109</w:t>
            </w:r>
            <w:r w:rsidR="00332D6C">
              <w:rPr>
                <w:noProof/>
                <w:webHidden/>
              </w:rPr>
              <w:fldChar w:fldCharType="end"/>
            </w:r>
          </w:hyperlink>
        </w:p>
        <w:p w14:paraId="47EFD7D5" w14:textId="3C204C6B" w:rsidR="00332D6C" w:rsidRDefault="00757301">
          <w:pPr>
            <w:pStyle w:val="TOC2"/>
            <w:tabs>
              <w:tab w:val="left" w:pos="600"/>
              <w:tab w:val="right" w:leader="dot" w:pos="9854"/>
            </w:tabs>
            <w:rPr>
              <w:rFonts w:eastAsiaTheme="minorEastAsia" w:cstheme="minorBidi"/>
              <w:smallCaps w:val="0"/>
              <w:noProof/>
              <w:szCs w:val="22"/>
            </w:rPr>
          </w:pPr>
          <w:hyperlink w:anchor="_Toc138344620" w:history="1">
            <w:r w:rsidR="00332D6C" w:rsidRPr="009F465B">
              <w:rPr>
                <w:rStyle w:val="Hyperlink"/>
                <w:rFonts w:eastAsiaTheme="majorEastAsia"/>
                <w:noProof/>
              </w:rPr>
              <w:t>E.</w:t>
            </w:r>
            <w:r w:rsidR="00332D6C">
              <w:rPr>
                <w:rFonts w:eastAsiaTheme="minorEastAsia" w:cstheme="minorBidi"/>
                <w:smallCaps w:val="0"/>
                <w:noProof/>
                <w:szCs w:val="22"/>
              </w:rPr>
              <w:tab/>
            </w:r>
            <w:r w:rsidR="00332D6C" w:rsidRPr="009F465B">
              <w:rPr>
                <w:rStyle w:val="Hyperlink"/>
                <w:rFonts w:eastAsiaTheme="majorEastAsia"/>
                <w:noProof/>
              </w:rPr>
              <w:t>Evolution sur les modèles et méthodologies</w:t>
            </w:r>
            <w:r w:rsidR="00332D6C">
              <w:rPr>
                <w:noProof/>
                <w:webHidden/>
              </w:rPr>
              <w:tab/>
            </w:r>
            <w:r w:rsidR="00332D6C">
              <w:rPr>
                <w:noProof/>
                <w:webHidden/>
              </w:rPr>
              <w:fldChar w:fldCharType="begin"/>
            </w:r>
            <w:r w:rsidR="00332D6C">
              <w:rPr>
                <w:noProof/>
                <w:webHidden/>
              </w:rPr>
              <w:instrText xml:space="preserve"> PAGEREF _Toc138344620 \h </w:instrText>
            </w:r>
            <w:r w:rsidR="00332D6C">
              <w:rPr>
                <w:noProof/>
                <w:webHidden/>
              </w:rPr>
            </w:r>
            <w:r w:rsidR="00332D6C">
              <w:rPr>
                <w:noProof/>
                <w:webHidden/>
              </w:rPr>
              <w:fldChar w:fldCharType="separate"/>
            </w:r>
            <w:r w:rsidR="00332D6C">
              <w:rPr>
                <w:noProof/>
                <w:webHidden/>
              </w:rPr>
              <w:t>109</w:t>
            </w:r>
            <w:r w:rsidR="00332D6C">
              <w:rPr>
                <w:noProof/>
                <w:webHidden/>
              </w:rPr>
              <w:fldChar w:fldCharType="end"/>
            </w:r>
          </w:hyperlink>
        </w:p>
        <w:p w14:paraId="5737F439" w14:textId="4528BDF8" w:rsidR="00332D6C" w:rsidRDefault="00757301">
          <w:pPr>
            <w:pStyle w:val="TOC3"/>
            <w:tabs>
              <w:tab w:val="left" w:pos="1000"/>
              <w:tab w:val="right" w:leader="dot" w:pos="9854"/>
            </w:tabs>
            <w:rPr>
              <w:rFonts w:eastAsiaTheme="minorEastAsia" w:cstheme="minorBidi"/>
              <w:i w:val="0"/>
              <w:iCs w:val="0"/>
              <w:noProof/>
              <w:szCs w:val="22"/>
            </w:rPr>
          </w:pPr>
          <w:hyperlink w:anchor="_Toc138344621" w:history="1">
            <w:r w:rsidR="00332D6C" w:rsidRPr="009F465B">
              <w:rPr>
                <w:rStyle w:val="Hyperlink"/>
                <w:rFonts w:ascii="Marianne" w:eastAsiaTheme="majorEastAsia" w:hAnsi="Marianne"/>
                <w:noProof/>
              </w:rPr>
              <w:t>E.1.</w:t>
            </w:r>
            <w:r w:rsidR="00332D6C">
              <w:rPr>
                <w:rFonts w:eastAsiaTheme="minorEastAsia" w:cstheme="minorBidi"/>
                <w:i w:val="0"/>
                <w:iCs w:val="0"/>
                <w:noProof/>
                <w:szCs w:val="22"/>
              </w:rPr>
              <w:tab/>
            </w:r>
            <w:r w:rsidR="00332D6C" w:rsidRPr="009F465B">
              <w:rPr>
                <w:rStyle w:val="Hyperlink"/>
                <w:rFonts w:eastAsiaTheme="majorEastAsia"/>
                <w:noProof/>
              </w:rPr>
              <w:t>Modélisations utilisées</w:t>
            </w:r>
            <w:r w:rsidR="00332D6C">
              <w:rPr>
                <w:noProof/>
                <w:webHidden/>
              </w:rPr>
              <w:tab/>
            </w:r>
            <w:r w:rsidR="00332D6C">
              <w:rPr>
                <w:noProof/>
                <w:webHidden/>
              </w:rPr>
              <w:fldChar w:fldCharType="begin"/>
            </w:r>
            <w:r w:rsidR="00332D6C">
              <w:rPr>
                <w:noProof/>
                <w:webHidden/>
              </w:rPr>
              <w:instrText xml:space="preserve"> PAGEREF _Toc138344621 \h </w:instrText>
            </w:r>
            <w:r w:rsidR="00332D6C">
              <w:rPr>
                <w:noProof/>
                <w:webHidden/>
              </w:rPr>
            </w:r>
            <w:r w:rsidR="00332D6C">
              <w:rPr>
                <w:noProof/>
                <w:webHidden/>
              </w:rPr>
              <w:fldChar w:fldCharType="separate"/>
            </w:r>
            <w:r w:rsidR="00332D6C">
              <w:rPr>
                <w:noProof/>
                <w:webHidden/>
              </w:rPr>
              <w:t>109</w:t>
            </w:r>
            <w:r w:rsidR="00332D6C">
              <w:rPr>
                <w:noProof/>
                <w:webHidden/>
              </w:rPr>
              <w:fldChar w:fldCharType="end"/>
            </w:r>
          </w:hyperlink>
        </w:p>
        <w:p w14:paraId="18A1137D" w14:textId="48B0FB54" w:rsidR="00332D6C" w:rsidRDefault="00757301">
          <w:pPr>
            <w:pStyle w:val="TOC3"/>
            <w:tabs>
              <w:tab w:val="left" w:pos="1000"/>
              <w:tab w:val="right" w:leader="dot" w:pos="9854"/>
            </w:tabs>
            <w:rPr>
              <w:rFonts w:eastAsiaTheme="minorEastAsia" w:cstheme="minorBidi"/>
              <w:i w:val="0"/>
              <w:iCs w:val="0"/>
              <w:noProof/>
              <w:szCs w:val="22"/>
            </w:rPr>
          </w:pPr>
          <w:hyperlink w:anchor="_Toc138344622" w:history="1">
            <w:r w:rsidR="00332D6C" w:rsidRPr="009F465B">
              <w:rPr>
                <w:rStyle w:val="Hyperlink"/>
                <w:rFonts w:ascii="Marianne" w:eastAsiaTheme="majorEastAsia" w:hAnsi="Marianne"/>
                <w:noProof/>
              </w:rPr>
              <w:t>E.2.</w:t>
            </w:r>
            <w:r w:rsidR="00332D6C">
              <w:rPr>
                <w:rFonts w:eastAsiaTheme="minorEastAsia" w:cstheme="minorBidi"/>
                <w:i w:val="0"/>
                <w:iCs w:val="0"/>
                <w:noProof/>
                <w:szCs w:val="22"/>
              </w:rPr>
              <w:tab/>
            </w:r>
            <w:r w:rsidR="00332D6C" w:rsidRPr="009F465B">
              <w:rPr>
                <w:rStyle w:val="Hyperlink"/>
                <w:rFonts w:eastAsiaTheme="majorEastAsia"/>
                <w:noProof/>
              </w:rPr>
              <w:t>Hypothèses du scénario de référence</w:t>
            </w:r>
            <w:r w:rsidR="00332D6C">
              <w:rPr>
                <w:noProof/>
                <w:webHidden/>
              </w:rPr>
              <w:tab/>
            </w:r>
            <w:r w:rsidR="00332D6C">
              <w:rPr>
                <w:noProof/>
                <w:webHidden/>
              </w:rPr>
              <w:fldChar w:fldCharType="begin"/>
            </w:r>
            <w:r w:rsidR="00332D6C">
              <w:rPr>
                <w:noProof/>
                <w:webHidden/>
              </w:rPr>
              <w:instrText xml:space="preserve"> PAGEREF _Toc138344622 \h </w:instrText>
            </w:r>
            <w:r w:rsidR="00332D6C">
              <w:rPr>
                <w:noProof/>
                <w:webHidden/>
              </w:rPr>
            </w:r>
            <w:r w:rsidR="00332D6C">
              <w:rPr>
                <w:noProof/>
                <w:webHidden/>
              </w:rPr>
              <w:fldChar w:fldCharType="separate"/>
            </w:r>
            <w:r w:rsidR="00332D6C">
              <w:rPr>
                <w:noProof/>
                <w:webHidden/>
              </w:rPr>
              <w:t>113</w:t>
            </w:r>
            <w:r w:rsidR="00332D6C">
              <w:rPr>
                <w:noProof/>
                <w:webHidden/>
              </w:rPr>
              <w:fldChar w:fldCharType="end"/>
            </w:r>
          </w:hyperlink>
        </w:p>
        <w:p w14:paraId="767561A6" w14:textId="5433F18A" w:rsidR="00332D6C" w:rsidRDefault="00757301">
          <w:pPr>
            <w:pStyle w:val="TOC1"/>
            <w:rPr>
              <w:rFonts w:eastAsiaTheme="minorEastAsia" w:cstheme="minorBidi"/>
              <w:b w:val="0"/>
              <w:bCs w:val="0"/>
              <w:caps w:val="0"/>
              <w:noProof/>
              <w:szCs w:val="22"/>
            </w:rPr>
          </w:pPr>
          <w:hyperlink w:anchor="_Toc138344623" w:history="1">
            <w:r w:rsidR="00332D6C" w:rsidRPr="009F465B">
              <w:rPr>
                <w:rStyle w:val="Hyperlink"/>
                <w:rFonts w:eastAsiaTheme="majorEastAsia"/>
                <w:noProof/>
              </w:rPr>
              <w:t>Chapitre V – Assistance apportée aux pays en développement sous la forme de ressources financières, de technologie et de renforcement de capacité</w:t>
            </w:r>
            <w:r w:rsidR="00332D6C">
              <w:rPr>
                <w:noProof/>
                <w:webHidden/>
              </w:rPr>
              <w:tab/>
            </w:r>
            <w:r w:rsidR="00332D6C">
              <w:rPr>
                <w:noProof/>
                <w:webHidden/>
              </w:rPr>
              <w:fldChar w:fldCharType="begin"/>
            </w:r>
            <w:r w:rsidR="00332D6C">
              <w:rPr>
                <w:noProof/>
                <w:webHidden/>
              </w:rPr>
              <w:instrText xml:space="preserve"> PAGEREF _Toc138344623 \h </w:instrText>
            </w:r>
            <w:r w:rsidR="00332D6C">
              <w:rPr>
                <w:noProof/>
                <w:webHidden/>
              </w:rPr>
            </w:r>
            <w:r w:rsidR="00332D6C">
              <w:rPr>
                <w:noProof/>
                <w:webHidden/>
              </w:rPr>
              <w:fldChar w:fldCharType="separate"/>
            </w:r>
            <w:r w:rsidR="00332D6C">
              <w:rPr>
                <w:noProof/>
                <w:webHidden/>
              </w:rPr>
              <w:t>117</w:t>
            </w:r>
            <w:r w:rsidR="00332D6C">
              <w:rPr>
                <w:noProof/>
                <w:webHidden/>
              </w:rPr>
              <w:fldChar w:fldCharType="end"/>
            </w:r>
          </w:hyperlink>
        </w:p>
        <w:p w14:paraId="103002D6" w14:textId="2B00B12D" w:rsidR="00332D6C" w:rsidRDefault="00757301">
          <w:pPr>
            <w:pStyle w:val="TOC2"/>
            <w:tabs>
              <w:tab w:val="right" w:leader="dot" w:pos="9854"/>
            </w:tabs>
            <w:rPr>
              <w:rFonts w:eastAsiaTheme="minorEastAsia" w:cstheme="minorBidi"/>
              <w:smallCaps w:val="0"/>
              <w:noProof/>
              <w:szCs w:val="22"/>
            </w:rPr>
          </w:pPr>
          <w:hyperlink w:anchor="_Toc138344624" w:history="1">
            <w:r w:rsidR="00332D6C" w:rsidRPr="009F465B">
              <w:rPr>
                <w:rStyle w:val="Hyperlink"/>
                <w:rFonts w:eastAsiaTheme="majorEastAsia"/>
                <w:noProof/>
              </w:rPr>
              <w:t>Généralité</w:t>
            </w:r>
            <w:r w:rsidR="00332D6C">
              <w:rPr>
                <w:noProof/>
                <w:webHidden/>
              </w:rPr>
              <w:tab/>
            </w:r>
            <w:r w:rsidR="00332D6C">
              <w:rPr>
                <w:noProof/>
                <w:webHidden/>
              </w:rPr>
              <w:fldChar w:fldCharType="begin"/>
            </w:r>
            <w:r w:rsidR="00332D6C">
              <w:rPr>
                <w:noProof/>
                <w:webHidden/>
              </w:rPr>
              <w:instrText xml:space="preserve"> PAGEREF _Toc138344624 \h </w:instrText>
            </w:r>
            <w:r w:rsidR="00332D6C">
              <w:rPr>
                <w:noProof/>
                <w:webHidden/>
              </w:rPr>
            </w:r>
            <w:r w:rsidR="00332D6C">
              <w:rPr>
                <w:noProof/>
                <w:webHidden/>
              </w:rPr>
              <w:fldChar w:fldCharType="separate"/>
            </w:r>
            <w:r w:rsidR="00332D6C">
              <w:rPr>
                <w:noProof/>
                <w:webHidden/>
              </w:rPr>
              <w:t>117</w:t>
            </w:r>
            <w:r w:rsidR="00332D6C">
              <w:rPr>
                <w:noProof/>
                <w:webHidden/>
              </w:rPr>
              <w:fldChar w:fldCharType="end"/>
            </w:r>
          </w:hyperlink>
        </w:p>
        <w:p w14:paraId="1CE98404" w14:textId="0D43DB20" w:rsidR="00332D6C" w:rsidRDefault="00757301">
          <w:pPr>
            <w:pStyle w:val="TOC2"/>
            <w:tabs>
              <w:tab w:val="left" w:pos="800"/>
              <w:tab w:val="right" w:leader="dot" w:pos="9854"/>
            </w:tabs>
            <w:rPr>
              <w:rFonts w:eastAsiaTheme="minorEastAsia" w:cstheme="minorBidi"/>
              <w:smallCaps w:val="0"/>
              <w:noProof/>
              <w:szCs w:val="22"/>
            </w:rPr>
          </w:pPr>
          <w:hyperlink w:anchor="_Toc138344625" w:history="1">
            <w:r w:rsidR="00332D6C" w:rsidRPr="009F465B">
              <w:rPr>
                <w:rStyle w:val="Hyperlink"/>
                <w:rFonts w:eastAsiaTheme="majorEastAsia"/>
                <w:noProof/>
              </w:rPr>
              <w:t>A.</w:t>
            </w:r>
            <w:r w:rsidR="00332D6C">
              <w:rPr>
                <w:rFonts w:eastAsiaTheme="minorEastAsia" w:cstheme="minorBidi"/>
                <w:smallCaps w:val="0"/>
                <w:noProof/>
                <w:szCs w:val="22"/>
              </w:rPr>
              <w:tab/>
            </w:r>
            <w:r w:rsidR="00332D6C" w:rsidRPr="009F465B">
              <w:rPr>
                <w:rStyle w:val="Hyperlink"/>
                <w:rFonts w:eastAsiaTheme="majorEastAsia"/>
                <w:noProof/>
              </w:rPr>
              <w:t>Mobilisation des ressources financières de sources bilatérales</w:t>
            </w:r>
            <w:r w:rsidR="00332D6C">
              <w:rPr>
                <w:noProof/>
                <w:webHidden/>
              </w:rPr>
              <w:tab/>
            </w:r>
            <w:r w:rsidR="00332D6C">
              <w:rPr>
                <w:noProof/>
                <w:webHidden/>
              </w:rPr>
              <w:fldChar w:fldCharType="begin"/>
            </w:r>
            <w:r w:rsidR="00332D6C">
              <w:rPr>
                <w:noProof/>
                <w:webHidden/>
              </w:rPr>
              <w:instrText xml:space="preserve"> PAGEREF _Toc138344625 \h </w:instrText>
            </w:r>
            <w:r w:rsidR="00332D6C">
              <w:rPr>
                <w:noProof/>
                <w:webHidden/>
              </w:rPr>
            </w:r>
            <w:r w:rsidR="00332D6C">
              <w:rPr>
                <w:noProof/>
                <w:webHidden/>
              </w:rPr>
              <w:fldChar w:fldCharType="separate"/>
            </w:r>
            <w:r w:rsidR="00332D6C">
              <w:rPr>
                <w:noProof/>
                <w:webHidden/>
              </w:rPr>
              <w:t>118</w:t>
            </w:r>
            <w:r w:rsidR="00332D6C">
              <w:rPr>
                <w:noProof/>
                <w:webHidden/>
              </w:rPr>
              <w:fldChar w:fldCharType="end"/>
            </w:r>
          </w:hyperlink>
        </w:p>
        <w:p w14:paraId="457A50BD" w14:textId="09AD338C" w:rsidR="00332D6C" w:rsidRDefault="00757301">
          <w:pPr>
            <w:pStyle w:val="TOC3"/>
            <w:tabs>
              <w:tab w:val="left" w:pos="1000"/>
              <w:tab w:val="right" w:leader="dot" w:pos="9854"/>
            </w:tabs>
            <w:rPr>
              <w:rFonts w:eastAsiaTheme="minorEastAsia" w:cstheme="minorBidi"/>
              <w:i w:val="0"/>
              <w:iCs w:val="0"/>
              <w:noProof/>
              <w:szCs w:val="22"/>
            </w:rPr>
          </w:pPr>
          <w:hyperlink w:anchor="_Toc138344626" w:history="1">
            <w:r w:rsidR="00332D6C" w:rsidRPr="009F465B">
              <w:rPr>
                <w:rStyle w:val="Hyperlink"/>
                <w:rFonts w:ascii="Marianne" w:eastAsiaTheme="majorEastAsia" w:hAnsi="Marianne"/>
                <w:noProof/>
              </w:rPr>
              <w:t>A.1.</w:t>
            </w:r>
            <w:r w:rsidR="00332D6C">
              <w:rPr>
                <w:rFonts w:eastAsiaTheme="minorEastAsia" w:cstheme="minorBidi"/>
                <w:i w:val="0"/>
                <w:iCs w:val="0"/>
                <w:noProof/>
                <w:szCs w:val="22"/>
              </w:rPr>
              <w:tab/>
            </w:r>
            <w:r w:rsidR="00332D6C" w:rsidRPr="009F465B">
              <w:rPr>
                <w:rStyle w:val="Hyperlink"/>
                <w:rFonts w:eastAsiaTheme="majorEastAsia"/>
                <w:noProof/>
              </w:rPr>
              <w:t>Soutien financier fourni par le groupe Agence française de développement</w:t>
            </w:r>
            <w:r w:rsidR="00332D6C">
              <w:rPr>
                <w:noProof/>
                <w:webHidden/>
              </w:rPr>
              <w:tab/>
            </w:r>
            <w:r w:rsidR="00332D6C">
              <w:rPr>
                <w:noProof/>
                <w:webHidden/>
              </w:rPr>
              <w:fldChar w:fldCharType="begin"/>
            </w:r>
            <w:r w:rsidR="00332D6C">
              <w:rPr>
                <w:noProof/>
                <w:webHidden/>
              </w:rPr>
              <w:instrText xml:space="preserve"> PAGEREF _Toc138344626 \h </w:instrText>
            </w:r>
            <w:r w:rsidR="00332D6C">
              <w:rPr>
                <w:noProof/>
                <w:webHidden/>
              </w:rPr>
            </w:r>
            <w:r w:rsidR="00332D6C">
              <w:rPr>
                <w:noProof/>
                <w:webHidden/>
              </w:rPr>
              <w:fldChar w:fldCharType="separate"/>
            </w:r>
            <w:r w:rsidR="00332D6C">
              <w:rPr>
                <w:noProof/>
                <w:webHidden/>
              </w:rPr>
              <w:t>118</w:t>
            </w:r>
            <w:r w:rsidR="00332D6C">
              <w:rPr>
                <w:noProof/>
                <w:webHidden/>
              </w:rPr>
              <w:fldChar w:fldCharType="end"/>
            </w:r>
          </w:hyperlink>
        </w:p>
        <w:p w14:paraId="007840D9" w14:textId="444FEF58" w:rsidR="00332D6C" w:rsidRDefault="00757301">
          <w:pPr>
            <w:pStyle w:val="TOC3"/>
            <w:tabs>
              <w:tab w:val="left" w:pos="1200"/>
              <w:tab w:val="right" w:leader="dot" w:pos="9854"/>
            </w:tabs>
            <w:rPr>
              <w:rFonts w:eastAsiaTheme="minorEastAsia" w:cstheme="minorBidi"/>
              <w:i w:val="0"/>
              <w:iCs w:val="0"/>
              <w:noProof/>
              <w:szCs w:val="22"/>
            </w:rPr>
          </w:pPr>
          <w:hyperlink w:anchor="_Toc138344627" w:history="1">
            <w:r w:rsidR="00332D6C" w:rsidRPr="009F465B">
              <w:rPr>
                <w:rStyle w:val="Hyperlink"/>
                <w:rFonts w:ascii="Marianne" w:eastAsiaTheme="majorEastAsia" w:hAnsi="Marianne"/>
                <w:noProof/>
              </w:rPr>
              <w:t>A.2.</w:t>
            </w:r>
            <w:r w:rsidR="00332D6C">
              <w:rPr>
                <w:rFonts w:eastAsiaTheme="minorEastAsia" w:cstheme="minorBidi"/>
                <w:i w:val="0"/>
                <w:iCs w:val="0"/>
                <w:noProof/>
                <w:szCs w:val="22"/>
              </w:rPr>
              <w:tab/>
            </w:r>
            <w:r w:rsidR="00332D6C" w:rsidRPr="009F465B">
              <w:rPr>
                <w:rStyle w:val="Hyperlink"/>
                <w:rFonts w:eastAsiaTheme="majorEastAsia"/>
                <w:noProof/>
              </w:rPr>
              <w:t>Méthodologie de comptabilisation des engagements « climat » du groupe AFD</w:t>
            </w:r>
            <w:r w:rsidR="00332D6C">
              <w:rPr>
                <w:noProof/>
                <w:webHidden/>
              </w:rPr>
              <w:tab/>
            </w:r>
            <w:r w:rsidR="00332D6C">
              <w:rPr>
                <w:noProof/>
                <w:webHidden/>
              </w:rPr>
              <w:fldChar w:fldCharType="begin"/>
            </w:r>
            <w:r w:rsidR="00332D6C">
              <w:rPr>
                <w:noProof/>
                <w:webHidden/>
              </w:rPr>
              <w:instrText xml:space="preserve"> PAGEREF _Toc138344627 \h </w:instrText>
            </w:r>
            <w:r w:rsidR="00332D6C">
              <w:rPr>
                <w:noProof/>
                <w:webHidden/>
              </w:rPr>
            </w:r>
            <w:r w:rsidR="00332D6C">
              <w:rPr>
                <w:noProof/>
                <w:webHidden/>
              </w:rPr>
              <w:fldChar w:fldCharType="separate"/>
            </w:r>
            <w:r w:rsidR="00332D6C">
              <w:rPr>
                <w:noProof/>
                <w:webHidden/>
              </w:rPr>
              <w:t>119</w:t>
            </w:r>
            <w:r w:rsidR="00332D6C">
              <w:rPr>
                <w:noProof/>
                <w:webHidden/>
              </w:rPr>
              <w:fldChar w:fldCharType="end"/>
            </w:r>
          </w:hyperlink>
        </w:p>
        <w:p w14:paraId="205C84AC" w14:textId="070649A3" w:rsidR="00332D6C" w:rsidRDefault="00757301">
          <w:pPr>
            <w:pStyle w:val="TOC3"/>
            <w:tabs>
              <w:tab w:val="left" w:pos="1200"/>
              <w:tab w:val="right" w:leader="dot" w:pos="9854"/>
            </w:tabs>
            <w:rPr>
              <w:rFonts w:eastAsiaTheme="minorEastAsia" w:cstheme="minorBidi"/>
              <w:i w:val="0"/>
              <w:iCs w:val="0"/>
              <w:noProof/>
              <w:szCs w:val="22"/>
            </w:rPr>
          </w:pPr>
          <w:hyperlink w:anchor="_Toc138344628" w:history="1">
            <w:r w:rsidR="00332D6C" w:rsidRPr="009F465B">
              <w:rPr>
                <w:rStyle w:val="Hyperlink"/>
                <w:rFonts w:ascii="Marianne" w:eastAsiaTheme="majorEastAsia" w:hAnsi="Marianne"/>
                <w:noProof/>
              </w:rPr>
              <w:t>A.3.</w:t>
            </w:r>
            <w:r w:rsidR="00332D6C">
              <w:rPr>
                <w:rFonts w:eastAsiaTheme="minorEastAsia" w:cstheme="minorBidi"/>
                <w:i w:val="0"/>
                <w:iCs w:val="0"/>
                <w:noProof/>
                <w:szCs w:val="22"/>
              </w:rPr>
              <w:tab/>
            </w:r>
            <w:r w:rsidR="00332D6C" w:rsidRPr="009F465B">
              <w:rPr>
                <w:rStyle w:val="Hyperlink"/>
                <w:rFonts w:eastAsiaTheme="majorEastAsia"/>
                <w:noProof/>
              </w:rPr>
              <w:t>Finance climat privée mobilisée par les financements du groupe AFD</w:t>
            </w:r>
            <w:r w:rsidR="00332D6C">
              <w:rPr>
                <w:noProof/>
                <w:webHidden/>
              </w:rPr>
              <w:tab/>
            </w:r>
            <w:r w:rsidR="00332D6C">
              <w:rPr>
                <w:noProof/>
                <w:webHidden/>
              </w:rPr>
              <w:fldChar w:fldCharType="begin"/>
            </w:r>
            <w:r w:rsidR="00332D6C">
              <w:rPr>
                <w:noProof/>
                <w:webHidden/>
              </w:rPr>
              <w:instrText xml:space="preserve"> PAGEREF _Toc138344628 \h </w:instrText>
            </w:r>
            <w:r w:rsidR="00332D6C">
              <w:rPr>
                <w:noProof/>
                <w:webHidden/>
              </w:rPr>
            </w:r>
            <w:r w:rsidR="00332D6C">
              <w:rPr>
                <w:noProof/>
                <w:webHidden/>
              </w:rPr>
              <w:fldChar w:fldCharType="separate"/>
            </w:r>
            <w:r w:rsidR="00332D6C">
              <w:rPr>
                <w:noProof/>
                <w:webHidden/>
              </w:rPr>
              <w:t>120</w:t>
            </w:r>
            <w:r w:rsidR="00332D6C">
              <w:rPr>
                <w:noProof/>
                <w:webHidden/>
              </w:rPr>
              <w:fldChar w:fldCharType="end"/>
            </w:r>
          </w:hyperlink>
        </w:p>
        <w:p w14:paraId="185A8B09" w14:textId="4E72E79E" w:rsidR="00332D6C" w:rsidRDefault="00757301">
          <w:pPr>
            <w:pStyle w:val="TOC3"/>
            <w:tabs>
              <w:tab w:val="left" w:pos="1200"/>
              <w:tab w:val="right" w:leader="dot" w:pos="9854"/>
            </w:tabs>
            <w:rPr>
              <w:rFonts w:eastAsiaTheme="minorEastAsia" w:cstheme="minorBidi"/>
              <w:i w:val="0"/>
              <w:iCs w:val="0"/>
              <w:noProof/>
              <w:szCs w:val="22"/>
            </w:rPr>
          </w:pPr>
          <w:hyperlink w:anchor="_Toc138344629" w:history="1">
            <w:r w:rsidR="00332D6C" w:rsidRPr="009F465B">
              <w:rPr>
                <w:rStyle w:val="Hyperlink"/>
                <w:rFonts w:ascii="Marianne" w:eastAsiaTheme="majorEastAsia" w:hAnsi="Marianne"/>
                <w:noProof/>
              </w:rPr>
              <w:t>A.4.</w:t>
            </w:r>
            <w:r w:rsidR="00332D6C">
              <w:rPr>
                <w:rFonts w:eastAsiaTheme="minorEastAsia" w:cstheme="minorBidi"/>
                <w:i w:val="0"/>
                <w:iCs w:val="0"/>
                <w:noProof/>
                <w:szCs w:val="22"/>
              </w:rPr>
              <w:tab/>
            </w:r>
            <w:r w:rsidR="00332D6C" w:rsidRPr="009F465B">
              <w:rPr>
                <w:rStyle w:val="Hyperlink"/>
                <w:rFonts w:eastAsiaTheme="majorEastAsia"/>
                <w:noProof/>
              </w:rPr>
              <w:t>Soutien financier fourni par le fonds français pour l’environnement mondial</w:t>
            </w:r>
            <w:r w:rsidR="00332D6C">
              <w:rPr>
                <w:noProof/>
                <w:webHidden/>
              </w:rPr>
              <w:tab/>
            </w:r>
            <w:r w:rsidR="00332D6C">
              <w:rPr>
                <w:noProof/>
                <w:webHidden/>
              </w:rPr>
              <w:fldChar w:fldCharType="begin"/>
            </w:r>
            <w:r w:rsidR="00332D6C">
              <w:rPr>
                <w:noProof/>
                <w:webHidden/>
              </w:rPr>
              <w:instrText xml:space="preserve"> PAGEREF _Toc138344629 \h </w:instrText>
            </w:r>
            <w:r w:rsidR="00332D6C">
              <w:rPr>
                <w:noProof/>
                <w:webHidden/>
              </w:rPr>
            </w:r>
            <w:r w:rsidR="00332D6C">
              <w:rPr>
                <w:noProof/>
                <w:webHidden/>
              </w:rPr>
              <w:fldChar w:fldCharType="separate"/>
            </w:r>
            <w:r w:rsidR="00332D6C">
              <w:rPr>
                <w:noProof/>
                <w:webHidden/>
              </w:rPr>
              <w:t>120</w:t>
            </w:r>
            <w:r w:rsidR="00332D6C">
              <w:rPr>
                <w:noProof/>
                <w:webHidden/>
              </w:rPr>
              <w:fldChar w:fldCharType="end"/>
            </w:r>
          </w:hyperlink>
        </w:p>
        <w:p w14:paraId="6494A15C" w14:textId="05DFBCC7" w:rsidR="00332D6C" w:rsidRDefault="00757301">
          <w:pPr>
            <w:pStyle w:val="TOC3"/>
            <w:tabs>
              <w:tab w:val="left" w:pos="1200"/>
              <w:tab w:val="right" w:leader="dot" w:pos="9854"/>
            </w:tabs>
            <w:rPr>
              <w:rFonts w:eastAsiaTheme="minorEastAsia" w:cstheme="minorBidi"/>
              <w:i w:val="0"/>
              <w:iCs w:val="0"/>
              <w:noProof/>
              <w:szCs w:val="22"/>
            </w:rPr>
          </w:pPr>
          <w:hyperlink w:anchor="_Toc138344630" w:history="1">
            <w:r w:rsidR="00332D6C" w:rsidRPr="009F465B">
              <w:rPr>
                <w:rStyle w:val="Hyperlink"/>
                <w:rFonts w:ascii="Marianne" w:eastAsiaTheme="majorEastAsia" w:hAnsi="Marianne"/>
                <w:noProof/>
              </w:rPr>
              <w:t>A.5.</w:t>
            </w:r>
            <w:r w:rsidR="00332D6C">
              <w:rPr>
                <w:rFonts w:eastAsiaTheme="minorEastAsia" w:cstheme="minorBidi"/>
                <w:i w:val="0"/>
                <w:iCs w:val="0"/>
                <w:noProof/>
                <w:szCs w:val="22"/>
              </w:rPr>
              <w:tab/>
            </w:r>
            <w:r w:rsidR="00332D6C" w:rsidRPr="009F465B">
              <w:rPr>
                <w:rStyle w:val="Hyperlink"/>
                <w:rFonts w:eastAsiaTheme="majorEastAsia"/>
                <w:noProof/>
              </w:rPr>
              <w:t>Soutien financier fourni sous forme de dons (FASEP) et de prêts par le Trésor français</w:t>
            </w:r>
            <w:r w:rsidR="00332D6C">
              <w:rPr>
                <w:noProof/>
                <w:webHidden/>
              </w:rPr>
              <w:tab/>
            </w:r>
            <w:r w:rsidR="00332D6C">
              <w:rPr>
                <w:noProof/>
                <w:webHidden/>
              </w:rPr>
              <w:fldChar w:fldCharType="begin"/>
            </w:r>
            <w:r w:rsidR="00332D6C">
              <w:rPr>
                <w:noProof/>
                <w:webHidden/>
              </w:rPr>
              <w:instrText xml:space="preserve"> PAGEREF _Toc138344630 \h </w:instrText>
            </w:r>
            <w:r w:rsidR="00332D6C">
              <w:rPr>
                <w:noProof/>
                <w:webHidden/>
              </w:rPr>
            </w:r>
            <w:r w:rsidR="00332D6C">
              <w:rPr>
                <w:noProof/>
                <w:webHidden/>
              </w:rPr>
              <w:fldChar w:fldCharType="separate"/>
            </w:r>
            <w:r w:rsidR="00332D6C">
              <w:rPr>
                <w:noProof/>
                <w:webHidden/>
              </w:rPr>
              <w:t>121</w:t>
            </w:r>
            <w:r w:rsidR="00332D6C">
              <w:rPr>
                <w:noProof/>
                <w:webHidden/>
              </w:rPr>
              <w:fldChar w:fldCharType="end"/>
            </w:r>
          </w:hyperlink>
        </w:p>
        <w:p w14:paraId="34FF3AC0" w14:textId="427955BE" w:rsidR="00332D6C" w:rsidRDefault="00757301">
          <w:pPr>
            <w:pStyle w:val="TOC2"/>
            <w:tabs>
              <w:tab w:val="left" w:pos="600"/>
              <w:tab w:val="right" w:leader="dot" w:pos="9854"/>
            </w:tabs>
            <w:rPr>
              <w:rFonts w:eastAsiaTheme="minorEastAsia" w:cstheme="minorBidi"/>
              <w:smallCaps w:val="0"/>
              <w:noProof/>
              <w:szCs w:val="22"/>
            </w:rPr>
          </w:pPr>
          <w:hyperlink w:anchor="_Toc138344631" w:history="1">
            <w:r w:rsidR="00332D6C" w:rsidRPr="009F465B">
              <w:rPr>
                <w:rStyle w:val="Hyperlink"/>
                <w:rFonts w:eastAsiaTheme="majorEastAsia"/>
                <w:noProof/>
              </w:rPr>
              <w:t>B.</w:t>
            </w:r>
            <w:r w:rsidR="00332D6C">
              <w:rPr>
                <w:rFonts w:eastAsiaTheme="minorEastAsia" w:cstheme="minorBidi"/>
                <w:smallCaps w:val="0"/>
                <w:noProof/>
                <w:szCs w:val="22"/>
              </w:rPr>
              <w:tab/>
            </w:r>
            <w:r w:rsidR="00332D6C" w:rsidRPr="009F465B">
              <w:rPr>
                <w:rStyle w:val="Hyperlink"/>
                <w:rFonts w:eastAsiaTheme="majorEastAsia"/>
                <w:noProof/>
              </w:rPr>
              <w:t>Mobilisation des ressources financières de sources multilatérales</w:t>
            </w:r>
            <w:r w:rsidR="00332D6C">
              <w:rPr>
                <w:noProof/>
                <w:webHidden/>
              </w:rPr>
              <w:tab/>
            </w:r>
            <w:r w:rsidR="00332D6C">
              <w:rPr>
                <w:noProof/>
                <w:webHidden/>
              </w:rPr>
              <w:fldChar w:fldCharType="begin"/>
            </w:r>
            <w:r w:rsidR="00332D6C">
              <w:rPr>
                <w:noProof/>
                <w:webHidden/>
              </w:rPr>
              <w:instrText xml:space="preserve"> PAGEREF _Toc138344631 \h </w:instrText>
            </w:r>
            <w:r w:rsidR="00332D6C">
              <w:rPr>
                <w:noProof/>
                <w:webHidden/>
              </w:rPr>
            </w:r>
            <w:r w:rsidR="00332D6C">
              <w:rPr>
                <w:noProof/>
                <w:webHidden/>
              </w:rPr>
              <w:fldChar w:fldCharType="separate"/>
            </w:r>
            <w:r w:rsidR="00332D6C">
              <w:rPr>
                <w:noProof/>
                <w:webHidden/>
              </w:rPr>
              <w:t>121</w:t>
            </w:r>
            <w:r w:rsidR="00332D6C">
              <w:rPr>
                <w:noProof/>
                <w:webHidden/>
              </w:rPr>
              <w:fldChar w:fldCharType="end"/>
            </w:r>
          </w:hyperlink>
        </w:p>
        <w:p w14:paraId="3E7D9E55" w14:textId="2F201EB7" w:rsidR="00332D6C" w:rsidRDefault="00757301">
          <w:pPr>
            <w:pStyle w:val="TOC3"/>
            <w:tabs>
              <w:tab w:val="left" w:pos="1000"/>
              <w:tab w:val="right" w:leader="dot" w:pos="9854"/>
            </w:tabs>
            <w:rPr>
              <w:rFonts w:eastAsiaTheme="minorEastAsia" w:cstheme="minorBidi"/>
              <w:i w:val="0"/>
              <w:iCs w:val="0"/>
              <w:noProof/>
              <w:szCs w:val="22"/>
            </w:rPr>
          </w:pPr>
          <w:hyperlink w:anchor="_Toc138344632" w:history="1">
            <w:r w:rsidR="00332D6C" w:rsidRPr="009F465B">
              <w:rPr>
                <w:rStyle w:val="Hyperlink"/>
                <w:rFonts w:ascii="Marianne" w:eastAsiaTheme="majorEastAsia" w:hAnsi="Marianne"/>
                <w:noProof/>
              </w:rPr>
              <w:t>B.1.</w:t>
            </w:r>
            <w:r w:rsidR="00332D6C">
              <w:rPr>
                <w:rFonts w:eastAsiaTheme="minorEastAsia" w:cstheme="minorBidi"/>
                <w:i w:val="0"/>
                <w:iCs w:val="0"/>
                <w:noProof/>
                <w:szCs w:val="22"/>
              </w:rPr>
              <w:tab/>
            </w:r>
            <w:r w:rsidR="00332D6C" w:rsidRPr="009F465B">
              <w:rPr>
                <w:rStyle w:val="Hyperlink"/>
                <w:rFonts w:eastAsiaTheme="majorEastAsia"/>
                <w:noProof/>
              </w:rPr>
              <w:t>Contribution au Fonds vert pour le climat</w:t>
            </w:r>
            <w:r w:rsidR="00332D6C">
              <w:rPr>
                <w:noProof/>
                <w:webHidden/>
              </w:rPr>
              <w:tab/>
            </w:r>
            <w:r w:rsidR="00332D6C">
              <w:rPr>
                <w:noProof/>
                <w:webHidden/>
              </w:rPr>
              <w:fldChar w:fldCharType="begin"/>
            </w:r>
            <w:r w:rsidR="00332D6C">
              <w:rPr>
                <w:noProof/>
                <w:webHidden/>
              </w:rPr>
              <w:instrText xml:space="preserve"> PAGEREF _Toc138344632 \h </w:instrText>
            </w:r>
            <w:r w:rsidR="00332D6C">
              <w:rPr>
                <w:noProof/>
                <w:webHidden/>
              </w:rPr>
            </w:r>
            <w:r w:rsidR="00332D6C">
              <w:rPr>
                <w:noProof/>
                <w:webHidden/>
              </w:rPr>
              <w:fldChar w:fldCharType="separate"/>
            </w:r>
            <w:r w:rsidR="00332D6C">
              <w:rPr>
                <w:noProof/>
                <w:webHidden/>
              </w:rPr>
              <w:t>122</w:t>
            </w:r>
            <w:r w:rsidR="00332D6C">
              <w:rPr>
                <w:noProof/>
                <w:webHidden/>
              </w:rPr>
              <w:fldChar w:fldCharType="end"/>
            </w:r>
          </w:hyperlink>
        </w:p>
        <w:p w14:paraId="743000C3" w14:textId="28C3C991" w:rsidR="00332D6C" w:rsidRDefault="00757301">
          <w:pPr>
            <w:pStyle w:val="TOC3"/>
            <w:tabs>
              <w:tab w:val="left" w:pos="1000"/>
              <w:tab w:val="right" w:leader="dot" w:pos="9854"/>
            </w:tabs>
            <w:rPr>
              <w:rFonts w:eastAsiaTheme="minorEastAsia" w:cstheme="minorBidi"/>
              <w:i w:val="0"/>
              <w:iCs w:val="0"/>
              <w:noProof/>
              <w:szCs w:val="22"/>
            </w:rPr>
          </w:pPr>
          <w:hyperlink w:anchor="_Toc138344633" w:history="1">
            <w:r w:rsidR="00332D6C" w:rsidRPr="009F465B">
              <w:rPr>
                <w:rStyle w:val="Hyperlink"/>
                <w:rFonts w:ascii="Marianne" w:eastAsiaTheme="majorEastAsia" w:hAnsi="Marianne"/>
                <w:noProof/>
              </w:rPr>
              <w:t>B.2.</w:t>
            </w:r>
            <w:r w:rsidR="00332D6C">
              <w:rPr>
                <w:rFonts w:eastAsiaTheme="minorEastAsia" w:cstheme="minorBidi"/>
                <w:i w:val="0"/>
                <w:iCs w:val="0"/>
                <w:noProof/>
                <w:szCs w:val="22"/>
              </w:rPr>
              <w:tab/>
            </w:r>
            <w:r w:rsidR="00332D6C" w:rsidRPr="009F465B">
              <w:rPr>
                <w:rStyle w:val="Hyperlink"/>
                <w:rFonts w:eastAsiaTheme="majorEastAsia"/>
                <w:noProof/>
              </w:rPr>
              <w:t>Contribution au Fonds pour l’environnement mondial</w:t>
            </w:r>
            <w:r w:rsidR="00332D6C">
              <w:rPr>
                <w:noProof/>
                <w:webHidden/>
              </w:rPr>
              <w:tab/>
            </w:r>
            <w:r w:rsidR="00332D6C">
              <w:rPr>
                <w:noProof/>
                <w:webHidden/>
              </w:rPr>
              <w:fldChar w:fldCharType="begin"/>
            </w:r>
            <w:r w:rsidR="00332D6C">
              <w:rPr>
                <w:noProof/>
                <w:webHidden/>
              </w:rPr>
              <w:instrText xml:space="preserve"> PAGEREF _Toc138344633 \h </w:instrText>
            </w:r>
            <w:r w:rsidR="00332D6C">
              <w:rPr>
                <w:noProof/>
                <w:webHidden/>
              </w:rPr>
            </w:r>
            <w:r w:rsidR="00332D6C">
              <w:rPr>
                <w:noProof/>
                <w:webHidden/>
              </w:rPr>
              <w:fldChar w:fldCharType="separate"/>
            </w:r>
            <w:r w:rsidR="00332D6C">
              <w:rPr>
                <w:noProof/>
                <w:webHidden/>
              </w:rPr>
              <w:t>123</w:t>
            </w:r>
            <w:r w:rsidR="00332D6C">
              <w:rPr>
                <w:noProof/>
                <w:webHidden/>
              </w:rPr>
              <w:fldChar w:fldCharType="end"/>
            </w:r>
          </w:hyperlink>
        </w:p>
        <w:p w14:paraId="709A2988" w14:textId="6C1F58F9" w:rsidR="00332D6C" w:rsidRDefault="00757301">
          <w:pPr>
            <w:pStyle w:val="TOC3"/>
            <w:tabs>
              <w:tab w:val="left" w:pos="1000"/>
              <w:tab w:val="right" w:leader="dot" w:pos="9854"/>
            </w:tabs>
            <w:rPr>
              <w:rFonts w:eastAsiaTheme="minorEastAsia" w:cstheme="minorBidi"/>
              <w:i w:val="0"/>
              <w:iCs w:val="0"/>
              <w:noProof/>
              <w:szCs w:val="22"/>
            </w:rPr>
          </w:pPr>
          <w:hyperlink w:anchor="_Toc138344634" w:history="1">
            <w:r w:rsidR="00332D6C" w:rsidRPr="009F465B">
              <w:rPr>
                <w:rStyle w:val="Hyperlink"/>
                <w:rFonts w:ascii="Marianne" w:eastAsiaTheme="majorEastAsia" w:hAnsi="Marianne"/>
                <w:noProof/>
              </w:rPr>
              <w:t>B.3.</w:t>
            </w:r>
            <w:r w:rsidR="00332D6C">
              <w:rPr>
                <w:rFonts w:eastAsiaTheme="minorEastAsia" w:cstheme="minorBidi"/>
                <w:i w:val="0"/>
                <w:iCs w:val="0"/>
                <w:noProof/>
                <w:szCs w:val="22"/>
              </w:rPr>
              <w:tab/>
            </w:r>
            <w:r w:rsidR="00332D6C" w:rsidRPr="009F465B">
              <w:rPr>
                <w:rStyle w:val="Hyperlink"/>
                <w:rFonts w:eastAsiaTheme="majorEastAsia"/>
                <w:noProof/>
              </w:rPr>
              <w:t>Contribution au Fonds pour les pays les moins avancés</w:t>
            </w:r>
            <w:r w:rsidR="00332D6C">
              <w:rPr>
                <w:noProof/>
                <w:webHidden/>
              </w:rPr>
              <w:tab/>
            </w:r>
            <w:r w:rsidR="00332D6C">
              <w:rPr>
                <w:noProof/>
                <w:webHidden/>
              </w:rPr>
              <w:fldChar w:fldCharType="begin"/>
            </w:r>
            <w:r w:rsidR="00332D6C">
              <w:rPr>
                <w:noProof/>
                <w:webHidden/>
              </w:rPr>
              <w:instrText xml:space="preserve"> PAGEREF _Toc138344634 \h </w:instrText>
            </w:r>
            <w:r w:rsidR="00332D6C">
              <w:rPr>
                <w:noProof/>
                <w:webHidden/>
              </w:rPr>
            </w:r>
            <w:r w:rsidR="00332D6C">
              <w:rPr>
                <w:noProof/>
                <w:webHidden/>
              </w:rPr>
              <w:fldChar w:fldCharType="separate"/>
            </w:r>
            <w:r w:rsidR="00332D6C">
              <w:rPr>
                <w:noProof/>
                <w:webHidden/>
              </w:rPr>
              <w:t>123</w:t>
            </w:r>
            <w:r w:rsidR="00332D6C">
              <w:rPr>
                <w:noProof/>
                <w:webHidden/>
              </w:rPr>
              <w:fldChar w:fldCharType="end"/>
            </w:r>
          </w:hyperlink>
        </w:p>
        <w:p w14:paraId="65382770" w14:textId="0F29E8B6" w:rsidR="00332D6C" w:rsidRDefault="00757301">
          <w:pPr>
            <w:pStyle w:val="TOC2"/>
            <w:tabs>
              <w:tab w:val="left" w:pos="600"/>
              <w:tab w:val="right" w:leader="dot" w:pos="9854"/>
            </w:tabs>
            <w:rPr>
              <w:rFonts w:eastAsiaTheme="minorEastAsia" w:cstheme="minorBidi"/>
              <w:smallCaps w:val="0"/>
              <w:noProof/>
              <w:szCs w:val="22"/>
            </w:rPr>
          </w:pPr>
          <w:hyperlink w:anchor="_Toc138344635" w:history="1">
            <w:r w:rsidR="00332D6C" w:rsidRPr="009F465B">
              <w:rPr>
                <w:rStyle w:val="Hyperlink"/>
                <w:rFonts w:eastAsiaTheme="majorEastAsia"/>
                <w:noProof/>
              </w:rPr>
              <w:t>C.</w:t>
            </w:r>
            <w:r w:rsidR="00332D6C">
              <w:rPr>
                <w:rFonts w:eastAsiaTheme="minorEastAsia" w:cstheme="minorBidi"/>
                <w:smallCaps w:val="0"/>
                <w:noProof/>
                <w:szCs w:val="22"/>
              </w:rPr>
              <w:tab/>
            </w:r>
            <w:r w:rsidR="00332D6C" w:rsidRPr="009F465B">
              <w:rPr>
                <w:rStyle w:val="Hyperlink"/>
                <w:rFonts w:eastAsiaTheme="majorEastAsia"/>
                <w:noProof/>
              </w:rPr>
              <w:t>La coopération technologique</w:t>
            </w:r>
            <w:r w:rsidR="00332D6C">
              <w:rPr>
                <w:noProof/>
                <w:webHidden/>
              </w:rPr>
              <w:tab/>
            </w:r>
            <w:r w:rsidR="00332D6C">
              <w:rPr>
                <w:noProof/>
                <w:webHidden/>
              </w:rPr>
              <w:fldChar w:fldCharType="begin"/>
            </w:r>
            <w:r w:rsidR="00332D6C">
              <w:rPr>
                <w:noProof/>
                <w:webHidden/>
              </w:rPr>
              <w:instrText xml:space="preserve"> PAGEREF _Toc138344635 \h </w:instrText>
            </w:r>
            <w:r w:rsidR="00332D6C">
              <w:rPr>
                <w:noProof/>
                <w:webHidden/>
              </w:rPr>
            </w:r>
            <w:r w:rsidR="00332D6C">
              <w:rPr>
                <w:noProof/>
                <w:webHidden/>
              </w:rPr>
              <w:fldChar w:fldCharType="separate"/>
            </w:r>
            <w:r w:rsidR="00332D6C">
              <w:rPr>
                <w:noProof/>
                <w:webHidden/>
              </w:rPr>
              <w:t>124</w:t>
            </w:r>
            <w:r w:rsidR="00332D6C">
              <w:rPr>
                <w:noProof/>
                <w:webHidden/>
              </w:rPr>
              <w:fldChar w:fldCharType="end"/>
            </w:r>
          </w:hyperlink>
        </w:p>
        <w:p w14:paraId="364DD638" w14:textId="7DCB965B" w:rsidR="00332D6C" w:rsidRDefault="00757301">
          <w:pPr>
            <w:pStyle w:val="TOC3"/>
            <w:tabs>
              <w:tab w:val="left" w:pos="1000"/>
              <w:tab w:val="right" w:leader="dot" w:pos="9854"/>
            </w:tabs>
            <w:rPr>
              <w:rFonts w:eastAsiaTheme="minorEastAsia" w:cstheme="minorBidi"/>
              <w:i w:val="0"/>
              <w:iCs w:val="0"/>
              <w:noProof/>
              <w:szCs w:val="22"/>
            </w:rPr>
          </w:pPr>
          <w:hyperlink w:anchor="_Toc138344636" w:history="1">
            <w:r w:rsidR="00332D6C" w:rsidRPr="009F465B">
              <w:rPr>
                <w:rStyle w:val="Hyperlink"/>
                <w:rFonts w:ascii="Marianne" w:eastAsiaTheme="majorEastAsia" w:hAnsi="Marianne"/>
                <w:noProof/>
              </w:rPr>
              <w:t>C.1.</w:t>
            </w:r>
            <w:r w:rsidR="00332D6C">
              <w:rPr>
                <w:rFonts w:eastAsiaTheme="minorEastAsia" w:cstheme="minorBidi"/>
                <w:i w:val="0"/>
                <w:iCs w:val="0"/>
                <w:noProof/>
                <w:szCs w:val="22"/>
              </w:rPr>
              <w:tab/>
            </w:r>
            <w:r w:rsidR="00332D6C" w:rsidRPr="009F465B">
              <w:rPr>
                <w:rStyle w:val="Hyperlink"/>
                <w:rFonts w:eastAsiaTheme="majorEastAsia"/>
                <w:noProof/>
              </w:rPr>
              <w:t>Le rôle de l’ADEME</w:t>
            </w:r>
            <w:r w:rsidR="00332D6C">
              <w:rPr>
                <w:noProof/>
                <w:webHidden/>
              </w:rPr>
              <w:tab/>
            </w:r>
            <w:r w:rsidR="00332D6C">
              <w:rPr>
                <w:noProof/>
                <w:webHidden/>
              </w:rPr>
              <w:fldChar w:fldCharType="begin"/>
            </w:r>
            <w:r w:rsidR="00332D6C">
              <w:rPr>
                <w:noProof/>
                <w:webHidden/>
              </w:rPr>
              <w:instrText xml:space="preserve"> PAGEREF _Toc138344636 \h </w:instrText>
            </w:r>
            <w:r w:rsidR="00332D6C">
              <w:rPr>
                <w:noProof/>
                <w:webHidden/>
              </w:rPr>
            </w:r>
            <w:r w:rsidR="00332D6C">
              <w:rPr>
                <w:noProof/>
                <w:webHidden/>
              </w:rPr>
              <w:fldChar w:fldCharType="separate"/>
            </w:r>
            <w:r w:rsidR="00332D6C">
              <w:rPr>
                <w:noProof/>
                <w:webHidden/>
              </w:rPr>
              <w:t>124</w:t>
            </w:r>
            <w:r w:rsidR="00332D6C">
              <w:rPr>
                <w:noProof/>
                <w:webHidden/>
              </w:rPr>
              <w:fldChar w:fldCharType="end"/>
            </w:r>
          </w:hyperlink>
        </w:p>
        <w:p w14:paraId="631FF6B6" w14:textId="4C2FBE87" w:rsidR="00332D6C" w:rsidRDefault="00757301">
          <w:pPr>
            <w:pStyle w:val="TOC3"/>
            <w:tabs>
              <w:tab w:val="left" w:pos="1200"/>
              <w:tab w:val="right" w:leader="dot" w:pos="9854"/>
            </w:tabs>
            <w:rPr>
              <w:rFonts w:eastAsiaTheme="minorEastAsia" w:cstheme="minorBidi"/>
              <w:i w:val="0"/>
              <w:iCs w:val="0"/>
              <w:noProof/>
              <w:szCs w:val="22"/>
            </w:rPr>
          </w:pPr>
          <w:hyperlink w:anchor="_Toc138344637" w:history="1">
            <w:r w:rsidR="00332D6C" w:rsidRPr="009F465B">
              <w:rPr>
                <w:rStyle w:val="Hyperlink"/>
                <w:rFonts w:ascii="Marianne" w:eastAsiaTheme="majorEastAsia" w:hAnsi="Marianne"/>
                <w:noProof/>
              </w:rPr>
              <w:t>C.2.</w:t>
            </w:r>
            <w:r w:rsidR="00332D6C">
              <w:rPr>
                <w:rFonts w:eastAsiaTheme="minorEastAsia" w:cstheme="minorBidi"/>
                <w:i w:val="0"/>
                <w:iCs w:val="0"/>
                <w:noProof/>
                <w:szCs w:val="22"/>
              </w:rPr>
              <w:tab/>
            </w:r>
            <w:r w:rsidR="00332D6C" w:rsidRPr="009F465B">
              <w:rPr>
                <w:rStyle w:val="Hyperlink"/>
                <w:rFonts w:eastAsiaTheme="majorEastAsia"/>
                <w:noProof/>
              </w:rPr>
              <w:t>Le Citepa</w:t>
            </w:r>
            <w:r w:rsidR="00332D6C">
              <w:rPr>
                <w:noProof/>
                <w:webHidden/>
              </w:rPr>
              <w:tab/>
            </w:r>
            <w:r w:rsidR="00332D6C">
              <w:rPr>
                <w:noProof/>
                <w:webHidden/>
              </w:rPr>
              <w:fldChar w:fldCharType="begin"/>
            </w:r>
            <w:r w:rsidR="00332D6C">
              <w:rPr>
                <w:noProof/>
                <w:webHidden/>
              </w:rPr>
              <w:instrText xml:space="preserve"> PAGEREF _Toc138344637 \h </w:instrText>
            </w:r>
            <w:r w:rsidR="00332D6C">
              <w:rPr>
                <w:noProof/>
                <w:webHidden/>
              </w:rPr>
            </w:r>
            <w:r w:rsidR="00332D6C">
              <w:rPr>
                <w:noProof/>
                <w:webHidden/>
              </w:rPr>
              <w:fldChar w:fldCharType="separate"/>
            </w:r>
            <w:r w:rsidR="00332D6C">
              <w:rPr>
                <w:noProof/>
                <w:webHidden/>
              </w:rPr>
              <w:t>127</w:t>
            </w:r>
            <w:r w:rsidR="00332D6C">
              <w:rPr>
                <w:noProof/>
                <w:webHidden/>
              </w:rPr>
              <w:fldChar w:fldCharType="end"/>
            </w:r>
          </w:hyperlink>
        </w:p>
        <w:p w14:paraId="5C48922F" w14:textId="533491E7" w:rsidR="00332D6C" w:rsidRDefault="00757301">
          <w:pPr>
            <w:pStyle w:val="TOC2"/>
            <w:tabs>
              <w:tab w:val="left" w:pos="800"/>
              <w:tab w:val="right" w:leader="dot" w:pos="9854"/>
            </w:tabs>
            <w:rPr>
              <w:rFonts w:eastAsiaTheme="minorEastAsia" w:cstheme="minorBidi"/>
              <w:smallCaps w:val="0"/>
              <w:noProof/>
              <w:szCs w:val="22"/>
            </w:rPr>
          </w:pPr>
          <w:hyperlink w:anchor="_Toc138344638" w:history="1">
            <w:r w:rsidR="00332D6C" w:rsidRPr="009F465B">
              <w:rPr>
                <w:rStyle w:val="Hyperlink"/>
                <w:rFonts w:eastAsiaTheme="majorEastAsia"/>
                <w:noProof/>
              </w:rPr>
              <w:t>D.</w:t>
            </w:r>
            <w:r w:rsidR="00332D6C">
              <w:rPr>
                <w:rFonts w:eastAsiaTheme="minorEastAsia" w:cstheme="minorBidi"/>
                <w:smallCaps w:val="0"/>
                <w:noProof/>
                <w:szCs w:val="22"/>
              </w:rPr>
              <w:tab/>
            </w:r>
            <w:r w:rsidR="00332D6C" w:rsidRPr="009F465B">
              <w:rPr>
                <w:rStyle w:val="Hyperlink"/>
                <w:rFonts w:eastAsiaTheme="majorEastAsia"/>
                <w:noProof/>
              </w:rPr>
              <w:t>Le renforcement de capacité</w:t>
            </w:r>
            <w:r w:rsidR="00332D6C">
              <w:rPr>
                <w:noProof/>
                <w:webHidden/>
              </w:rPr>
              <w:tab/>
            </w:r>
            <w:r w:rsidR="00332D6C">
              <w:rPr>
                <w:noProof/>
                <w:webHidden/>
              </w:rPr>
              <w:fldChar w:fldCharType="begin"/>
            </w:r>
            <w:r w:rsidR="00332D6C">
              <w:rPr>
                <w:noProof/>
                <w:webHidden/>
              </w:rPr>
              <w:instrText xml:space="preserve"> PAGEREF _Toc138344638 \h </w:instrText>
            </w:r>
            <w:r w:rsidR="00332D6C">
              <w:rPr>
                <w:noProof/>
                <w:webHidden/>
              </w:rPr>
            </w:r>
            <w:r w:rsidR="00332D6C">
              <w:rPr>
                <w:noProof/>
                <w:webHidden/>
              </w:rPr>
              <w:fldChar w:fldCharType="separate"/>
            </w:r>
            <w:r w:rsidR="00332D6C">
              <w:rPr>
                <w:noProof/>
                <w:webHidden/>
              </w:rPr>
              <w:t>127</w:t>
            </w:r>
            <w:r w:rsidR="00332D6C">
              <w:rPr>
                <w:noProof/>
                <w:webHidden/>
              </w:rPr>
              <w:fldChar w:fldCharType="end"/>
            </w:r>
          </w:hyperlink>
        </w:p>
        <w:p w14:paraId="671D0EC1" w14:textId="596443A6" w:rsidR="00332D6C" w:rsidRDefault="00757301">
          <w:pPr>
            <w:pStyle w:val="TOC3"/>
            <w:tabs>
              <w:tab w:val="left" w:pos="1200"/>
              <w:tab w:val="right" w:leader="dot" w:pos="9854"/>
            </w:tabs>
            <w:rPr>
              <w:rFonts w:eastAsiaTheme="minorEastAsia" w:cstheme="minorBidi"/>
              <w:i w:val="0"/>
              <w:iCs w:val="0"/>
              <w:noProof/>
              <w:szCs w:val="22"/>
            </w:rPr>
          </w:pPr>
          <w:hyperlink w:anchor="_Toc138344639" w:history="1">
            <w:r w:rsidR="00332D6C" w:rsidRPr="009F465B">
              <w:rPr>
                <w:rStyle w:val="Hyperlink"/>
                <w:rFonts w:ascii="Marianne" w:eastAsiaTheme="majorEastAsia" w:hAnsi="Marianne"/>
                <w:noProof/>
              </w:rPr>
              <w:t>D.1.</w:t>
            </w:r>
            <w:r w:rsidR="00332D6C">
              <w:rPr>
                <w:rFonts w:eastAsiaTheme="minorEastAsia" w:cstheme="minorBidi"/>
                <w:i w:val="0"/>
                <w:iCs w:val="0"/>
                <w:noProof/>
                <w:szCs w:val="22"/>
              </w:rPr>
              <w:tab/>
            </w:r>
            <w:r w:rsidR="00332D6C" w:rsidRPr="009F465B">
              <w:rPr>
                <w:rStyle w:val="Hyperlink"/>
                <w:rFonts w:eastAsiaTheme="majorEastAsia"/>
                <w:noProof/>
              </w:rPr>
              <w:t>L’adaptation au changement climatique</w:t>
            </w:r>
            <w:r w:rsidR="00332D6C">
              <w:rPr>
                <w:noProof/>
                <w:webHidden/>
              </w:rPr>
              <w:tab/>
            </w:r>
            <w:r w:rsidR="00332D6C">
              <w:rPr>
                <w:noProof/>
                <w:webHidden/>
              </w:rPr>
              <w:fldChar w:fldCharType="begin"/>
            </w:r>
            <w:r w:rsidR="00332D6C">
              <w:rPr>
                <w:noProof/>
                <w:webHidden/>
              </w:rPr>
              <w:instrText xml:space="preserve"> PAGEREF _Toc138344639 \h </w:instrText>
            </w:r>
            <w:r w:rsidR="00332D6C">
              <w:rPr>
                <w:noProof/>
                <w:webHidden/>
              </w:rPr>
            </w:r>
            <w:r w:rsidR="00332D6C">
              <w:rPr>
                <w:noProof/>
                <w:webHidden/>
              </w:rPr>
              <w:fldChar w:fldCharType="separate"/>
            </w:r>
            <w:r w:rsidR="00332D6C">
              <w:rPr>
                <w:noProof/>
                <w:webHidden/>
              </w:rPr>
              <w:t>127</w:t>
            </w:r>
            <w:r w:rsidR="00332D6C">
              <w:rPr>
                <w:noProof/>
                <w:webHidden/>
              </w:rPr>
              <w:fldChar w:fldCharType="end"/>
            </w:r>
          </w:hyperlink>
        </w:p>
        <w:p w14:paraId="60CC01B7" w14:textId="31CF5689" w:rsidR="00332D6C" w:rsidRDefault="00757301">
          <w:pPr>
            <w:pStyle w:val="TOC3"/>
            <w:tabs>
              <w:tab w:val="left" w:pos="1200"/>
              <w:tab w:val="right" w:leader="dot" w:pos="9854"/>
            </w:tabs>
            <w:rPr>
              <w:rFonts w:eastAsiaTheme="minorEastAsia" w:cstheme="minorBidi"/>
              <w:i w:val="0"/>
              <w:iCs w:val="0"/>
              <w:noProof/>
              <w:szCs w:val="22"/>
            </w:rPr>
          </w:pPr>
          <w:hyperlink w:anchor="_Toc138344640" w:history="1">
            <w:r w:rsidR="00332D6C" w:rsidRPr="009F465B">
              <w:rPr>
                <w:rStyle w:val="Hyperlink"/>
                <w:rFonts w:ascii="Marianne" w:eastAsiaTheme="majorEastAsia" w:hAnsi="Marianne"/>
                <w:noProof/>
              </w:rPr>
              <w:t>D.2.</w:t>
            </w:r>
            <w:r w:rsidR="00332D6C">
              <w:rPr>
                <w:rFonts w:eastAsiaTheme="minorEastAsia" w:cstheme="minorBidi"/>
                <w:i w:val="0"/>
                <w:iCs w:val="0"/>
                <w:noProof/>
                <w:szCs w:val="22"/>
              </w:rPr>
              <w:tab/>
            </w:r>
            <w:r w:rsidR="00332D6C" w:rsidRPr="009F465B">
              <w:rPr>
                <w:rStyle w:val="Hyperlink"/>
                <w:rFonts w:eastAsiaTheme="majorEastAsia"/>
                <w:noProof/>
              </w:rPr>
              <w:t>Préparation et mise en œuvre des contributions prévues déterminées au niveau national (NDC)</w:t>
            </w:r>
            <w:r w:rsidR="00332D6C">
              <w:rPr>
                <w:noProof/>
                <w:webHidden/>
              </w:rPr>
              <w:tab/>
            </w:r>
            <w:r w:rsidR="00332D6C">
              <w:rPr>
                <w:noProof/>
                <w:webHidden/>
              </w:rPr>
              <w:fldChar w:fldCharType="begin"/>
            </w:r>
            <w:r w:rsidR="00332D6C">
              <w:rPr>
                <w:noProof/>
                <w:webHidden/>
              </w:rPr>
              <w:instrText xml:space="preserve"> PAGEREF _Toc138344640 \h </w:instrText>
            </w:r>
            <w:r w:rsidR="00332D6C">
              <w:rPr>
                <w:noProof/>
                <w:webHidden/>
              </w:rPr>
            </w:r>
            <w:r w:rsidR="00332D6C">
              <w:rPr>
                <w:noProof/>
                <w:webHidden/>
              </w:rPr>
              <w:fldChar w:fldCharType="separate"/>
            </w:r>
            <w:r w:rsidR="00332D6C">
              <w:rPr>
                <w:noProof/>
                <w:webHidden/>
              </w:rPr>
              <w:t>128</w:t>
            </w:r>
            <w:r w:rsidR="00332D6C">
              <w:rPr>
                <w:noProof/>
                <w:webHidden/>
              </w:rPr>
              <w:fldChar w:fldCharType="end"/>
            </w:r>
          </w:hyperlink>
        </w:p>
        <w:p w14:paraId="0D6AB023" w14:textId="0C37BE26" w:rsidR="00332D6C" w:rsidRDefault="00757301">
          <w:pPr>
            <w:pStyle w:val="TOC3"/>
            <w:tabs>
              <w:tab w:val="left" w:pos="1200"/>
              <w:tab w:val="right" w:leader="dot" w:pos="9854"/>
            </w:tabs>
            <w:rPr>
              <w:rFonts w:eastAsiaTheme="minorEastAsia" w:cstheme="minorBidi"/>
              <w:i w:val="0"/>
              <w:iCs w:val="0"/>
              <w:noProof/>
              <w:szCs w:val="22"/>
            </w:rPr>
          </w:pPr>
          <w:hyperlink w:anchor="_Toc138344641" w:history="1">
            <w:r w:rsidR="00332D6C" w:rsidRPr="009F465B">
              <w:rPr>
                <w:rStyle w:val="Hyperlink"/>
                <w:rFonts w:ascii="Marianne" w:eastAsiaTheme="majorEastAsia" w:hAnsi="Marianne"/>
                <w:noProof/>
              </w:rPr>
              <w:t>D.3.</w:t>
            </w:r>
            <w:r w:rsidR="00332D6C">
              <w:rPr>
                <w:rFonts w:eastAsiaTheme="minorEastAsia" w:cstheme="minorBidi"/>
                <w:i w:val="0"/>
                <w:iCs w:val="0"/>
                <w:noProof/>
                <w:szCs w:val="22"/>
              </w:rPr>
              <w:tab/>
            </w:r>
            <w:r w:rsidR="00332D6C" w:rsidRPr="009F465B">
              <w:rPr>
                <w:rStyle w:val="Hyperlink"/>
                <w:rFonts w:eastAsiaTheme="majorEastAsia"/>
                <w:noProof/>
              </w:rPr>
              <w:t>Mise en place d’un système national de rapportage (inventaire de GES, projections, mesures d’atténuation, adaptation)</w:t>
            </w:r>
            <w:r w:rsidR="00332D6C">
              <w:rPr>
                <w:noProof/>
                <w:webHidden/>
              </w:rPr>
              <w:tab/>
            </w:r>
            <w:r w:rsidR="00332D6C">
              <w:rPr>
                <w:noProof/>
                <w:webHidden/>
              </w:rPr>
              <w:fldChar w:fldCharType="begin"/>
            </w:r>
            <w:r w:rsidR="00332D6C">
              <w:rPr>
                <w:noProof/>
                <w:webHidden/>
              </w:rPr>
              <w:instrText xml:space="preserve"> PAGEREF _Toc138344641 \h </w:instrText>
            </w:r>
            <w:r w:rsidR="00332D6C">
              <w:rPr>
                <w:noProof/>
                <w:webHidden/>
              </w:rPr>
            </w:r>
            <w:r w:rsidR="00332D6C">
              <w:rPr>
                <w:noProof/>
                <w:webHidden/>
              </w:rPr>
              <w:fldChar w:fldCharType="separate"/>
            </w:r>
            <w:r w:rsidR="00332D6C">
              <w:rPr>
                <w:noProof/>
                <w:webHidden/>
              </w:rPr>
              <w:t>129</w:t>
            </w:r>
            <w:r w:rsidR="00332D6C">
              <w:rPr>
                <w:noProof/>
                <w:webHidden/>
              </w:rPr>
              <w:fldChar w:fldCharType="end"/>
            </w:r>
          </w:hyperlink>
        </w:p>
        <w:p w14:paraId="50F3DC58" w14:textId="3A2F55F4" w:rsidR="00332D6C" w:rsidRDefault="00757301">
          <w:pPr>
            <w:pStyle w:val="TOC3"/>
            <w:tabs>
              <w:tab w:val="left" w:pos="1200"/>
              <w:tab w:val="right" w:leader="dot" w:pos="9854"/>
            </w:tabs>
            <w:rPr>
              <w:rFonts w:eastAsiaTheme="minorEastAsia" w:cstheme="minorBidi"/>
              <w:i w:val="0"/>
              <w:iCs w:val="0"/>
              <w:noProof/>
              <w:szCs w:val="22"/>
            </w:rPr>
          </w:pPr>
          <w:hyperlink w:anchor="_Toc138344642" w:history="1">
            <w:r w:rsidR="00332D6C" w:rsidRPr="009F465B">
              <w:rPr>
                <w:rStyle w:val="Hyperlink"/>
                <w:rFonts w:ascii="Marianne" w:eastAsiaTheme="majorEastAsia" w:hAnsi="Marianne"/>
                <w:noProof/>
              </w:rPr>
              <w:t>D.4.</w:t>
            </w:r>
            <w:r w:rsidR="00332D6C">
              <w:rPr>
                <w:rFonts w:eastAsiaTheme="minorEastAsia" w:cstheme="minorBidi"/>
                <w:i w:val="0"/>
                <w:iCs w:val="0"/>
                <w:noProof/>
                <w:szCs w:val="22"/>
              </w:rPr>
              <w:tab/>
            </w:r>
            <w:r w:rsidR="00332D6C" w:rsidRPr="009F465B">
              <w:rPr>
                <w:rStyle w:val="Hyperlink"/>
                <w:rFonts w:eastAsiaTheme="majorEastAsia"/>
                <w:noProof/>
              </w:rPr>
              <w:t>Appui de la France à la mise en place d’un système national d’inventaire de GES en Algérie</w:t>
            </w:r>
            <w:r w:rsidR="00332D6C">
              <w:rPr>
                <w:noProof/>
                <w:webHidden/>
              </w:rPr>
              <w:tab/>
            </w:r>
            <w:r w:rsidR="00332D6C">
              <w:rPr>
                <w:noProof/>
                <w:webHidden/>
              </w:rPr>
              <w:fldChar w:fldCharType="begin"/>
            </w:r>
            <w:r w:rsidR="00332D6C">
              <w:rPr>
                <w:noProof/>
                <w:webHidden/>
              </w:rPr>
              <w:instrText xml:space="preserve"> PAGEREF _Toc138344642 \h </w:instrText>
            </w:r>
            <w:r w:rsidR="00332D6C">
              <w:rPr>
                <w:noProof/>
                <w:webHidden/>
              </w:rPr>
            </w:r>
            <w:r w:rsidR="00332D6C">
              <w:rPr>
                <w:noProof/>
                <w:webHidden/>
              </w:rPr>
              <w:fldChar w:fldCharType="separate"/>
            </w:r>
            <w:r w:rsidR="00332D6C">
              <w:rPr>
                <w:noProof/>
                <w:webHidden/>
              </w:rPr>
              <w:t>129</w:t>
            </w:r>
            <w:r w:rsidR="00332D6C">
              <w:rPr>
                <w:noProof/>
                <w:webHidden/>
              </w:rPr>
              <w:fldChar w:fldCharType="end"/>
            </w:r>
          </w:hyperlink>
        </w:p>
        <w:p w14:paraId="36590D90" w14:textId="1D2FB06A" w:rsidR="00332D6C" w:rsidRDefault="00757301">
          <w:pPr>
            <w:pStyle w:val="TOC3"/>
            <w:tabs>
              <w:tab w:val="left" w:pos="1200"/>
              <w:tab w:val="right" w:leader="dot" w:pos="9854"/>
            </w:tabs>
            <w:rPr>
              <w:rFonts w:eastAsiaTheme="minorEastAsia" w:cstheme="minorBidi"/>
              <w:i w:val="0"/>
              <w:iCs w:val="0"/>
              <w:noProof/>
              <w:szCs w:val="22"/>
            </w:rPr>
          </w:pPr>
          <w:hyperlink w:anchor="_Toc138344643" w:history="1">
            <w:r w:rsidR="00332D6C" w:rsidRPr="009F465B">
              <w:rPr>
                <w:rStyle w:val="Hyperlink"/>
                <w:rFonts w:ascii="Marianne" w:eastAsiaTheme="majorEastAsia" w:hAnsi="Marianne"/>
                <w:noProof/>
              </w:rPr>
              <w:t>D.5.</w:t>
            </w:r>
            <w:r w:rsidR="00332D6C">
              <w:rPr>
                <w:rFonts w:eastAsiaTheme="minorEastAsia" w:cstheme="minorBidi"/>
                <w:i w:val="0"/>
                <w:iCs w:val="0"/>
                <w:noProof/>
                <w:szCs w:val="22"/>
              </w:rPr>
              <w:tab/>
            </w:r>
            <w:r w:rsidR="00332D6C" w:rsidRPr="009F465B">
              <w:rPr>
                <w:rStyle w:val="Hyperlink"/>
                <w:rFonts w:eastAsiaTheme="majorEastAsia"/>
                <w:noProof/>
              </w:rPr>
              <w:t>Logiciel de MRV des émissions de polluants atmosphériques et de GES</w:t>
            </w:r>
            <w:r w:rsidR="00332D6C" w:rsidRPr="009F465B">
              <w:rPr>
                <w:rStyle w:val="Hyperlink"/>
                <w:rFonts w:ascii="Calibri" w:eastAsiaTheme="majorEastAsia" w:hAnsi="Calibri" w:cs="Calibri"/>
                <w:noProof/>
              </w:rPr>
              <w:t> </w:t>
            </w:r>
            <w:r w:rsidR="00332D6C" w:rsidRPr="009F465B">
              <w:rPr>
                <w:rStyle w:val="Hyperlink"/>
                <w:rFonts w:eastAsiaTheme="majorEastAsia"/>
                <w:noProof/>
              </w:rPr>
              <w:t>: RISQ</w:t>
            </w:r>
            <w:r w:rsidR="00332D6C">
              <w:rPr>
                <w:noProof/>
                <w:webHidden/>
              </w:rPr>
              <w:tab/>
            </w:r>
            <w:r w:rsidR="00332D6C">
              <w:rPr>
                <w:noProof/>
                <w:webHidden/>
              </w:rPr>
              <w:fldChar w:fldCharType="begin"/>
            </w:r>
            <w:r w:rsidR="00332D6C">
              <w:rPr>
                <w:noProof/>
                <w:webHidden/>
              </w:rPr>
              <w:instrText xml:space="preserve"> PAGEREF _Toc138344643 \h </w:instrText>
            </w:r>
            <w:r w:rsidR="00332D6C">
              <w:rPr>
                <w:noProof/>
                <w:webHidden/>
              </w:rPr>
            </w:r>
            <w:r w:rsidR="00332D6C">
              <w:rPr>
                <w:noProof/>
                <w:webHidden/>
              </w:rPr>
              <w:fldChar w:fldCharType="separate"/>
            </w:r>
            <w:r w:rsidR="00332D6C">
              <w:rPr>
                <w:noProof/>
                <w:webHidden/>
              </w:rPr>
              <w:t>130</w:t>
            </w:r>
            <w:r w:rsidR="00332D6C">
              <w:rPr>
                <w:noProof/>
                <w:webHidden/>
              </w:rPr>
              <w:fldChar w:fldCharType="end"/>
            </w:r>
          </w:hyperlink>
        </w:p>
        <w:p w14:paraId="116A0EE1" w14:textId="16532609" w:rsidR="00332D6C" w:rsidRDefault="00757301">
          <w:pPr>
            <w:pStyle w:val="TOC3"/>
            <w:tabs>
              <w:tab w:val="left" w:pos="1200"/>
              <w:tab w:val="right" w:leader="dot" w:pos="9854"/>
            </w:tabs>
            <w:rPr>
              <w:rFonts w:eastAsiaTheme="minorEastAsia" w:cstheme="minorBidi"/>
              <w:i w:val="0"/>
              <w:iCs w:val="0"/>
              <w:noProof/>
              <w:szCs w:val="22"/>
            </w:rPr>
          </w:pPr>
          <w:hyperlink w:anchor="_Toc138344644" w:history="1">
            <w:r w:rsidR="00332D6C" w:rsidRPr="009F465B">
              <w:rPr>
                <w:rStyle w:val="Hyperlink"/>
                <w:rFonts w:ascii="Marianne" w:eastAsiaTheme="majorEastAsia" w:hAnsi="Marianne"/>
                <w:noProof/>
              </w:rPr>
              <w:t>D.6.</w:t>
            </w:r>
            <w:r w:rsidR="00332D6C">
              <w:rPr>
                <w:rFonts w:eastAsiaTheme="minorEastAsia" w:cstheme="minorBidi"/>
                <w:i w:val="0"/>
                <w:iCs w:val="0"/>
                <w:noProof/>
                <w:szCs w:val="22"/>
              </w:rPr>
              <w:tab/>
            </w:r>
            <w:r w:rsidR="00332D6C" w:rsidRPr="009F465B">
              <w:rPr>
                <w:rStyle w:val="Hyperlink"/>
                <w:rFonts w:eastAsiaTheme="majorEastAsia"/>
                <w:noProof/>
              </w:rPr>
              <w:t>Le centre franco-chinois avec le CRAES</w:t>
            </w:r>
            <w:r w:rsidR="00332D6C">
              <w:rPr>
                <w:noProof/>
                <w:webHidden/>
              </w:rPr>
              <w:tab/>
            </w:r>
            <w:r w:rsidR="00332D6C">
              <w:rPr>
                <w:noProof/>
                <w:webHidden/>
              </w:rPr>
              <w:fldChar w:fldCharType="begin"/>
            </w:r>
            <w:r w:rsidR="00332D6C">
              <w:rPr>
                <w:noProof/>
                <w:webHidden/>
              </w:rPr>
              <w:instrText xml:space="preserve"> PAGEREF _Toc138344644 \h </w:instrText>
            </w:r>
            <w:r w:rsidR="00332D6C">
              <w:rPr>
                <w:noProof/>
                <w:webHidden/>
              </w:rPr>
            </w:r>
            <w:r w:rsidR="00332D6C">
              <w:rPr>
                <w:noProof/>
                <w:webHidden/>
              </w:rPr>
              <w:fldChar w:fldCharType="separate"/>
            </w:r>
            <w:r w:rsidR="00332D6C">
              <w:rPr>
                <w:noProof/>
                <w:webHidden/>
              </w:rPr>
              <w:t>130</w:t>
            </w:r>
            <w:r w:rsidR="00332D6C">
              <w:rPr>
                <w:noProof/>
                <w:webHidden/>
              </w:rPr>
              <w:fldChar w:fldCharType="end"/>
            </w:r>
          </w:hyperlink>
        </w:p>
        <w:p w14:paraId="2CC97EBE" w14:textId="3D4ED64E" w:rsidR="00332D6C" w:rsidRDefault="00757301">
          <w:pPr>
            <w:pStyle w:val="TOC3"/>
            <w:tabs>
              <w:tab w:val="left" w:pos="1200"/>
              <w:tab w:val="right" w:leader="dot" w:pos="9854"/>
            </w:tabs>
            <w:rPr>
              <w:rFonts w:eastAsiaTheme="minorEastAsia" w:cstheme="minorBidi"/>
              <w:i w:val="0"/>
              <w:iCs w:val="0"/>
              <w:noProof/>
              <w:szCs w:val="22"/>
            </w:rPr>
          </w:pPr>
          <w:hyperlink w:anchor="_Toc138344645" w:history="1">
            <w:r w:rsidR="00332D6C" w:rsidRPr="009F465B">
              <w:rPr>
                <w:rStyle w:val="Hyperlink"/>
                <w:rFonts w:ascii="Marianne" w:eastAsiaTheme="majorEastAsia" w:hAnsi="Marianne"/>
                <w:noProof/>
              </w:rPr>
              <w:t>D.7.</w:t>
            </w:r>
            <w:r w:rsidR="00332D6C">
              <w:rPr>
                <w:rFonts w:eastAsiaTheme="minorEastAsia" w:cstheme="minorBidi"/>
                <w:i w:val="0"/>
                <w:iCs w:val="0"/>
                <w:noProof/>
                <w:szCs w:val="22"/>
              </w:rPr>
              <w:tab/>
            </w:r>
            <w:r w:rsidR="00332D6C" w:rsidRPr="009F465B">
              <w:rPr>
                <w:rStyle w:val="Hyperlink"/>
                <w:rFonts w:eastAsiaTheme="majorEastAsia"/>
                <w:noProof/>
              </w:rPr>
              <w:t>Le rôle de l’ADEME</w:t>
            </w:r>
            <w:r w:rsidR="00332D6C">
              <w:rPr>
                <w:noProof/>
                <w:webHidden/>
              </w:rPr>
              <w:tab/>
            </w:r>
            <w:r w:rsidR="00332D6C">
              <w:rPr>
                <w:noProof/>
                <w:webHidden/>
              </w:rPr>
              <w:fldChar w:fldCharType="begin"/>
            </w:r>
            <w:r w:rsidR="00332D6C">
              <w:rPr>
                <w:noProof/>
                <w:webHidden/>
              </w:rPr>
              <w:instrText xml:space="preserve"> PAGEREF _Toc138344645 \h </w:instrText>
            </w:r>
            <w:r w:rsidR="00332D6C">
              <w:rPr>
                <w:noProof/>
                <w:webHidden/>
              </w:rPr>
            </w:r>
            <w:r w:rsidR="00332D6C">
              <w:rPr>
                <w:noProof/>
                <w:webHidden/>
              </w:rPr>
              <w:fldChar w:fldCharType="separate"/>
            </w:r>
            <w:r w:rsidR="00332D6C">
              <w:rPr>
                <w:noProof/>
                <w:webHidden/>
              </w:rPr>
              <w:t>130</w:t>
            </w:r>
            <w:r w:rsidR="00332D6C">
              <w:rPr>
                <w:noProof/>
                <w:webHidden/>
              </w:rPr>
              <w:fldChar w:fldCharType="end"/>
            </w:r>
          </w:hyperlink>
        </w:p>
        <w:p w14:paraId="491010EB" w14:textId="04927399" w:rsidR="00332D6C" w:rsidRDefault="00757301">
          <w:pPr>
            <w:pStyle w:val="TOC3"/>
            <w:tabs>
              <w:tab w:val="left" w:pos="1200"/>
              <w:tab w:val="right" w:leader="dot" w:pos="9854"/>
            </w:tabs>
            <w:rPr>
              <w:rFonts w:eastAsiaTheme="minorEastAsia" w:cstheme="minorBidi"/>
              <w:i w:val="0"/>
              <w:iCs w:val="0"/>
              <w:noProof/>
              <w:szCs w:val="22"/>
            </w:rPr>
          </w:pPr>
          <w:hyperlink w:anchor="_Toc138344646" w:history="1">
            <w:r w:rsidR="00332D6C" w:rsidRPr="009F465B">
              <w:rPr>
                <w:rStyle w:val="Hyperlink"/>
                <w:rFonts w:ascii="Marianne" w:eastAsiaTheme="majorEastAsia" w:hAnsi="Marianne"/>
                <w:noProof/>
              </w:rPr>
              <w:t>D.8.</w:t>
            </w:r>
            <w:r w:rsidR="00332D6C">
              <w:rPr>
                <w:rFonts w:eastAsiaTheme="minorEastAsia" w:cstheme="minorBidi"/>
                <w:i w:val="0"/>
                <w:iCs w:val="0"/>
                <w:noProof/>
                <w:szCs w:val="22"/>
              </w:rPr>
              <w:tab/>
            </w:r>
            <w:r w:rsidR="00332D6C" w:rsidRPr="009F465B">
              <w:rPr>
                <w:rStyle w:val="Hyperlink"/>
                <w:rFonts w:eastAsiaTheme="majorEastAsia"/>
                <w:noProof/>
              </w:rPr>
              <w:t>Le rôle de l’AFD</w:t>
            </w:r>
            <w:r w:rsidR="00332D6C">
              <w:rPr>
                <w:noProof/>
                <w:webHidden/>
              </w:rPr>
              <w:tab/>
            </w:r>
            <w:r w:rsidR="00332D6C">
              <w:rPr>
                <w:noProof/>
                <w:webHidden/>
              </w:rPr>
              <w:fldChar w:fldCharType="begin"/>
            </w:r>
            <w:r w:rsidR="00332D6C">
              <w:rPr>
                <w:noProof/>
                <w:webHidden/>
              </w:rPr>
              <w:instrText xml:space="preserve"> PAGEREF _Toc138344646 \h </w:instrText>
            </w:r>
            <w:r w:rsidR="00332D6C">
              <w:rPr>
                <w:noProof/>
                <w:webHidden/>
              </w:rPr>
            </w:r>
            <w:r w:rsidR="00332D6C">
              <w:rPr>
                <w:noProof/>
                <w:webHidden/>
              </w:rPr>
              <w:fldChar w:fldCharType="separate"/>
            </w:r>
            <w:r w:rsidR="00332D6C">
              <w:rPr>
                <w:noProof/>
                <w:webHidden/>
              </w:rPr>
              <w:t>131</w:t>
            </w:r>
            <w:r w:rsidR="00332D6C">
              <w:rPr>
                <w:noProof/>
                <w:webHidden/>
              </w:rPr>
              <w:fldChar w:fldCharType="end"/>
            </w:r>
          </w:hyperlink>
        </w:p>
        <w:p w14:paraId="0865F5AB" w14:textId="1C467564" w:rsidR="00332D6C" w:rsidRDefault="00757301">
          <w:pPr>
            <w:pStyle w:val="TOC1"/>
            <w:rPr>
              <w:rFonts w:eastAsiaTheme="minorEastAsia" w:cstheme="minorBidi"/>
              <w:b w:val="0"/>
              <w:bCs w:val="0"/>
              <w:caps w:val="0"/>
              <w:noProof/>
              <w:szCs w:val="22"/>
            </w:rPr>
          </w:pPr>
          <w:hyperlink w:anchor="_Toc138344647" w:history="1">
            <w:r w:rsidR="00332D6C" w:rsidRPr="009F465B">
              <w:rPr>
                <w:rStyle w:val="Hyperlink"/>
                <w:rFonts w:eastAsiaTheme="majorEastAsia"/>
                <w:noProof/>
              </w:rPr>
              <w:t>Annexe I – Tableaux de synthèse des émissions par secteur</w:t>
            </w:r>
            <w:r w:rsidR="00332D6C">
              <w:rPr>
                <w:noProof/>
                <w:webHidden/>
              </w:rPr>
              <w:tab/>
            </w:r>
            <w:r w:rsidR="00332D6C">
              <w:rPr>
                <w:noProof/>
                <w:webHidden/>
              </w:rPr>
              <w:fldChar w:fldCharType="begin"/>
            </w:r>
            <w:r w:rsidR="00332D6C">
              <w:rPr>
                <w:noProof/>
                <w:webHidden/>
              </w:rPr>
              <w:instrText xml:space="preserve"> PAGEREF _Toc138344647 \h </w:instrText>
            </w:r>
            <w:r w:rsidR="00332D6C">
              <w:rPr>
                <w:noProof/>
                <w:webHidden/>
              </w:rPr>
            </w:r>
            <w:r w:rsidR="00332D6C">
              <w:rPr>
                <w:noProof/>
                <w:webHidden/>
              </w:rPr>
              <w:fldChar w:fldCharType="separate"/>
            </w:r>
            <w:r w:rsidR="00332D6C">
              <w:rPr>
                <w:noProof/>
                <w:webHidden/>
              </w:rPr>
              <w:t>136</w:t>
            </w:r>
            <w:r w:rsidR="00332D6C">
              <w:rPr>
                <w:noProof/>
                <w:webHidden/>
              </w:rPr>
              <w:fldChar w:fldCharType="end"/>
            </w:r>
          </w:hyperlink>
        </w:p>
        <w:p w14:paraId="4A8E62FC" w14:textId="21A39AF4" w:rsidR="00332D6C" w:rsidRDefault="00757301">
          <w:pPr>
            <w:pStyle w:val="TOC1"/>
            <w:rPr>
              <w:rFonts w:eastAsiaTheme="minorEastAsia" w:cstheme="minorBidi"/>
              <w:b w:val="0"/>
              <w:bCs w:val="0"/>
              <w:caps w:val="0"/>
              <w:noProof/>
              <w:szCs w:val="22"/>
            </w:rPr>
          </w:pPr>
          <w:hyperlink w:anchor="_Toc138344648" w:history="1">
            <w:r w:rsidR="00332D6C" w:rsidRPr="009F465B">
              <w:rPr>
                <w:rStyle w:val="Hyperlink"/>
                <w:rFonts w:eastAsiaTheme="majorEastAsia"/>
                <w:noProof/>
              </w:rPr>
              <w:t>Annexe II – Assistance apportée aux pays en développement sous la forme de ressources financières, de technologies et de renforcement des capacités – tableaux de financement</w:t>
            </w:r>
            <w:r w:rsidR="00332D6C">
              <w:rPr>
                <w:noProof/>
                <w:webHidden/>
              </w:rPr>
              <w:tab/>
            </w:r>
            <w:r w:rsidR="00332D6C">
              <w:rPr>
                <w:noProof/>
                <w:webHidden/>
              </w:rPr>
              <w:fldChar w:fldCharType="begin"/>
            </w:r>
            <w:r w:rsidR="00332D6C">
              <w:rPr>
                <w:noProof/>
                <w:webHidden/>
              </w:rPr>
              <w:instrText xml:space="preserve"> PAGEREF _Toc138344648 \h </w:instrText>
            </w:r>
            <w:r w:rsidR="00332D6C">
              <w:rPr>
                <w:noProof/>
                <w:webHidden/>
              </w:rPr>
            </w:r>
            <w:r w:rsidR="00332D6C">
              <w:rPr>
                <w:noProof/>
                <w:webHidden/>
              </w:rPr>
              <w:fldChar w:fldCharType="separate"/>
            </w:r>
            <w:r w:rsidR="00332D6C">
              <w:rPr>
                <w:noProof/>
                <w:webHidden/>
              </w:rPr>
              <w:t>140</w:t>
            </w:r>
            <w:r w:rsidR="00332D6C">
              <w:rPr>
                <w:noProof/>
                <w:webHidden/>
              </w:rPr>
              <w:fldChar w:fldCharType="end"/>
            </w:r>
          </w:hyperlink>
        </w:p>
        <w:p w14:paraId="53782A6C" w14:textId="02F75798" w:rsidR="00332D6C" w:rsidRDefault="00757301">
          <w:pPr>
            <w:pStyle w:val="TOC1"/>
            <w:rPr>
              <w:rFonts w:eastAsiaTheme="minorEastAsia" w:cstheme="minorBidi"/>
              <w:b w:val="0"/>
              <w:bCs w:val="0"/>
              <w:caps w:val="0"/>
              <w:noProof/>
              <w:szCs w:val="22"/>
            </w:rPr>
          </w:pPr>
          <w:hyperlink w:anchor="_Toc138344649" w:history="1">
            <w:r w:rsidR="00332D6C" w:rsidRPr="009F465B">
              <w:rPr>
                <w:rStyle w:val="Hyperlink"/>
                <w:rFonts w:eastAsiaTheme="majorEastAsia"/>
                <w:noProof/>
              </w:rPr>
              <w:t>Annexe III – Politiques et mesures</w:t>
            </w:r>
            <w:r w:rsidR="00332D6C">
              <w:rPr>
                <w:noProof/>
                <w:webHidden/>
              </w:rPr>
              <w:tab/>
            </w:r>
            <w:r w:rsidR="00332D6C">
              <w:rPr>
                <w:noProof/>
                <w:webHidden/>
              </w:rPr>
              <w:fldChar w:fldCharType="begin"/>
            </w:r>
            <w:r w:rsidR="00332D6C">
              <w:rPr>
                <w:noProof/>
                <w:webHidden/>
              </w:rPr>
              <w:instrText xml:space="preserve"> PAGEREF _Toc138344649 \h </w:instrText>
            </w:r>
            <w:r w:rsidR="00332D6C">
              <w:rPr>
                <w:noProof/>
                <w:webHidden/>
              </w:rPr>
            </w:r>
            <w:r w:rsidR="00332D6C">
              <w:rPr>
                <w:noProof/>
                <w:webHidden/>
              </w:rPr>
              <w:fldChar w:fldCharType="separate"/>
            </w:r>
            <w:r w:rsidR="00332D6C">
              <w:rPr>
                <w:noProof/>
                <w:webHidden/>
              </w:rPr>
              <w:t>196</w:t>
            </w:r>
            <w:r w:rsidR="00332D6C">
              <w:rPr>
                <w:noProof/>
                <w:webHidden/>
              </w:rPr>
              <w:fldChar w:fldCharType="end"/>
            </w:r>
          </w:hyperlink>
        </w:p>
        <w:p w14:paraId="6AE30DF0" w14:textId="0DE55977" w:rsidR="003D55E6" w:rsidRPr="0098629B" w:rsidRDefault="003D55E6">
          <w:r w:rsidRPr="0098629B">
            <w:rPr>
              <w:b/>
              <w:bCs/>
            </w:rPr>
            <w:fldChar w:fldCharType="end"/>
          </w:r>
        </w:p>
      </w:sdtContent>
    </w:sdt>
    <w:p w14:paraId="0C2EC927" w14:textId="77777777" w:rsidR="00D20917" w:rsidRPr="0098629B" w:rsidRDefault="00D20917" w:rsidP="00246278">
      <w:pPr>
        <w:pStyle w:val="Sommaire"/>
        <w:rPr>
          <w:rFonts w:ascii="Marianne ExtraBold" w:hAnsi="Marianne ExtraBold"/>
          <w:b w:val="0"/>
          <w:color w:val="000000" w:themeColor="text1"/>
        </w:rPr>
      </w:pPr>
    </w:p>
    <w:p w14:paraId="3C5A8C61" w14:textId="77777777" w:rsidR="00811B0F" w:rsidRPr="0098629B" w:rsidRDefault="002D08FD" w:rsidP="00811B0F">
      <w:pPr>
        <w:pStyle w:val="TOCHeading"/>
      </w:pPr>
      <w:r w:rsidRPr="0098629B">
        <w:br w:type="page"/>
      </w:r>
      <w:r w:rsidR="00811B0F" w:rsidRPr="0098629B">
        <w:lastRenderedPageBreak/>
        <w:t>Table des illustrations</w:t>
      </w:r>
    </w:p>
    <w:p w14:paraId="5A665A25" w14:textId="163AB48A" w:rsidR="000F7B26" w:rsidRDefault="00811B0F">
      <w:pPr>
        <w:pStyle w:val="TableofFigures"/>
        <w:tabs>
          <w:tab w:val="right" w:leader="dot" w:pos="9854"/>
        </w:tabs>
        <w:rPr>
          <w:rFonts w:eastAsiaTheme="minorEastAsia" w:cstheme="minorBidi"/>
          <w:i w:val="0"/>
          <w:iCs w:val="0"/>
          <w:noProof/>
          <w:sz w:val="22"/>
          <w:szCs w:val="22"/>
        </w:rPr>
      </w:pPr>
      <w:r w:rsidRPr="0098629B">
        <w:fldChar w:fldCharType="begin"/>
      </w:r>
      <w:r w:rsidRPr="0098629B">
        <w:instrText xml:space="preserve"> TOC \h \z \c "Figure" </w:instrText>
      </w:r>
      <w:r w:rsidRPr="0098629B">
        <w:fldChar w:fldCharType="separate"/>
      </w:r>
      <w:hyperlink w:anchor="_Toc123916609" w:history="1">
        <w:r w:rsidR="000F7B26" w:rsidRPr="00A31883">
          <w:rPr>
            <w:rStyle w:val="Hyperlink"/>
            <w:noProof/>
          </w:rPr>
          <w:t>Figure 1 : Evolution des émissions françaises au périmètre Convention de 1990 à 2020</w:t>
        </w:r>
        <w:r w:rsidR="000F7B26">
          <w:rPr>
            <w:noProof/>
            <w:webHidden/>
          </w:rPr>
          <w:tab/>
        </w:r>
        <w:r w:rsidR="000F7B26">
          <w:rPr>
            <w:noProof/>
            <w:webHidden/>
          </w:rPr>
          <w:fldChar w:fldCharType="begin"/>
        </w:r>
        <w:r w:rsidR="000F7B26">
          <w:rPr>
            <w:noProof/>
            <w:webHidden/>
          </w:rPr>
          <w:instrText xml:space="preserve"> PAGEREF _Toc123916609 \h </w:instrText>
        </w:r>
        <w:r w:rsidR="000F7B26">
          <w:rPr>
            <w:noProof/>
            <w:webHidden/>
          </w:rPr>
        </w:r>
        <w:r w:rsidR="000F7B26">
          <w:rPr>
            <w:noProof/>
            <w:webHidden/>
          </w:rPr>
          <w:fldChar w:fldCharType="separate"/>
        </w:r>
        <w:r w:rsidR="00677B3C">
          <w:rPr>
            <w:noProof/>
            <w:webHidden/>
          </w:rPr>
          <w:t>9</w:t>
        </w:r>
        <w:r w:rsidR="000F7B26">
          <w:rPr>
            <w:noProof/>
            <w:webHidden/>
          </w:rPr>
          <w:fldChar w:fldCharType="end"/>
        </w:r>
      </w:hyperlink>
    </w:p>
    <w:p w14:paraId="239D1B7A" w14:textId="00BCEDD3" w:rsidR="000F7B26" w:rsidRDefault="00757301">
      <w:pPr>
        <w:pStyle w:val="TableofFigures"/>
        <w:tabs>
          <w:tab w:val="right" w:leader="dot" w:pos="9854"/>
        </w:tabs>
        <w:rPr>
          <w:rFonts w:eastAsiaTheme="minorEastAsia" w:cstheme="minorBidi"/>
          <w:i w:val="0"/>
          <w:iCs w:val="0"/>
          <w:noProof/>
          <w:sz w:val="22"/>
          <w:szCs w:val="22"/>
        </w:rPr>
      </w:pPr>
      <w:hyperlink w:anchor="_Toc123916610" w:history="1">
        <w:r w:rsidR="000F7B26" w:rsidRPr="00A31883">
          <w:rPr>
            <w:rStyle w:val="Hyperlink"/>
            <w:noProof/>
          </w:rPr>
          <w:t>Figure 2 : Evolution des émissions françaises au périmètre « Kyoto »</w:t>
        </w:r>
        <w:r w:rsidR="000F7B26">
          <w:rPr>
            <w:noProof/>
            <w:webHidden/>
          </w:rPr>
          <w:tab/>
        </w:r>
        <w:r w:rsidR="000F7B26">
          <w:rPr>
            <w:noProof/>
            <w:webHidden/>
          </w:rPr>
          <w:fldChar w:fldCharType="begin"/>
        </w:r>
        <w:r w:rsidR="000F7B26">
          <w:rPr>
            <w:noProof/>
            <w:webHidden/>
          </w:rPr>
          <w:instrText xml:space="preserve"> PAGEREF _Toc123916610 \h </w:instrText>
        </w:r>
        <w:r w:rsidR="000F7B26">
          <w:rPr>
            <w:noProof/>
            <w:webHidden/>
          </w:rPr>
        </w:r>
        <w:r w:rsidR="000F7B26">
          <w:rPr>
            <w:noProof/>
            <w:webHidden/>
          </w:rPr>
          <w:fldChar w:fldCharType="separate"/>
        </w:r>
        <w:r w:rsidR="00677B3C">
          <w:rPr>
            <w:noProof/>
            <w:webHidden/>
          </w:rPr>
          <w:t>10</w:t>
        </w:r>
        <w:r w:rsidR="000F7B26">
          <w:rPr>
            <w:noProof/>
            <w:webHidden/>
          </w:rPr>
          <w:fldChar w:fldCharType="end"/>
        </w:r>
      </w:hyperlink>
    </w:p>
    <w:p w14:paraId="5D33EF96" w14:textId="6EDD9739" w:rsidR="000F7B26" w:rsidRDefault="00757301">
      <w:pPr>
        <w:pStyle w:val="TableofFigures"/>
        <w:tabs>
          <w:tab w:val="right" w:leader="dot" w:pos="9854"/>
        </w:tabs>
        <w:rPr>
          <w:rFonts w:eastAsiaTheme="minorEastAsia" w:cstheme="minorBidi"/>
          <w:i w:val="0"/>
          <w:iCs w:val="0"/>
          <w:noProof/>
          <w:sz w:val="22"/>
          <w:szCs w:val="22"/>
        </w:rPr>
      </w:pPr>
      <w:hyperlink w:anchor="_Toc123916611" w:history="1">
        <w:r w:rsidR="000F7B26" w:rsidRPr="00A31883">
          <w:rPr>
            <w:rStyle w:val="Hyperlink"/>
            <w:noProof/>
          </w:rPr>
          <w:t>Figure 3 : Émissions de CO</w:t>
        </w:r>
        <w:r w:rsidR="000F7B26" w:rsidRPr="00A31883">
          <w:rPr>
            <w:rStyle w:val="Hyperlink"/>
            <w:noProof/>
            <w:vertAlign w:val="subscript"/>
          </w:rPr>
          <w:t>2</w:t>
        </w:r>
        <w:r w:rsidR="000F7B26" w:rsidRPr="00A31883">
          <w:rPr>
            <w:rStyle w:val="Hyperlink"/>
            <w:noProof/>
          </w:rPr>
          <w:t>, CH</w:t>
        </w:r>
        <w:r w:rsidR="000F7B26" w:rsidRPr="00A31883">
          <w:rPr>
            <w:rStyle w:val="Hyperlink"/>
            <w:noProof/>
            <w:vertAlign w:val="subscript"/>
          </w:rPr>
          <w:t>4</w:t>
        </w:r>
        <w:r w:rsidR="000F7B26" w:rsidRPr="00A31883">
          <w:rPr>
            <w:rStyle w:val="Hyperlink"/>
            <w:noProof/>
          </w:rPr>
          <w:t>, N</w:t>
        </w:r>
        <w:r w:rsidR="000F7B26" w:rsidRPr="00A31883">
          <w:rPr>
            <w:rStyle w:val="Hyperlink"/>
            <w:noProof/>
            <w:vertAlign w:val="subscript"/>
          </w:rPr>
          <w:t>2</w:t>
        </w:r>
        <w:r w:rsidR="000F7B26" w:rsidRPr="00A31883">
          <w:rPr>
            <w:rStyle w:val="Hyperlink"/>
            <w:noProof/>
          </w:rPr>
          <w:t>O, HFCs et PFCs depuis 1990 en milliers de tonnes équivalent CO</w:t>
        </w:r>
        <w:r w:rsidR="000F7B26" w:rsidRPr="00A31883">
          <w:rPr>
            <w:rStyle w:val="Hyperlink"/>
            <w:noProof/>
            <w:vertAlign w:val="subscript"/>
          </w:rPr>
          <w:t>2</w:t>
        </w:r>
        <w:r w:rsidR="000F7B26">
          <w:rPr>
            <w:noProof/>
            <w:webHidden/>
          </w:rPr>
          <w:tab/>
        </w:r>
        <w:r w:rsidR="000F7B26">
          <w:rPr>
            <w:noProof/>
            <w:webHidden/>
          </w:rPr>
          <w:fldChar w:fldCharType="begin"/>
        </w:r>
        <w:r w:rsidR="000F7B26">
          <w:rPr>
            <w:noProof/>
            <w:webHidden/>
          </w:rPr>
          <w:instrText xml:space="preserve"> PAGEREF _Toc123916611 \h </w:instrText>
        </w:r>
        <w:r w:rsidR="000F7B26">
          <w:rPr>
            <w:noProof/>
            <w:webHidden/>
          </w:rPr>
        </w:r>
        <w:r w:rsidR="000F7B26">
          <w:rPr>
            <w:noProof/>
            <w:webHidden/>
          </w:rPr>
          <w:fldChar w:fldCharType="separate"/>
        </w:r>
        <w:r w:rsidR="00677B3C">
          <w:rPr>
            <w:noProof/>
            <w:webHidden/>
          </w:rPr>
          <w:t>11</w:t>
        </w:r>
        <w:r w:rsidR="000F7B26">
          <w:rPr>
            <w:noProof/>
            <w:webHidden/>
          </w:rPr>
          <w:fldChar w:fldCharType="end"/>
        </w:r>
      </w:hyperlink>
    </w:p>
    <w:p w14:paraId="2C7B2649" w14:textId="6E57D708" w:rsidR="000F7B26" w:rsidRDefault="00757301">
      <w:pPr>
        <w:pStyle w:val="TableofFigures"/>
        <w:tabs>
          <w:tab w:val="right" w:leader="dot" w:pos="9854"/>
        </w:tabs>
        <w:rPr>
          <w:rFonts w:eastAsiaTheme="minorEastAsia" w:cstheme="minorBidi"/>
          <w:i w:val="0"/>
          <w:iCs w:val="0"/>
          <w:noProof/>
          <w:sz w:val="22"/>
          <w:szCs w:val="22"/>
        </w:rPr>
      </w:pPr>
      <w:hyperlink w:anchor="_Toc123916612" w:history="1">
        <w:r w:rsidR="000F7B26" w:rsidRPr="00A31883">
          <w:rPr>
            <w:rStyle w:val="Hyperlink"/>
            <w:noProof/>
          </w:rPr>
          <w:t>Figure 4 : Evolution de la part des différents gaz fluorés depuis 1990</w:t>
        </w:r>
        <w:r w:rsidR="000F7B26">
          <w:rPr>
            <w:noProof/>
            <w:webHidden/>
          </w:rPr>
          <w:tab/>
        </w:r>
        <w:r w:rsidR="000F7B26">
          <w:rPr>
            <w:noProof/>
            <w:webHidden/>
          </w:rPr>
          <w:fldChar w:fldCharType="begin"/>
        </w:r>
        <w:r w:rsidR="000F7B26">
          <w:rPr>
            <w:noProof/>
            <w:webHidden/>
          </w:rPr>
          <w:instrText xml:space="preserve"> PAGEREF _Toc123916612 \h </w:instrText>
        </w:r>
        <w:r w:rsidR="000F7B26">
          <w:rPr>
            <w:noProof/>
            <w:webHidden/>
          </w:rPr>
        </w:r>
        <w:r w:rsidR="000F7B26">
          <w:rPr>
            <w:noProof/>
            <w:webHidden/>
          </w:rPr>
          <w:fldChar w:fldCharType="separate"/>
        </w:r>
        <w:r w:rsidR="00677B3C">
          <w:rPr>
            <w:noProof/>
            <w:webHidden/>
          </w:rPr>
          <w:t>12</w:t>
        </w:r>
        <w:r w:rsidR="000F7B26">
          <w:rPr>
            <w:noProof/>
            <w:webHidden/>
          </w:rPr>
          <w:fldChar w:fldCharType="end"/>
        </w:r>
      </w:hyperlink>
    </w:p>
    <w:p w14:paraId="0B787B5D" w14:textId="6F1CC9C0" w:rsidR="000F7B26" w:rsidRDefault="00757301">
      <w:pPr>
        <w:pStyle w:val="TableofFigures"/>
        <w:tabs>
          <w:tab w:val="right" w:leader="dot" w:pos="9854"/>
        </w:tabs>
        <w:rPr>
          <w:rFonts w:eastAsiaTheme="minorEastAsia" w:cstheme="minorBidi"/>
          <w:i w:val="0"/>
          <w:iCs w:val="0"/>
          <w:noProof/>
          <w:sz w:val="22"/>
          <w:szCs w:val="22"/>
        </w:rPr>
      </w:pPr>
      <w:hyperlink w:anchor="_Toc123916613" w:history="1">
        <w:r w:rsidR="000F7B26" w:rsidRPr="00A31883">
          <w:rPr>
            <w:rStyle w:val="Hyperlink"/>
            <w:noProof/>
          </w:rPr>
          <w:t>Figure 5 : Evolution des émissions de CO</w:t>
        </w:r>
        <w:r w:rsidR="000F7B26" w:rsidRPr="00A31883">
          <w:rPr>
            <w:rStyle w:val="Hyperlink"/>
            <w:noProof/>
            <w:vertAlign w:val="subscript"/>
          </w:rPr>
          <w:t>2</w:t>
        </w:r>
        <w:r w:rsidR="000F7B26" w:rsidRPr="00A31883">
          <w:rPr>
            <w:rStyle w:val="Hyperlink"/>
            <w:noProof/>
          </w:rPr>
          <w:t xml:space="preserve"> pour les principaux secteurs contributeurs (en kt) de 1990 à 2020</w:t>
        </w:r>
        <w:r w:rsidR="000F7B26">
          <w:rPr>
            <w:noProof/>
            <w:webHidden/>
          </w:rPr>
          <w:tab/>
        </w:r>
        <w:r w:rsidR="000F7B26">
          <w:rPr>
            <w:noProof/>
            <w:webHidden/>
          </w:rPr>
          <w:fldChar w:fldCharType="begin"/>
        </w:r>
        <w:r w:rsidR="000F7B26">
          <w:rPr>
            <w:noProof/>
            <w:webHidden/>
          </w:rPr>
          <w:instrText xml:space="preserve"> PAGEREF _Toc123916613 \h </w:instrText>
        </w:r>
        <w:r w:rsidR="000F7B26">
          <w:rPr>
            <w:noProof/>
            <w:webHidden/>
          </w:rPr>
        </w:r>
        <w:r w:rsidR="000F7B26">
          <w:rPr>
            <w:noProof/>
            <w:webHidden/>
          </w:rPr>
          <w:fldChar w:fldCharType="separate"/>
        </w:r>
        <w:r w:rsidR="00677B3C">
          <w:rPr>
            <w:noProof/>
            <w:webHidden/>
          </w:rPr>
          <w:t>13</w:t>
        </w:r>
        <w:r w:rsidR="000F7B26">
          <w:rPr>
            <w:noProof/>
            <w:webHidden/>
          </w:rPr>
          <w:fldChar w:fldCharType="end"/>
        </w:r>
      </w:hyperlink>
    </w:p>
    <w:p w14:paraId="28216525" w14:textId="1D03195C" w:rsidR="000F7B26" w:rsidRDefault="00757301">
      <w:pPr>
        <w:pStyle w:val="TableofFigures"/>
        <w:tabs>
          <w:tab w:val="right" w:leader="dot" w:pos="9854"/>
        </w:tabs>
        <w:rPr>
          <w:rFonts w:eastAsiaTheme="minorEastAsia" w:cstheme="minorBidi"/>
          <w:i w:val="0"/>
          <w:iCs w:val="0"/>
          <w:noProof/>
          <w:sz w:val="22"/>
          <w:szCs w:val="22"/>
        </w:rPr>
      </w:pPr>
      <w:hyperlink w:anchor="_Toc123916614" w:history="1">
        <w:r w:rsidR="000F7B26" w:rsidRPr="00A31883">
          <w:rPr>
            <w:rStyle w:val="Hyperlink"/>
            <w:noProof/>
          </w:rPr>
          <w:t>Figure 6 :: Evolution des émissions de CH</w:t>
        </w:r>
        <w:r w:rsidR="000F7B26" w:rsidRPr="00A31883">
          <w:rPr>
            <w:rStyle w:val="Hyperlink"/>
            <w:noProof/>
            <w:vertAlign w:val="subscript"/>
          </w:rPr>
          <w:t>4</w:t>
        </w:r>
        <w:r w:rsidR="000F7B26" w:rsidRPr="00A31883">
          <w:rPr>
            <w:rStyle w:val="Hyperlink"/>
            <w:noProof/>
          </w:rPr>
          <w:t xml:space="preserve"> pour les principaux secteurs contributeurs (en ktCO</w:t>
        </w:r>
        <w:r w:rsidR="000F7B26" w:rsidRPr="00A31883">
          <w:rPr>
            <w:rStyle w:val="Hyperlink"/>
            <w:noProof/>
            <w:vertAlign w:val="subscript"/>
          </w:rPr>
          <w:t>2e</w:t>
        </w:r>
        <w:r w:rsidR="000F7B26" w:rsidRPr="00A31883">
          <w:rPr>
            <w:rStyle w:val="Hyperlink"/>
            <w:noProof/>
          </w:rPr>
          <w:t>) de 1990 à 2020</w:t>
        </w:r>
        <w:r w:rsidR="000F7B26">
          <w:rPr>
            <w:noProof/>
            <w:webHidden/>
          </w:rPr>
          <w:tab/>
        </w:r>
        <w:r w:rsidR="000F7B26">
          <w:rPr>
            <w:noProof/>
            <w:webHidden/>
          </w:rPr>
          <w:fldChar w:fldCharType="begin"/>
        </w:r>
        <w:r w:rsidR="000F7B26">
          <w:rPr>
            <w:noProof/>
            <w:webHidden/>
          </w:rPr>
          <w:instrText xml:space="preserve"> PAGEREF _Toc123916614 \h </w:instrText>
        </w:r>
        <w:r w:rsidR="000F7B26">
          <w:rPr>
            <w:noProof/>
            <w:webHidden/>
          </w:rPr>
        </w:r>
        <w:r w:rsidR="000F7B26">
          <w:rPr>
            <w:noProof/>
            <w:webHidden/>
          </w:rPr>
          <w:fldChar w:fldCharType="separate"/>
        </w:r>
        <w:r w:rsidR="00677B3C">
          <w:rPr>
            <w:noProof/>
            <w:webHidden/>
          </w:rPr>
          <w:t>14</w:t>
        </w:r>
        <w:r w:rsidR="000F7B26">
          <w:rPr>
            <w:noProof/>
            <w:webHidden/>
          </w:rPr>
          <w:fldChar w:fldCharType="end"/>
        </w:r>
      </w:hyperlink>
    </w:p>
    <w:p w14:paraId="2432056C" w14:textId="1BC08338" w:rsidR="000F7B26" w:rsidRDefault="00757301">
      <w:pPr>
        <w:pStyle w:val="TableofFigures"/>
        <w:tabs>
          <w:tab w:val="right" w:leader="dot" w:pos="9854"/>
        </w:tabs>
        <w:rPr>
          <w:rFonts w:eastAsiaTheme="minorEastAsia" w:cstheme="minorBidi"/>
          <w:i w:val="0"/>
          <w:iCs w:val="0"/>
          <w:noProof/>
          <w:sz w:val="22"/>
          <w:szCs w:val="22"/>
        </w:rPr>
      </w:pPr>
      <w:hyperlink w:anchor="_Toc123916615" w:history="1">
        <w:r w:rsidR="000F7B26" w:rsidRPr="00A31883">
          <w:rPr>
            <w:rStyle w:val="Hyperlink"/>
            <w:noProof/>
          </w:rPr>
          <w:t>Figure 7 : Evolution des émissions de N</w:t>
        </w:r>
        <w:r w:rsidR="000F7B26" w:rsidRPr="00A31883">
          <w:rPr>
            <w:rStyle w:val="Hyperlink"/>
            <w:noProof/>
            <w:vertAlign w:val="subscript"/>
          </w:rPr>
          <w:t>2</w:t>
        </w:r>
        <w:r w:rsidR="000F7B26" w:rsidRPr="00A31883">
          <w:rPr>
            <w:rStyle w:val="Hyperlink"/>
            <w:noProof/>
          </w:rPr>
          <w:t>O pour les principaux secteurs contributeurs (en ktCO</w:t>
        </w:r>
        <w:r w:rsidR="000F7B26" w:rsidRPr="00A31883">
          <w:rPr>
            <w:rStyle w:val="Hyperlink"/>
            <w:noProof/>
            <w:vertAlign w:val="subscript"/>
          </w:rPr>
          <w:t>2e</w:t>
        </w:r>
        <w:r w:rsidR="000F7B26" w:rsidRPr="00A31883">
          <w:rPr>
            <w:rStyle w:val="Hyperlink"/>
            <w:noProof/>
          </w:rPr>
          <w:t>) de 1990 à 2020</w:t>
        </w:r>
        <w:r w:rsidR="000F7B26">
          <w:rPr>
            <w:noProof/>
            <w:webHidden/>
          </w:rPr>
          <w:tab/>
        </w:r>
        <w:r w:rsidR="000F7B26">
          <w:rPr>
            <w:noProof/>
            <w:webHidden/>
          </w:rPr>
          <w:fldChar w:fldCharType="begin"/>
        </w:r>
        <w:r w:rsidR="000F7B26">
          <w:rPr>
            <w:noProof/>
            <w:webHidden/>
          </w:rPr>
          <w:instrText xml:space="preserve"> PAGEREF _Toc123916615 \h </w:instrText>
        </w:r>
        <w:r w:rsidR="000F7B26">
          <w:rPr>
            <w:noProof/>
            <w:webHidden/>
          </w:rPr>
        </w:r>
        <w:r w:rsidR="000F7B26">
          <w:rPr>
            <w:noProof/>
            <w:webHidden/>
          </w:rPr>
          <w:fldChar w:fldCharType="separate"/>
        </w:r>
        <w:r w:rsidR="00677B3C">
          <w:rPr>
            <w:noProof/>
            <w:webHidden/>
          </w:rPr>
          <w:t>14</w:t>
        </w:r>
        <w:r w:rsidR="000F7B26">
          <w:rPr>
            <w:noProof/>
            <w:webHidden/>
          </w:rPr>
          <w:fldChar w:fldCharType="end"/>
        </w:r>
      </w:hyperlink>
    </w:p>
    <w:p w14:paraId="2E06D6EE" w14:textId="3C3FD2E6" w:rsidR="000F7B26" w:rsidRDefault="00757301">
      <w:pPr>
        <w:pStyle w:val="TableofFigures"/>
        <w:tabs>
          <w:tab w:val="right" w:leader="dot" w:pos="9854"/>
        </w:tabs>
        <w:rPr>
          <w:rFonts w:eastAsiaTheme="minorEastAsia" w:cstheme="minorBidi"/>
          <w:i w:val="0"/>
          <w:iCs w:val="0"/>
          <w:noProof/>
          <w:sz w:val="22"/>
          <w:szCs w:val="22"/>
        </w:rPr>
      </w:pPr>
      <w:hyperlink w:anchor="_Toc123916616" w:history="1">
        <w:r w:rsidR="000F7B26" w:rsidRPr="00A31883">
          <w:rPr>
            <w:rStyle w:val="Hyperlink"/>
            <w:noProof/>
          </w:rPr>
          <w:t>Figure 8 : Evolution des émissions de gaz fluorés (en ktCO</w:t>
        </w:r>
        <w:r w:rsidR="000F7B26" w:rsidRPr="00A31883">
          <w:rPr>
            <w:rStyle w:val="Hyperlink"/>
            <w:noProof/>
            <w:vertAlign w:val="subscript"/>
          </w:rPr>
          <w:t>2e</w:t>
        </w:r>
        <w:r w:rsidR="000F7B26" w:rsidRPr="00A31883">
          <w:rPr>
            <w:rStyle w:val="Hyperlink"/>
            <w:noProof/>
          </w:rPr>
          <w:t>) de 1990 à 2020</w:t>
        </w:r>
        <w:r w:rsidR="000F7B26">
          <w:rPr>
            <w:noProof/>
            <w:webHidden/>
          </w:rPr>
          <w:tab/>
        </w:r>
        <w:r w:rsidR="000F7B26">
          <w:rPr>
            <w:noProof/>
            <w:webHidden/>
          </w:rPr>
          <w:fldChar w:fldCharType="begin"/>
        </w:r>
        <w:r w:rsidR="000F7B26">
          <w:rPr>
            <w:noProof/>
            <w:webHidden/>
          </w:rPr>
          <w:instrText xml:space="preserve"> PAGEREF _Toc123916616 \h </w:instrText>
        </w:r>
        <w:r w:rsidR="000F7B26">
          <w:rPr>
            <w:noProof/>
            <w:webHidden/>
          </w:rPr>
        </w:r>
        <w:r w:rsidR="000F7B26">
          <w:rPr>
            <w:noProof/>
            <w:webHidden/>
          </w:rPr>
          <w:fldChar w:fldCharType="separate"/>
        </w:r>
        <w:r w:rsidR="00677B3C">
          <w:rPr>
            <w:noProof/>
            <w:webHidden/>
          </w:rPr>
          <w:t>15</w:t>
        </w:r>
        <w:r w:rsidR="000F7B26">
          <w:rPr>
            <w:noProof/>
            <w:webHidden/>
          </w:rPr>
          <w:fldChar w:fldCharType="end"/>
        </w:r>
      </w:hyperlink>
    </w:p>
    <w:p w14:paraId="57702201" w14:textId="1C445A2F" w:rsidR="000F7B26" w:rsidRDefault="00757301">
      <w:pPr>
        <w:pStyle w:val="TableofFigures"/>
        <w:tabs>
          <w:tab w:val="right" w:leader="dot" w:pos="9854"/>
        </w:tabs>
        <w:rPr>
          <w:rFonts w:eastAsiaTheme="minorEastAsia" w:cstheme="minorBidi"/>
          <w:i w:val="0"/>
          <w:iCs w:val="0"/>
          <w:noProof/>
          <w:sz w:val="22"/>
          <w:szCs w:val="22"/>
        </w:rPr>
      </w:pPr>
      <w:hyperlink w:anchor="_Toc123916617" w:history="1">
        <w:r w:rsidR="000F7B26" w:rsidRPr="00A31883">
          <w:rPr>
            <w:rStyle w:val="Hyperlink"/>
            <w:noProof/>
          </w:rPr>
          <w:t>Figure 47 : Evolution historique des émissions de GES hors secteur des terres et budgets carbone jusqu’à 2033</w:t>
        </w:r>
        <w:r w:rsidR="000F7B26">
          <w:rPr>
            <w:noProof/>
            <w:webHidden/>
          </w:rPr>
          <w:tab/>
        </w:r>
        <w:r w:rsidR="000F7B26">
          <w:rPr>
            <w:noProof/>
            <w:webHidden/>
          </w:rPr>
          <w:fldChar w:fldCharType="begin"/>
        </w:r>
        <w:r w:rsidR="000F7B26">
          <w:rPr>
            <w:noProof/>
            <w:webHidden/>
          </w:rPr>
          <w:instrText xml:space="preserve"> PAGEREF _Toc123916617 \h </w:instrText>
        </w:r>
        <w:r w:rsidR="000F7B26">
          <w:rPr>
            <w:noProof/>
            <w:webHidden/>
          </w:rPr>
        </w:r>
        <w:r w:rsidR="000F7B26">
          <w:rPr>
            <w:noProof/>
            <w:webHidden/>
          </w:rPr>
          <w:fldChar w:fldCharType="separate"/>
        </w:r>
        <w:r w:rsidR="00677B3C">
          <w:rPr>
            <w:noProof/>
            <w:webHidden/>
          </w:rPr>
          <w:t>19</w:t>
        </w:r>
        <w:r w:rsidR="000F7B26">
          <w:rPr>
            <w:noProof/>
            <w:webHidden/>
          </w:rPr>
          <w:fldChar w:fldCharType="end"/>
        </w:r>
      </w:hyperlink>
    </w:p>
    <w:p w14:paraId="03D56D63" w14:textId="2FB54AD7" w:rsidR="000F7B26" w:rsidRDefault="00757301">
      <w:pPr>
        <w:pStyle w:val="TableofFigures"/>
        <w:tabs>
          <w:tab w:val="right" w:leader="dot" w:pos="9854"/>
        </w:tabs>
        <w:rPr>
          <w:rFonts w:eastAsiaTheme="minorEastAsia" w:cstheme="minorBidi"/>
          <w:i w:val="0"/>
          <w:iCs w:val="0"/>
          <w:noProof/>
          <w:sz w:val="22"/>
          <w:szCs w:val="22"/>
        </w:rPr>
      </w:pPr>
      <w:hyperlink w:anchor="_Toc123916618" w:history="1">
        <w:r w:rsidR="000F7B26" w:rsidRPr="00A31883">
          <w:rPr>
            <w:rStyle w:val="Hyperlink"/>
            <w:noProof/>
          </w:rPr>
          <w:t>Figure 48 : Trajectoire linéaire de réduction d’émissions pour atteindre la neutralité en 2050 et budgets carbone associés</w:t>
        </w:r>
        <w:r w:rsidR="000F7B26">
          <w:rPr>
            <w:noProof/>
            <w:webHidden/>
          </w:rPr>
          <w:tab/>
        </w:r>
        <w:r w:rsidR="000F7B26">
          <w:rPr>
            <w:noProof/>
            <w:webHidden/>
          </w:rPr>
          <w:fldChar w:fldCharType="begin"/>
        </w:r>
        <w:r w:rsidR="000F7B26">
          <w:rPr>
            <w:noProof/>
            <w:webHidden/>
          </w:rPr>
          <w:instrText xml:space="preserve"> PAGEREF _Toc123916618 \h </w:instrText>
        </w:r>
        <w:r w:rsidR="000F7B26">
          <w:rPr>
            <w:noProof/>
            <w:webHidden/>
          </w:rPr>
        </w:r>
        <w:r w:rsidR="000F7B26">
          <w:rPr>
            <w:noProof/>
            <w:webHidden/>
          </w:rPr>
          <w:fldChar w:fldCharType="separate"/>
        </w:r>
        <w:r w:rsidR="00677B3C">
          <w:rPr>
            <w:noProof/>
            <w:webHidden/>
          </w:rPr>
          <w:t>19</w:t>
        </w:r>
        <w:r w:rsidR="000F7B26">
          <w:rPr>
            <w:noProof/>
            <w:webHidden/>
          </w:rPr>
          <w:fldChar w:fldCharType="end"/>
        </w:r>
      </w:hyperlink>
    </w:p>
    <w:p w14:paraId="2DD22D75" w14:textId="2E1ADC12" w:rsidR="000F7B26" w:rsidRDefault="00757301">
      <w:pPr>
        <w:pStyle w:val="TableofFigures"/>
        <w:tabs>
          <w:tab w:val="right" w:leader="dot" w:pos="9854"/>
        </w:tabs>
        <w:rPr>
          <w:rFonts w:eastAsiaTheme="minorEastAsia" w:cstheme="minorBidi"/>
          <w:i w:val="0"/>
          <w:iCs w:val="0"/>
          <w:noProof/>
          <w:sz w:val="22"/>
          <w:szCs w:val="22"/>
        </w:rPr>
      </w:pPr>
      <w:hyperlink w:anchor="_Toc123916619" w:history="1">
        <w:r w:rsidR="000F7B26" w:rsidRPr="00A31883">
          <w:rPr>
            <w:rStyle w:val="Hyperlink"/>
            <w:noProof/>
          </w:rPr>
          <w:t xml:space="preserve">Figure 49 : </w:t>
        </w:r>
        <w:r w:rsidR="000F7B26" w:rsidRPr="00A31883">
          <w:rPr>
            <w:rStyle w:val="Hyperlink"/>
            <w:rFonts w:eastAsiaTheme="minorHAnsi"/>
            <w:noProof/>
          </w:rPr>
          <w:t>Evolution des ventes de voitures électriques (VE) et hybrides rechargeables (VHR)</w:t>
        </w:r>
        <w:r w:rsidR="000F7B26">
          <w:rPr>
            <w:noProof/>
            <w:webHidden/>
          </w:rPr>
          <w:tab/>
        </w:r>
        <w:r w:rsidR="000F7B26">
          <w:rPr>
            <w:noProof/>
            <w:webHidden/>
          </w:rPr>
          <w:fldChar w:fldCharType="begin"/>
        </w:r>
        <w:r w:rsidR="000F7B26">
          <w:rPr>
            <w:noProof/>
            <w:webHidden/>
          </w:rPr>
          <w:instrText xml:space="preserve"> PAGEREF _Toc123916619 \h </w:instrText>
        </w:r>
        <w:r w:rsidR="000F7B26">
          <w:rPr>
            <w:noProof/>
            <w:webHidden/>
          </w:rPr>
        </w:r>
        <w:r w:rsidR="000F7B26">
          <w:rPr>
            <w:noProof/>
            <w:webHidden/>
          </w:rPr>
          <w:fldChar w:fldCharType="separate"/>
        </w:r>
        <w:r w:rsidR="00677B3C">
          <w:rPr>
            <w:noProof/>
            <w:webHidden/>
          </w:rPr>
          <w:t>37</w:t>
        </w:r>
        <w:r w:rsidR="000F7B26">
          <w:rPr>
            <w:noProof/>
            <w:webHidden/>
          </w:rPr>
          <w:fldChar w:fldCharType="end"/>
        </w:r>
      </w:hyperlink>
    </w:p>
    <w:p w14:paraId="7326A7B5" w14:textId="67825023" w:rsidR="000F7B26" w:rsidRDefault="00757301">
      <w:pPr>
        <w:pStyle w:val="TableofFigures"/>
        <w:tabs>
          <w:tab w:val="right" w:leader="dot" w:pos="9854"/>
        </w:tabs>
        <w:rPr>
          <w:rFonts w:eastAsiaTheme="minorEastAsia" w:cstheme="minorBidi"/>
          <w:i w:val="0"/>
          <w:iCs w:val="0"/>
          <w:noProof/>
          <w:sz w:val="22"/>
          <w:szCs w:val="22"/>
        </w:rPr>
      </w:pPr>
      <w:hyperlink w:anchor="_Toc123916620" w:history="1">
        <w:r w:rsidR="000F7B26" w:rsidRPr="00A31883">
          <w:rPr>
            <w:rStyle w:val="Hyperlink"/>
            <w:noProof/>
          </w:rPr>
          <w:t>Figure 50 : Comparaison des émissions en 2030 entre l’AME 2021 et l’AMS 2018 et effet des différents facteurs</w:t>
        </w:r>
        <w:r w:rsidR="000F7B26">
          <w:rPr>
            <w:noProof/>
            <w:webHidden/>
          </w:rPr>
          <w:tab/>
        </w:r>
        <w:r w:rsidR="000F7B26">
          <w:rPr>
            <w:noProof/>
            <w:webHidden/>
          </w:rPr>
          <w:fldChar w:fldCharType="begin"/>
        </w:r>
        <w:r w:rsidR="000F7B26">
          <w:rPr>
            <w:noProof/>
            <w:webHidden/>
          </w:rPr>
          <w:instrText xml:space="preserve"> PAGEREF _Toc123916620 \h </w:instrText>
        </w:r>
        <w:r w:rsidR="000F7B26">
          <w:rPr>
            <w:noProof/>
            <w:webHidden/>
          </w:rPr>
        </w:r>
        <w:r w:rsidR="000F7B26">
          <w:rPr>
            <w:noProof/>
            <w:webHidden/>
          </w:rPr>
          <w:fldChar w:fldCharType="separate"/>
        </w:r>
        <w:r w:rsidR="00677B3C">
          <w:rPr>
            <w:noProof/>
            <w:webHidden/>
          </w:rPr>
          <w:t>76</w:t>
        </w:r>
        <w:r w:rsidR="000F7B26">
          <w:rPr>
            <w:noProof/>
            <w:webHidden/>
          </w:rPr>
          <w:fldChar w:fldCharType="end"/>
        </w:r>
      </w:hyperlink>
    </w:p>
    <w:p w14:paraId="2CFCD287" w14:textId="4C2C8FAB" w:rsidR="000F7B26" w:rsidRDefault="00757301">
      <w:pPr>
        <w:pStyle w:val="TableofFigures"/>
        <w:tabs>
          <w:tab w:val="right" w:leader="dot" w:pos="9854"/>
        </w:tabs>
        <w:rPr>
          <w:rFonts w:eastAsiaTheme="minorEastAsia" w:cstheme="minorBidi"/>
          <w:i w:val="0"/>
          <w:iCs w:val="0"/>
          <w:noProof/>
          <w:sz w:val="22"/>
          <w:szCs w:val="22"/>
        </w:rPr>
      </w:pPr>
      <w:hyperlink w:anchor="_Toc123916621" w:history="1">
        <w:r w:rsidR="000F7B26" w:rsidRPr="00A31883">
          <w:rPr>
            <w:rStyle w:val="Hyperlink"/>
            <w:noProof/>
          </w:rPr>
          <w:t>Figure 51 : Comparaison des émissions en 2050 entre l’AME 2021 et l’AMS 2018 et effet des différents facteurs</w:t>
        </w:r>
        <w:r w:rsidR="000F7B26">
          <w:rPr>
            <w:noProof/>
            <w:webHidden/>
          </w:rPr>
          <w:tab/>
        </w:r>
        <w:r w:rsidR="000F7B26">
          <w:rPr>
            <w:noProof/>
            <w:webHidden/>
          </w:rPr>
          <w:fldChar w:fldCharType="begin"/>
        </w:r>
        <w:r w:rsidR="000F7B26">
          <w:rPr>
            <w:noProof/>
            <w:webHidden/>
          </w:rPr>
          <w:instrText xml:space="preserve"> PAGEREF _Toc123916621 \h </w:instrText>
        </w:r>
        <w:r w:rsidR="000F7B26">
          <w:rPr>
            <w:noProof/>
            <w:webHidden/>
          </w:rPr>
        </w:r>
        <w:r w:rsidR="000F7B26">
          <w:rPr>
            <w:noProof/>
            <w:webHidden/>
          </w:rPr>
          <w:fldChar w:fldCharType="separate"/>
        </w:r>
        <w:r w:rsidR="00677B3C">
          <w:rPr>
            <w:noProof/>
            <w:webHidden/>
          </w:rPr>
          <w:t>76</w:t>
        </w:r>
        <w:r w:rsidR="000F7B26">
          <w:rPr>
            <w:noProof/>
            <w:webHidden/>
          </w:rPr>
          <w:fldChar w:fldCharType="end"/>
        </w:r>
      </w:hyperlink>
    </w:p>
    <w:p w14:paraId="7A253D9C" w14:textId="15DE91F4" w:rsidR="000F7B26" w:rsidRDefault="00757301">
      <w:pPr>
        <w:pStyle w:val="TableofFigures"/>
        <w:tabs>
          <w:tab w:val="right" w:leader="dot" w:pos="9854"/>
        </w:tabs>
        <w:rPr>
          <w:rFonts w:eastAsiaTheme="minorEastAsia" w:cstheme="minorBidi"/>
          <w:i w:val="0"/>
          <w:iCs w:val="0"/>
          <w:noProof/>
          <w:sz w:val="22"/>
          <w:szCs w:val="22"/>
        </w:rPr>
      </w:pPr>
      <w:hyperlink w:anchor="_Toc123916622" w:history="1">
        <w:r w:rsidR="000F7B26" w:rsidRPr="00A31883">
          <w:rPr>
            <w:rStyle w:val="Hyperlink"/>
            <w:noProof/>
          </w:rPr>
          <w:t>Figure 52 : Trajectoire des émissions hors UTCATF jusqu’à 2050</w:t>
        </w:r>
        <w:r w:rsidR="000F7B26">
          <w:rPr>
            <w:noProof/>
            <w:webHidden/>
          </w:rPr>
          <w:tab/>
        </w:r>
        <w:r w:rsidR="000F7B26">
          <w:rPr>
            <w:noProof/>
            <w:webHidden/>
          </w:rPr>
          <w:fldChar w:fldCharType="begin"/>
        </w:r>
        <w:r w:rsidR="000F7B26">
          <w:rPr>
            <w:noProof/>
            <w:webHidden/>
          </w:rPr>
          <w:instrText xml:space="preserve"> PAGEREF _Toc123916622 \h </w:instrText>
        </w:r>
        <w:r w:rsidR="000F7B26">
          <w:rPr>
            <w:noProof/>
            <w:webHidden/>
          </w:rPr>
        </w:r>
        <w:r w:rsidR="000F7B26">
          <w:rPr>
            <w:noProof/>
            <w:webHidden/>
          </w:rPr>
          <w:fldChar w:fldCharType="separate"/>
        </w:r>
        <w:r w:rsidR="00677B3C">
          <w:rPr>
            <w:noProof/>
            <w:webHidden/>
          </w:rPr>
          <w:t>78</w:t>
        </w:r>
        <w:r w:rsidR="000F7B26">
          <w:rPr>
            <w:noProof/>
            <w:webHidden/>
          </w:rPr>
          <w:fldChar w:fldCharType="end"/>
        </w:r>
      </w:hyperlink>
    </w:p>
    <w:p w14:paraId="01B98F33" w14:textId="78B653BD" w:rsidR="000F7B26" w:rsidRDefault="00757301">
      <w:pPr>
        <w:pStyle w:val="TableofFigures"/>
        <w:tabs>
          <w:tab w:val="right" w:leader="dot" w:pos="9854"/>
        </w:tabs>
        <w:rPr>
          <w:rFonts w:eastAsiaTheme="minorEastAsia" w:cstheme="minorBidi"/>
          <w:i w:val="0"/>
          <w:iCs w:val="0"/>
          <w:noProof/>
          <w:sz w:val="22"/>
          <w:szCs w:val="22"/>
        </w:rPr>
      </w:pPr>
      <w:hyperlink w:anchor="_Toc123916623" w:history="1">
        <w:r w:rsidR="000F7B26" w:rsidRPr="00A31883">
          <w:rPr>
            <w:rStyle w:val="Hyperlink"/>
            <w:noProof/>
          </w:rPr>
          <w:t>Figure 53 : Trajectoire des émissions avec UTCATF jusqu’à 2050</w:t>
        </w:r>
        <w:r w:rsidR="000F7B26">
          <w:rPr>
            <w:noProof/>
            <w:webHidden/>
          </w:rPr>
          <w:tab/>
        </w:r>
        <w:r w:rsidR="000F7B26">
          <w:rPr>
            <w:noProof/>
            <w:webHidden/>
          </w:rPr>
          <w:fldChar w:fldCharType="begin"/>
        </w:r>
        <w:r w:rsidR="000F7B26">
          <w:rPr>
            <w:noProof/>
            <w:webHidden/>
          </w:rPr>
          <w:instrText xml:space="preserve"> PAGEREF _Toc123916623 \h </w:instrText>
        </w:r>
        <w:r w:rsidR="000F7B26">
          <w:rPr>
            <w:noProof/>
            <w:webHidden/>
          </w:rPr>
        </w:r>
        <w:r w:rsidR="000F7B26">
          <w:rPr>
            <w:noProof/>
            <w:webHidden/>
          </w:rPr>
          <w:fldChar w:fldCharType="separate"/>
        </w:r>
        <w:r w:rsidR="00677B3C">
          <w:rPr>
            <w:noProof/>
            <w:webHidden/>
          </w:rPr>
          <w:t>78</w:t>
        </w:r>
        <w:r w:rsidR="000F7B26">
          <w:rPr>
            <w:noProof/>
            <w:webHidden/>
          </w:rPr>
          <w:fldChar w:fldCharType="end"/>
        </w:r>
      </w:hyperlink>
    </w:p>
    <w:p w14:paraId="46B73F04" w14:textId="69C830AB" w:rsidR="000F7B26" w:rsidRDefault="00757301">
      <w:pPr>
        <w:pStyle w:val="TableofFigures"/>
        <w:tabs>
          <w:tab w:val="right" w:leader="dot" w:pos="9854"/>
        </w:tabs>
        <w:rPr>
          <w:rFonts w:eastAsiaTheme="minorEastAsia" w:cstheme="minorBidi"/>
          <w:i w:val="0"/>
          <w:iCs w:val="0"/>
          <w:noProof/>
          <w:sz w:val="22"/>
          <w:szCs w:val="22"/>
        </w:rPr>
      </w:pPr>
      <w:hyperlink w:anchor="_Toc123916624" w:history="1">
        <w:r w:rsidR="000F7B26" w:rsidRPr="00A31883">
          <w:rPr>
            <w:rStyle w:val="Hyperlink"/>
            <w:noProof/>
          </w:rPr>
          <w:t>Figure 54 : Projection par secteur en ktCO</w:t>
        </w:r>
        <w:r w:rsidR="000F7B26" w:rsidRPr="00A31883">
          <w:rPr>
            <w:rStyle w:val="Hyperlink"/>
            <w:noProof/>
            <w:vertAlign w:val="subscript"/>
          </w:rPr>
          <w:t>2e</w:t>
        </w:r>
        <w:r w:rsidR="000F7B26" w:rsidRPr="00A31883">
          <w:rPr>
            <w:rStyle w:val="Hyperlink"/>
            <w:noProof/>
          </w:rPr>
          <w:t>, au format Kyoto, scénario AME</w:t>
        </w:r>
        <w:r w:rsidR="000F7B26">
          <w:rPr>
            <w:noProof/>
            <w:webHidden/>
          </w:rPr>
          <w:tab/>
        </w:r>
        <w:r w:rsidR="000F7B26">
          <w:rPr>
            <w:noProof/>
            <w:webHidden/>
          </w:rPr>
          <w:fldChar w:fldCharType="begin"/>
        </w:r>
        <w:r w:rsidR="000F7B26">
          <w:rPr>
            <w:noProof/>
            <w:webHidden/>
          </w:rPr>
          <w:instrText xml:space="preserve"> PAGEREF _Toc123916624 \h </w:instrText>
        </w:r>
        <w:r w:rsidR="000F7B26">
          <w:rPr>
            <w:noProof/>
            <w:webHidden/>
          </w:rPr>
        </w:r>
        <w:r w:rsidR="000F7B26">
          <w:rPr>
            <w:noProof/>
            <w:webHidden/>
          </w:rPr>
          <w:fldChar w:fldCharType="separate"/>
        </w:r>
        <w:r w:rsidR="00677B3C">
          <w:rPr>
            <w:noProof/>
            <w:webHidden/>
          </w:rPr>
          <w:t>80</w:t>
        </w:r>
        <w:r w:rsidR="000F7B26">
          <w:rPr>
            <w:noProof/>
            <w:webHidden/>
          </w:rPr>
          <w:fldChar w:fldCharType="end"/>
        </w:r>
      </w:hyperlink>
    </w:p>
    <w:p w14:paraId="7EF94BBA" w14:textId="5C907C8F" w:rsidR="000F7B26" w:rsidRDefault="00757301">
      <w:pPr>
        <w:pStyle w:val="TableofFigures"/>
        <w:tabs>
          <w:tab w:val="right" w:leader="dot" w:pos="9854"/>
        </w:tabs>
        <w:rPr>
          <w:rFonts w:eastAsiaTheme="minorEastAsia" w:cstheme="minorBidi"/>
          <w:i w:val="0"/>
          <w:iCs w:val="0"/>
          <w:noProof/>
          <w:sz w:val="22"/>
          <w:szCs w:val="22"/>
        </w:rPr>
      </w:pPr>
      <w:hyperlink w:anchor="_Toc123916625" w:history="1">
        <w:r w:rsidR="000F7B26" w:rsidRPr="00A31883">
          <w:rPr>
            <w:rStyle w:val="Hyperlink"/>
            <w:noProof/>
          </w:rPr>
          <w:t>Figure 55 : Projection par secteur en ktCO</w:t>
        </w:r>
        <w:r w:rsidR="000F7B26" w:rsidRPr="00A31883">
          <w:rPr>
            <w:rStyle w:val="Hyperlink"/>
            <w:noProof/>
            <w:vertAlign w:val="subscript"/>
          </w:rPr>
          <w:t>2e</w:t>
        </w:r>
        <w:r w:rsidR="000F7B26" w:rsidRPr="00A31883">
          <w:rPr>
            <w:rStyle w:val="Hyperlink"/>
            <w:noProof/>
          </w:rPr>
          <w:t>, au format Kyoto, scénario AMS 2018</w:t>
        </w:r>
        <w:r w:rsidR="000F7B26">
          <w:rPr>
            <w:noProof/>
            <w:webHidden/>
          </w:rPr>
          <w:tab/>
        </w:r>
        <w:r w:rsidR="000F7B26">
          <w:rPr>
            <w:noProof/>
            <w:webHidden/>
          </w:rPr>
          <w:fldChar w:fldCharType="begin"/>
        </w:r>
        <w:r w:rsidR="000F7B26">
          <w:rPr>
            <w:noProof/>
            <w:webHidden/>
          </w:rPr>
          <w:instrText xml:space="preserve"> PAGEREF _Toc123916625 \h </w:instrText>
        </w:r>
        <w:r w:rsidR="000F7B26">
          <w:rPr>
            <w:noProof/>
            <w:webHidden/>
          </w:rPr>
        </w:r>
        <w:r w:rsidR="000F7B26">
          <w:rPr>
            <w:noProof/>
            <w:webHidden/>
          </w:rPr>
          <w:fldChar w:fldCharType="separate"/>
        </w:r>
        <w:r w:rsidR="00677B3C">
          <w:rPr>
            <w:noProof/>
            <w:webHidden/>
          </w:rPr>
          <w:t>81</w:t>
        </w:r>
        <w:r w:rsidR="000F7B26">
          <w:rPr>
            <w:noProof/>
            <w:webHidden/>
          </w:rPr>
          <w:fldChar w:fldCharType="end"/>
        </w:r>
      </w:hyperlink>
    </w:p>
    <w:p w14:paraId="3CDB1628" w14:textId="69996464" w:rsidR="000F7B26" w:rsidRDefault="00757301">
      <w:pPr>
        <w:pStyle w:val="TableofFigures"/>
        <w:tabs>
          <w:tab w:val="right" w:leader="dot" w:pos="9854"/>
        </w:tabs>
        <w:rPr>
          <w:rFonts w:eastAsiaTheme="minorEastAsia" w:cstheme="minorBidi"/>
          <w:i w:val="0"/>
          <w:iCs w:val="0"/>
          <w:noProof/>
          <w:sz w:val="22"/>
          <w:szCs w:val="22"/>
        </w:rPr>
      </w:pPr>
      <w:hyperlink w:anchor="_Toc123916626" w:history="1">
        <w:r w:rsidR="000F7B26" w:rsidRPr="00A31883">
          <w:rPr>
            <w:rStyle w:val="Hyperlink"/>
            <w:noProof/>
          </w:rPr>
          <w:t>Figure 56 : Détail des catégories du secteur énergie en ktCO</w:t>
        </w:r>
        <w:r w:rsidR="000F7B26" w:rsidRPr="00A31883">
          <w:rPr>
            <w:rStyle w:val="Hyperlink"/>
            <w:noProof/>
            <w:vertAlign w:val="subscript"/>
          </w:rPr>
          <w:t>2e</w:t>
        </w:r>
        <w:r w:rsidR="000F7B26" w:rsidRPr="00A31883">
          <w:rPr>
            <w:rStyle w:val="Hyperlink"/>
            <w:noProof/>
          </w:rPr>
          <w:t>, au périmètre Kyoto, scénario AME 2021</w:t>
        </w:r>
        <w:r w:rsidR="000F7B26">
          <w:rPr>
            <w:noProof/>
            <w:webHidden/>
          </w:rPr>
          <w:tab/>
        </w:r>
        <w:r w:rsidR="000F7B26">
          <w:rPr>
            <w:noProof/>
            <w:webHidden/>
          </w:rPr>
          <w:fldChar w:fldCharType="begin"/>
        </w:r>
        <w:r w:rsidR="000F7B26">
          <w:rPr>
            <w:noProof/>
            <w:webHidden/>
          </w:rPr>
          <w:instrText xml:space="preserve"> PAGEREF _Toc123916626 \h </w:instrText>
        </w:r>
        <w:r w:rsidR="000F7B26">
          <w:rPr>
            <w:noProof/>
            <w:webHidden/>
          </w:rPr>
        </w:r>
        <w:r w:rsidR="000F7B26">
          <w:rPr>
            <w:noProof/>
            <w:webHidden/>
          </w:rPr>
          <w:fldChar w:fldCharType="separate"/>
        </w:r>
        <w:r w:rsidR="00677B3C">
          <w:rPr>
            <w:noProof/>
            <w:webHidden/>
          </w:rPr>
          <w:t>82</w:t>
        </w:r>
        <w:r w:rsidR="000F7B26">
          <w:rPr>
            <w:noProof/>
            <w:webHidden/>
          </w:rPr>
          <w:fldChar w:fldCharType="end"/>
        </w:r>
      </w:hyperlink>
    </w:p>
    <w:p w14:paraId="3BEDD279" w14:textId="5BAA549C" w:rsidR="000F7B26" w:rsidRDefault="00757301">
      <w:pPr>
        <w:pStyle w:val="TableofFigures"/>
        <w:tabs>
          <w:tab w:val="right" w:leader="dot" w:pos="9854"/>
        </w:tabs>
        <w:rPr>
          <w:rFonts w:eastAsiaTheme="minorEastAsia" w:cstheme="minorBidi"/>
          <w:i w:val="0"/>
          <w:iCs w:val="0"/>
          <w:noProof/>
          <w:sz w:val="22"/>
          <w:szCs w:val="22"/>
        </w:rPr>
      </w:pPr>
      <w:hyperlink w:anchor="_Toc123916627" w:history="1">
        <w:r w:rsidR="000F7B26" w:rsidRPr="00A31883">
          <w:rPr>
            <w:rStyle w:val="Hyperlink"/>
            <w:noProof/>
          </w:rPr>
          <w:t>Figure 57 : Détail des catégories du secteur énergie en ktCO</w:t>
        </w:r>
        <w:r w:rsidR="000F7B26" w:rsidRPr="00A31883">
          <w:rPr>
            <w:rStyle w:val="Hyperlink"/>
            <w:noProof/>
            <w:vertAlign w:val="subscript"/>
          </w:rPr>
          <w:t>2e</w:t>
        </w:r>
        <w:r w:rsidR="000F7B26" w:rsidRPr="00A31883">
          <w:rPr>
            <w:rStyle w:val="Hyperlink"/>
            <w:noProof/>
          </w:rPr>
          <w:t>, au périmètre Kyoto, scénario AMS 2018</w:t>
        </w:r>
        <w:r w:rsidR="000F7B26">
          <w:rPr>
            <w:noProof/>
            <w:webHidden/>
          </w:rPr>
          <w:tab/>
        </w:r>
        <w:r w:rsidR="000F7B26">
          <w:rPr>
            <w:noProof/>
            <w:webHidden/>
          </w:rPr>
          <w:fldChar w:fldCharType="begin"/>
        </w:r>
        <w:r w:rsidR="000F7B26">
          <w:rPr>
            <w:noProof/>
            <w:webHidden/>
          </w:rPr>
          <w:instrText xml:space="preserve"> PAGEREF _Toc123916627 \h </w:instrText>
        </w:r>
        <w:r w:rsidR="000F7B26">
          <w:rPr>
            <w:noProof/>
            <w:webHidden/>
          </w:rPr>
        </w:r>
        <w:r w:rsidR="000F7B26">
          <w:rPr>
            <w:noProof/>
            <w:webHidden/>
          </w:rPr>
          <w:fldChar w:fldCharType="separate"/>
        </w:r>
        <w:r w:rsidR="00677B3C">
          <w:rPr>
            <w:noProof/>
            <w:webHidden/>
          </w:rPr>
          <w:t>83</w:t>
        </w:r>
        <w:r w:rsidR="000F7B26">
          <w:rPr>
            <w:noProof/>
            <w:webHidden/>
          </w:rPr>
          <w:fldChar w:fldCharType="end"/>
        </w:r>
      </w:hyperlink>
    </w:p>
    <w:p w14:paraId="2DB052E9" w14:textId="3D661099" w:rsidR="000F7B26" w:rsidRDefault="00757301">
      <w:pPr>
        <w:pStyle w:val="TableofFigures"/>
        <w:tabs>
          <w:tab w:val="right" w:leader="dot" w:pos="9854"/>
        </w:tabs>
        <w:rPr>
          <w:rFonts w:eastAsiaTheme="minorEastAsia" w:cstheme="minorBidi"/>
          <w:i w:val="0"/>
          <w:iCs w:val="0"/>
          <w:noProof/>
          <w:sz w:val="22"/>
          <w:szCs w:val="22"/>
        </w:rPr>
      </w:pPr>
      <w:hyperlink w:anchor="_Toc123916628" w:history="1">
        <w:r w:rsidR="000F7B26" w:rsidRPr="00A31883">
          <w:rPr>
            <w:rStyle w:val="Hyperlink"/>
            <w:noProof/>
          </w:rPr>
          <w:t>Figure 58 : Projection par gaz hors UTCATF en ktCO</w:t>
        </w:r>
        <w:r w:rsidR="000F7B26" w:rsidRPr="00A31883">
          <w:rPr>
            <w:rStyle w:val="Hyperlink"/>
            <w:noProof/>
            <w:vertAlign w:val="subscript"/>
          </w:rPr>
          <w:t>2e</w:t>
        </w:r>
        <w:r w:rsidR="000F7B26" w:rsidRPr="00A31883">
          <w:rPr>
            <w:rStyle w:val="Hyperlink"/>
            <w:noProof/>
          </w:rPr>
          <w:t>, au format Kyoto, scénario AME 2021</w:t>
        </w:r>
        <w:r w:rsidR="000F7B26">
          <w:rPr>
            <w:noProof/>
            <w:webHidden/>
          </w:rPr>
          <w:tab/>
        </w:r>
        <w:r w:rsidR="000F7B26">
          <w:rPr>
            <w:noProof/>
            <w:webHidden/>
          </w:rPr>
          <w:fldChar w:fldCharType="begin"/>
        </w:r>
        <w:r w:rsidR="000F7B26">
          <w:rPr>
            <w:noProof/>
            <w:webHidden/>
          </w:rPr>
          <w:instrText xml:space="preserve"> PAGEREF _Toc123916628 \h </w:instrText>
        </w:r>
        <w:r w:rsidR="000F7B26">
          <w:rPr>
            <w:noProof/>
            <w:webHidden/>
          </w:rPr>
        </w:r>
        <w:r w:rsidR="000F7B26">
          <w:rPr>
            <w:noProof/>
            <w:webHidden/>
          </w:rPr>
          <w:fldChar w:fldCharType="separate"/>
        </w:r>
        <w:r w:rsidR="00677B3C">
          <w:rPr>
            <w:noProof/>
            <w:webHidden/>
          </w:rPr>
          <w:t>84</w:t>
        </w:r>
        <w:r w:rsidR="000F7B26">
          <w:rPr>
            <w:noProof/>
            <w:webHidden/>
          </w:rPr>
          <w:fldChar w:fldCharType="end"/>
        </w:r>
      </w:hyperlink>
    </w:p>
    <w:p w14:paraId="60697E26" w14:textId="446549BE" w:rsidR="000F7B26" w:rsidRDefault="00757301">
      <w:pPr>
        <w:pStyle w:val="TableofFigures"/>
        <w:tabs>
          <w:tab w:val="right" w:leader="dot" w:pos="9854"/>
        </w:tabs>
        <w:rPr>
          <w:rFonts w:eastAsiaTheme="minorEastAsia" w:cstheme="minorBidi"/>
          <w:i w:val="0"/>
          <w:iCs w:val="0"/>
          <w:noProof/>
          <w:sz w:val="22"/>
          <w:szCs w:val="22"/>
        </w:rPr>
      </w:pPr>
      <w:hyperlink w:anchor="_Toc123916629" w:history="1">
        <w:r w:rsidR="000F7B26" w:rsidRPr="00A31883">
          <w:rPr>
            <w:rStyle w:val="Hyperlink"/>
            <w:noProof/>
          </w:rPr>
          <w:t>Figure 59 :  Projection par gaz avec UTCATF en ktCO</w:t>
        </w:r>
        <w:r w:rsidR="000F7B26" w:rsidRPr="00A31883">
          <w:rPr>
            <w:rStyle w:val="Hyperlink"/>
            <w:noProof/>
            <w:vertAlign w:val="subscript"/>
          </w:rPr>
          <w:t>2e</w:t>
        </w:r>
        <w:r w:rsidR="000F7B26" w:rsidRPr="00A31883">
          <w:rPr>
            <w:rStyle w:val="Hyperlink"/>
            <w:noProof/>
          </w:rPr>
          <w:t>, au format Kyoto, scénario AME 2021</w:t>
        </w:r>
        <w:r w:rsidR="000F7B26">
          <w:rPr>
            <w:noProof/>
            <w:webHidden/>
          </w:rPr>
          <w:tab/>
        </w:r>
        <w:r w:rsidR="000F7B26">
          <w:rPr>
            <w:noProof/>
            <w:webHidden/>
          </w:rPr>
          <w:fldChar w:fldCharType="begin"/>
        </w:r>
        <w:r w:rsidR="000F7B26">
          <w:rPr>
            <w:noProof/>
            <w:webHidden/>
          </w:rPr>
          <w:instrText xml:space="preserve"> PAGEREF _Toc123916629 \h </w:instrText>
        </w:r>
        <w:r w:rsidR="000F7B26">
          <w:rPr>
            <w:noProof/>
            <w:webHidden/>
          </w:rPr>
        </w:r>
        <w:r w:rsidR="000F7B26">
          <w:rPr>
            <w:noProof/>
            <w:webHidden/>
          </w:rPr>
          <w:fldChar w:fldCharType="separate"/>
        </w:r>
        <w:r w:rsidR="00677B3C">
          <w:rPr>
            <w:noProof/>
            <w:webHidden/>
          </w:rPr>
          <w:t>85</w:t>
        </w:r>
        <w:r w:rsidR="000F7B26">
          <w:rPr>
            <w:noProof/>
            <w:webHidden/>
          </w:rPr>
          <w:fldChar w:fldCharType="end"/>
        </w:r>
      </w:hyperlink>
    </w:p>
    <w:p w14:paraId="4A1958E9" w14:textId="0F8E0B04" w:rsidR="000F7B26" w:rsidRDefault="00757301">
      <w:pPr>
        <w:pStyle w:val="TableofFigures"/>
        <w:tabs>
          <w:tab w:val="right" w:leader="dot" w:pos="9854"/>
        </w:tabs>
        <w:rPr>
          <w:rFonts w:eastAsiaTheme="minorEastAsia" w:cstheme="minorBidi"/>
          <w:i w:val="0"/>
          <w:iCs w:val="0"/>
          <w:noProof/>
          <w:sz w:val="22"/>
          <w:szCs w:val="22"/>
        </w:rPr>
      </w:pPr>
      <w:hyperlink w:anchor="_Toc123916630" w:history="1">
        <w:r w:rsidR="000F7B26" w:rsidRPr="00A31883">
          <w:rPr>
            <w:rStyle w:val="Hyperlink"/>
            <w:noProof/>
          </w:rPr>
          <w:t>Figure 60 : Projection par gaz en ktCO</w:t>
        </w:r>
        <w:r w:rsidR="000F7B26" w:rsidRPr="00A31883">
          <w:rPr>
            <w:rStyle w:val="Hyperlink"/>
            <w:noProof/>
            <w:vertAlign w:val="subscript"/>
          </w:rPr>
          <w:t>2</w:t>
        </w:r>
        <w:r w:rsidR="000F7B26" w:rsidRPr="00A31883">
          <w:rPr>
            <w:rStyle w:val="Hyperlink"/>
            <w:noProof/>
          </w:rPr>
          <w:t>-eq, hors LULUCF (hors UTCF), au format Kyoto, scénario AME</w:t>
        </w:r>
        <w:r w:rsidR="000F7B26">
          <w:rPr>
            <w:noProof/>
            <w:webHidden/>
          </w:rPr>
          <w:tab/>
        </w:r>
        <w:r w:rsidR="000F7B26">
          <w:rPr>
            <w:noProof/>
            <w:webHidden/>
          </w:rPr>
          <w:fldChar w:fldCharType="begin"/>
        </w:r>
        <w:r w:rsidR="000F7B26">
          <w:rPr>
            <w:noProof/>
            <w:webHidden/>
          </w:rPr>
          <w:instrText xml:space="preserve"> PAGEREF _Toc123916630 \h </w:instrText>
        </w:r>
        <w:r w:rsidR="000F7B26">
          <w:rPr>
            <w:noProof/>
            <w:webHidden/>
          </w:rPr>
        </w:r>
        <w:r w:rsidR="000F7B26">
          <w:rPr>
            <w:noProof/>
            <w:webHidden/>
          </w:rPr>
          <w:fldChar w:fldCharType="separate"/>
        </w:r>
        <w:r w:rsidR="00677B3C">
          <w:rPr>
            <w:noProof/>
            <w:webHidden/>
          </w:rPr>
          <w:t>86</w:t>
        </w:r>
        <w:r w:rsidR="000F7B26">
          <w:rPr>
            <w:noProof/>
            <w:webHidden/>
          </w:rPr>
          <w:fldChar w:fldCharType="end"/>
        </w:r>
      </w:hyperlink>
    </w:p>
    <w:p w14:paraId="4974CC12" w14:textId="34935CDF" w:rsidR="000F7B26" w:rsidRDefault="00757301">
      <w:pPr>
        <w:pStyle w:val="TableofFigures"/>
        <w:tabs>
          <w:tab w:val="right" w:leader="dot" w:pos="9854"/>
        </w:tabs>
        <w:rPr>
          <w:rFonts w:eastAsiaTheme="minorEastAsia" w:cstheme="minorBidi"/>
          <w:i w:val="0"/>
          <w:iCs w:val="0"/>
          <w:noProof/>
          <w:sz w:val="22"/>
          <w:szCs w:val="22"/>
        </w:rPr>
      </w:pPr>
      <w:hyperlink w:anchor="_Toc123916631" w:history="1">
        <w:r w:rsidR="000F7B26" w:rsidRPr="00A31883">
          <w:rPr>
            <w:rStyle w:val="Hyperlink"/>
            <w:noProof/>
          </w:rPr>
          <w:t>Figure 61 : Projection par gaz en ktCO</w:t>
        </w:r>
        <w:r w:rsidR="000F7B26" w:rsidRPr="00A31883">
          <w:rPr>
            <w:rStyle w:val="Hyperlink"/>
            <w:noProof/>
            <w:vertAlign w:val="subscript"/>
          </w:rPr>
          <w:t>2</w:t>
        </w:r>
        <w:r w:rsidR="000F7B26" w:rsidRPr="00A31883">
          <w:rPr>
            <w:rStyle w:val="Hyperlink"/>
            <w:noProof/>
          </w:rPr>
          <w:t>-eq, hors LULUCF (avec UTCF), au format Kyoto, scénario AMS 2018</w:t>
        </w:r>
        <w:r w:rsidR="000F7B26">
          <w:rPr>
            <w:noProof/>
            <w:webHidden/>
          </w:rPr>
          <w:tab/>
        </w:r>
        <w:r w:rsidR="000F7B26">
          <w:rPr>
            <w:noProof/>
            <w:webHidden/>
          </w:rPr>
          <w:fldChar w:fldCharType="begin"/>
        </w:r>
        <w:r w:rsidR="000F7B26">
          <w:rPr>
            <w:noProof/>
            <w:webHidden/>
          </w:rPr>
          <w:instrText xml:space="preserve"> PAGEREF _Toc123916631 \h </w:instrText>
        </w:r>
        <w:r w:rsidR="000F7B26">
          <w:rPr>
            <w:noProof/>
            <w:webHidden/>
          </w:rPr>
        </w:r>
        <w:r w:rsidR="000F7B26">
          <w:rPr>
            <w:noProof/>
            <w:webHidden/>
          </w:rPr>
          <w:fldChar w:fldCharType="separate"/>
        </w:r>
        <w:r w:rsidR="00677B3C">
          <w:rPr>
            <w:noProof/>
            <w:webHidden/>
          </w:rPr>
          <w:t>87</w:t>
        </w:r>
        <w:r w:rsidR="000F7B26">
          <w:rPr>
            <w:noProof/>
            <w:webHidden/>
          </w:rPr>
          <w:fldChar w:fldCharType="end"/>
        </w:r>
      </w:hyperlink>
    </w:p>
    <w:p w14:paraId="20C597D2" w14:textId="0ED8F6B3" w:rsidR="000F7B26" w:rsidRDefault="00757301">
      <w:pPr>
        <w:pStyle w:val="TableofFigures"/>
        <w:tabs>
          <w:tab w:val="right" w:leader="dot" w:pos="9854"/>
        </w:tabs>
        <w:rPr>
          <w:rFonts w:eastAsiaTheme="minorEastAsia" w:cstheme="minorBidi"/>
          <w:i w:val="0"/>
          <w:iCs w:val="0"/>
          <w:noProof/>
          <w:sz w:val="22"/>
          <w:szCs w:val="22"/>
        </w:rPr>
      </w:pPr>
      <w:hyperlink w:anchor="_Toc123916632" w:history="1">
        <w:r w:rsidR="000F7B26" w:rsidRPr="00A31883">
          <w:rPr>
            <w:rStyle w:val="Hyperlink"/>
            <w:noProof/>
          </w:rPr>
          <w:t>Figure 62 : Projection par gaz hors UTCATF en ktCO</w:t>
        </w:r>
        <w:r w:rsidR="000F7B26" w:rsidRPr="00A31883">
          <w:rPr>
            <w:rStyle w:val="Hyperlink"/>
            <w:noProof/>
            <w:vertAlign w:val="subscript"/>
          </w:rPr>
          <w:t>2e</w:t>
        </w:r>
        <w:r w:rsidR="000F7B26" w:rsidRPr="00A31883">
          <w:rPr>
            <w:rStyle w:val="Hyperlink"/>
            <w:noProof/>
          </w:rPr>
          <w:t>, au format Kyoto, scénario AME 2021</w:t>
        </w:r>
        <w:r w:rsidR="000F7B26">
          <w:rPr>
            <w:noProof/>
            <w:webHidden/>
          </w:rPr>
          <w:tab/>
        </w:r>
        <w:r w:rsidR="000F7B26">
          <w:rPr>
            <w:noProof/>
            <w:webHidden/>
          </w:rPr>
          <w:fldChar w:fldCharType="begin"/>
        </w:r>
        <w:r w:rsidR="000F7B26">
          <w:rPr>
            <w:noProof/>
            <w:webHidden/>
          </w:rPr>
          <w:instrText xml:space="preserve"> PAGEREF _Toc123916632 \h </w:instrText>
        </w:r>
        <w:r w:rsidR="000F7B26">
          <w:rPr>
            <w:noProof/>
            <w:webHidden/>
          </w:rPr>
        </w:r>
        <w:r w:rsidR="000F7B26">
          <w:rPr>
            <w:noProof/>
            <w:webHidden/>
          </w:rPr>
          <w:fldChar w:fldCharType="separate"/>
        </w:r>
        <w:r w:rsidR="00677B3C">
          <w:rPr>
            <w:noProof/>
            <w:webHidden/>
          </w:rPr>
          <w:t>88</w:t>
        </w:r>
        <w:r w:rsidR="000F7B26">
          <w:rPr>
            <w:noProof/>
            <w:webHidden/>
          </w:rPr>
          <w:fldChar w:fldCharType="end"/>
        </w:r>
      </w:hyperlink>
    </w:p>
    <w:p w14:paraId="575E1F7D" w14:textId="37373073" w:rsidR="000F7B26" w:rsidRDefault="00757301">
      <w:pPr>
        <w:pStyle w:val="TableofFigures"/>
        <w:tabs>
          <w:tab w:val="right" w:leader="dot" w:pos="9854"/>
        </w:tabs>
        <w:rPr>
          <w:rFonts w:eastAsiaTheme="minorEastAsia" w:cstheme="minorBidi"/>
          <w:i w:val="0"/>
          <w:iCs w:val="0"/>
          <w:noProof/>
          <w:sz w:val="22"/>
          <w:szCs w:val="22"/>
        </w:rPr>
      </w:pPr>
      <w:hyperlink w:anchor="_Toc123916633" w:history="1">
        <w:r w:rsidR="000F7B26" w:rsidRPr="00A31883">
          <w:rPr>
            <w:rStyle w:val="Hyperlink"/>
            <w:noProof/>
          </w:rPr>
          <w:t>Figure 63 : Processus de modélisation de l'AME 2021</w:t>
        </w:r>
        <w:r w:rsidR="000F7B26">
          <w:rPr>
            <w:noProof/>
            <w:webHidden/>
          </w:rPr>
          <w:tab/>
        </w:r>
        <w:r w:rsidR="000F7B26">
          <w:rPr>
            <w:noProof/>
            <w:webHidden/>
          </w:rPr>
          <w:fldChar w:fldCharType="begin"/>
        </w:r>
        <w:r w:rsidR="000F7B26">
          <w:rPr>
            <w:noProof/>
            <w:webHidden/>
          </w:rPr>
          <w:instrText xml:space="preserve"> PAGEREF _Toc123916633 \h </w:instrText>
        </w:r>
        <w:r w:rsidR="000F7B26">
          <w:rPr>
            <w:noProof/>
            <w:webHidden/>
          </w:rPr>
        </w:r>
        <w:r w:rsidR="000F7B26">
          <w:rPr>
            <w:noProof/>
            <w:webHidden/>
          </w:rPr>
          <w:fldChar w:fldCharType="separate"/>
        </w:r>
        <w:r w:rsidR="00677B3C">
          <w:rPr>
            <w:noProof/>
            <w:webHidden/>
          </w:rPr>
          <w:t>94</w:t>
        </w:r>
        <w:r w:rsidR="000F7B26">
          <w:rPr>
            <w:noProof/>
            <w:webHidden/>
          </w:rPr>
          <w:fldChar w:fldCharType="end"/>
        </w:r>
      </w:hyperlink>
    </w:p>
    <w:p w14:paraId="50EAF432" w14:textId="52B5E9EF" w:rsidR="000F7B26" w:rsidRDefault="00757301">
      <w:pPr>
        <w:pStyle w:val="TableofFigures"/>
        <w:tabs>
          <w:tab w:val="right" w:leader="dot" w:pos="9854"/>
        </w:tabs>
        <w:rPr>
          <w:rFonts w:eastAsiaTheme="minorEastAsia" w:cstheme="minorBidi"/>
          <w:i w:val="0"/>
          <w:iCs w:val="0"/>
          <w:noProof/>
          <w:sz w:val="22"/>
          <w:szCs w:val="22"/>
        </w:rPr>
      </w:pPr>
      <w:hyperlink w:anchor="_Toc123916634" w:history="1">
        <w:r w:rsidR="000F7B26" w:rsidRPr="00A31883">
          <w:rPr>
            <w:rStyle w:val="Hyperlink"/>
            <w:noProof/>
          </w:rPr>
          <w:t>Figure 64 : Hypothèse de croissance de la population dans l’AME 2021 et l’AMS 2018</w:t>
        </w:r>
        <w:r w:rsidR="000F7B26">
          <w:rPr>
            <w:noProof/>
            <w:webHidden/>
          </w:rPr>
          <w:tab/>
        </w:r>
        <w:r w:rsidR="000F7B26">
          <w:rPr>
            <w:noProof/>
            <w:webHidden/>
          </w:rPr>
          <w:fldChar w:fldCharType="begin"/>
        </w:r>
        <w:r w:rsidR="000F7B26">
          <w:rPr>
            <w:noProof/>
            <w:webHidden/>
          </w:rPr>
          <w:instrText xml:space="preserve"> PAGEREF _Toc123916634 \h </w:instrText>
        </w:r>
        <w:r w:rsidR="000F7B26">
          <w:rPr>
            <w:noProof/>
            <w:webHidden/>
          </w:rPr>
        </w:r>
        <w:r w:rsidR="000F7B26">
          <w:rPr>
            <w:noProof/>
            <w:webHidden/>
          </w:rPr>
          <w:fldChar w:fldCharType="separate"/>
        </w:r>
        <w:r w:rsidR="00677B3C">
          <w:rPr>
            <w:noProof/>
            <w:webHidden/>
          </w:rPr>
          <w:t>98</w:t>
        </w:r>
        <w:r w:rsidR="000F7B26">
          <w:rPr>
            <w:noProof/>
            <w:webHidden/>
          </w:rPr>
          <w:fldChar w:fldCharType="end"/>
        </w:r>
      </w:hyperlink>
    </w:p>
    <w:p w14:paraId="60A710AE" w14:textId="4CA09F22" w:rsidR="000F7B26" w:rsidRDefault="00757301">
      <w:pPr>
        <w:pStyle w:val="TableofFigures"/>
        <w:tabs>
          <w:tab w:val="right" w:leader="dot" w:pos="9854"/>
        </w:tabs>
        <w:rPr>
          <w:rFonts w:eastAsiaTheme="minorEastAsia" w:cstheme="minorBidi"/>
          <w:i w:val="0"/>
          <w:iCs w:val="0"/>
          <w:noProof/>
          <w:sz w:val="22"/>
          <w:szCs w:val="22"/>
        </w:rPr>
      </w:pPr>
      <w:hyperlink w:anchor="_Toc123916635" w:history="1">
        <w:r w:rsidR="000F7B26" w:rsidRPr="00A31883">
          <w:rPr>
            <w:rStyle w:val="Hyperlink"/>
            <w:noProof/>
          </w:rPr>
          <w:t>Figure 80 : Evolution des financements climats totaux (figure de gauche) dont les financements adaptation (droite) du groupe AFD</w:t>
        </w:r>
        <w:r w:rsidR="000F7B26">
          <w:rPr>
            <w:noProof/>
            <w:webHidden/>
          </w:rPr>
          <w:tab/>
        </w:r>
        <w:r w:rsidR="000F7B26">
          <w:rPr>
            <w:noProof/>
            <w:webHidden/>
          </w:rPr>
          <w:fldChar w:fldCharType="begin"/>
        </w:r>
        <w:r w:rsidR="000F7B26">
          <w:rPr>
            <w:noProof/>
            <w:webHidden/>
          </w:rPr>
          <w:instrText xml:space="preserve"> PAGEREF _Toc123916635 \h </w:instrText>
        </w:r>
        <w:r w:rsidR="000F7B26">
          <w:rPr>
            <w:noProof/>
            <w:webHidden/>
          </w:rPr>
        </w:r>
        <w:r w:rsidR="000F7B26">
          <w:rPr>
            <w:noProof/>
            <w:webHidden/>
          </w:rPr>
          <w:fldChar w:fldCharType="separate"/>
        </w:r>
        <w:r w:rsidR="00677B3C">
          <w:rPr>
            <w:noProof/>
            <w:webHidden/>
          </w:rPr>
          <w:t>101</w:t>
        </w:r>
        <w:r w:rsidR="000F7B26">
          <w:rPr>
            <w:noProof/>
            <w:webHidden/>
          </w:rPr>
          <w:fldChar w:fldCharType="end"/>
        </w:r>
      </w:hyperlink>
    </w:p>
    <w:p w14:paraId="695A7519" w14:textId="1D016AAE" w:rsidR="00DF3D1A" w:rsidRPr="0098629B" w:rsidRDefault="00811B0F" w:rsidP="00811B0F">
      <w:r w:rsidRPr="0098629B">
        <w:fldChar w:fldCharType="end"/>
      </w:r>
    </w:p>
    <w:p w14:paraId="33B6A2A2" w14:textId="77777777" w:rsidR="00811B0F" w:rsidRPr="0098629B" w:rsidRDefault="00811B0F">
      <w:pPr>
        <w:spacing w:line="240" w:lineRule="atLeast"/>
        <w:jc w:val="left"/>
      </w:pPr>
      <w:bookmarkStart w:id="0" w:name="ChapI"/>
      <w:bookmarkEnd w:id="0"/>
      <w:r w:rsidRPr="0098629B">
        <w:br w:type="page"/>
      </w:r>
    </w:p>
    <w:p w14:paraId="48F407A7" w14:textId="77777777" w:rsidR="00811B0F" w:rsidRPr="0098629B" w:rsidRDefault="00811B0F" w:rsidP="00811B0F">
      <w:pPr>
        <w:pStyle w:val="TOCHeading"/>
      </w:pPr>
      <w:r w:rsidRPr="0098629B">
        <w:lastRenderedPageBreak/>
        <w:t>Table des tableaux</w:t>
      </w:r>
    </w:p>
    <w:p w14:paraId="4929B627" w14:textId="7AF96AFD" w:rsidR="000F7B26" w:rsidRDefault="00811B0F">
      <w:pPr>
        <w:pStyle w:val="TableofFigures"/>
        <w:tabs>
          <w:tab w:val="right" w:leader="dot" w:pos="9854"/>
        </w:tabs>
        <w:rPr>
          <w:rFonts w:eastAsiaTheme="minorEastAsia" w:cstheme="minorBidi"/>
          <w:i w:val="0"/>
          <w:iCs w:val="0"/>
          <w:noProof/>
          <w:sz w:val="22"/>
          <w:szCs w:val="22"/>
        </w:rPr>
      </w:pPr>
      <w:r w:rsidRPr="0098629B">
        <w:fldChar w:fldCharType="begin"/>
      </w:r>
      <w:r w:rsidRPr="0098629B">
        <w:instrText xml:space="preserve"> TOC \h \z \c "Tableau" </w:instrText>
      </w:r>
      <w:r w:rsidRPr="0098629B">
        <w:fldChar w:fldCharType="separate"/>
      </w:r>
      <w:hyperlink w:anchor="_Toc123916636" w:history="1">
        <w:r w:rsidR="000F7B26" w:rsidRPr="00543AB4">
          <w:rPr>
            <w:rStyle w:val="Hyperlink"/>
            <w:noProof/>
          </w:rPr>
          <w:t>Tableau 1 : 1</w:t>
        </w:r>
        <w:r w:rsidR="000F7B26" w:rsidRPr="00543AB4">
          <w:rPr>
            <w:rStyle w:val="Hyperlink"/>
            <w:noProof/>
            <w:vertAlign w:val="superscript"/>
          </w:rPr>
          <w:t>er</w:t>
        </w:r>
        <w:r w:rsidR="000F7B26" w:rsidRPr="00543AB4">
          <w:rPr>
            <w:rStyle w:val="Hyperlink"/>
            <w:noProof/>
          </w:rPr>
          <w:t xml:space="preserve"> (2015-2018), 2</w:t>
        </w:r>
        <w:r w:rsidR="000F7B26" w:rsidRPr="00543AB4">
          <w:rPr>
            <w:rStyle w:val="Hyperlink"/>
            <w:noProof/>
            <w:vertAlign w:val="superscript"/>
          </w:rPr>
          <w:t>e</w:t>
        </w:r>
        <w:r w:rsidR="000F7B26" w:rsidRPr="00543AB4">
          <w:rPr>
            <w:rStyle w:val="Hyperlink"/>
            <w:noProof/>
          </w:rPr>
          <w:t xml:space="preserve"> (2019-2023), 3</w:t>
        </w:r>
        <w:r w:rsidR="000F7B26" w:rsidRPr="00543AB4">
          <w:rPr>
            <w:rStyle w:val="Hyperlink"/>
            <w:noProof/>
            <w:vertAlign w:val="superscript"/>
          </w:rPr>
          <w:t>e</w:t>
        </w:r>
        <w:r w:rsidR="000F7B26" w:rsidRPr="00543AB4">
          <w:rPr>
            <w:rStyle w:val="Hyperlink"/>
            <w:noProof/>
          </w:rPr>
          <w:t xml:space="preserve"> (2024-2028) et 4</w:t>
        </w:r>
        <w:r w:rsidR="000F7B26" w:rsidRPr="00543AB4">
          <w:rPr>
            <w:rStyle w:val="Hyperlink"/>
            <w:noProof/>
            <w:vertAlign w:val="superscript"/>
          </w:rPr>
          <w:t>e</w:t>
        </w:r>
        <w:r w:rsidR="000F7B26" w:rsidRPr="00543AB4">
          <w:rPr>
            <w:rStyle w:val="Hyperlink"/>
            <w:noProof/>
          </w:rPr>
          <w:t xml:space="preserve"> (2029-2033) budgets carbone</w:t>
        </w:r>
        <w:r w:rsidR="000F7B26">
          <w:rPr>
            <w:noProof/>
            <w:webHidden/>
          </w:rPr>
          <w:tab/>
        </w:r>
        <w:r w:rsidR="000F7B26">
          <w:rPr>
            <w:noProof/>
            <w:webHidden/>
          </w:rPr>
          <w:fldChar w:fldCharType="begin"/>
        </w:r>
        <w:r w:rsidR="000F7B26">
          <w:rPr>
            <w:noProof/>
            <w:webHidden/>
          </w:rPr>
          <w:instrText xml:space="preserve"> PAGEREF _Toc123916636 \h </w:instrText>
        </w:r>
        <w:r w:rsidR="000F7B26">
          <w:rPr>
            <w:noProof/>
            <w:webHidden/>
          </w:rPr>
        </w:r>
        <w:r w:rsidR="000F7B26">
          <w:rPr>
            <w:noProof/>
            <w:webHidden/>
          </w:rPr>
          <w:fldChar w:fldCharType="separate"/>
        </w:r>
        <w:r w:rsidR="00677B3C">
          <w:rPr>
            <w:noProof/>
            <w:webHidden/>
          </w:rPr>
          <w:t>18</w:t>
        </w:r>
        <w:r w:rsidR="000F7B26">
          <w:rPr>
            <w:noProof/>
            <w:webHidden/>
          </w:rPr>
          <w:fldChar w:fldCharType="end"/>
        </w:r>
      </w:hyperlink>
    </w:p>
    <w:p w14:paraId="603DC058" w14:textId="4F09CCD2" w:rsidR="000F7B26" w:rsidRDefault="00757301">
      <w:pPr>
        <w:pStyle w:val="TableofFigures"/>
        <w:tabs>
          <w:tab w:val="right" w:leader="dot" w:pos="9854"/>
        </w:tabs>
        <w:rPr>
          <w:rFonts w:eastAsiaTheme="minorEastAsia" w:cstheme="minorBidi"/>
          <w:i w:val="0"/>
          <w:iCs w:val="0"/>
          <w:noProof/>
          <w:sz w:val="22"/>
          <w:szCs w:val="22"/>
        </w:rPr>
      </w:pPr>
      <w:hyperlink w:anchor="_Toc123916637" w:history="1">
        <w:r w:rsidR="000F7B26" w:rsidRPr="00543AB4">
          <w:rPr>
            <w:rStyle w:val="Hyperlink"/>
            <w:noProof/>
          </w:rPr>
          <w:t>Tableau 2 : Projections d’émissions de GES (en ktCO</w:t>
        </w:r>
        <w:r w:rsidR="000F7B26" w:rsidRPr="00543AB4">
          <w:rPr>
            <w:rStyle w:val="Hyperlink"/>
            <w:noProof/>
            <w:vertAlign w:val="subscript"/>
          </w:rPr>
          <w:t>2e</w:t>
        </w:r>
        <w:r w:rsidR="000F7B26" w:rsidRPr="00543AB4">
          <w:rPr>
            <w:rStyle w:val="Hyperlink"/>
            <w:noProof/>
          </w:rPr>
          <w:t>) au périmètre Kyoto dans le scénario AME21 (avec mesures existantes)</w:t>
        </w:r>
        <w:r w:rsidR="000F7B26">
          <w:rPr>
            <w:noProof/>
            <w:webHidden/>
          </w:rPr>
          <w:tab/>
        </w:r>
        <w:r w:rsidR="000F7B26">
          <w:rPr>
            <w:noProof/>
            <w:webHidden/>
          </w:rPr>
          <w:fldChar w:fldCharType="begin"/>
        </w:r>
        <w:r w:rsidR="000F7B26">
          <w:rPr>
            <w:noProof/>
            <w:webHidden/>
          </w:rPr>
          <w:instrText xml:space="preserve"> PAGEREF _Toc123916637 \h </w:instrText>
        </w:r>
        <w:r w:rsidR="000F7B26">
          <w:rPr>
            <w:noProof/>
            <w:webHidden/>
          </w:rPr>
        </w:r>
        <w:r w:rsidR="000F7B26">
          <w:rPr>
            <w:noProof/>
            <w:webHidden/>
          </w:rPr>
          <w:fldChar w:fldCharType="separate"/>
        </w:r>
        <w:r w:rsidR="00677B3C">
          <w:rPr>
            <w:noProof/>
            <w:webHidden/>
          </w:rPr>
          <w:t>75</w:t>
        </w:r>
        <w:r w:rsidR="000F7B26">
          <w:rPr>
            <w:noProof/>
            <w:webHidden/>
          </w:rPr>
          <w:fldChar w:fldCharType="end"/>
        </w:r>
      </w:hyperlink>
    </w:p>
    <w:p w14:paraId="3C08E96E" w14:textId="0DB00DA3" w:rsidR="000F7B26" w:rsidRDefault="00757301">
      <w:pPr>
        <w:pStyle w:val="TableofFigures"/>
        <w:tabs>
          <w:tab w:val="right" w:leader="dot" w:pos="9854"/>
        </w:tabs>
        <w:rPr>
          <w:rFonts w:eastAsiaTheme="minorEastAsia" w:cstheme="minorBidi"/>
          <w:i w:val="0"/>
          <w:iCs w:val="0"/>
          <w:noProof/>
          <w:sz w:val="22"/>
          <w:szCs w:val="22"/>
        </w:rPr>
      </w:pPr>
      <w:hyperlink w:anchor="_Toc123916638" w:history="1">
        <w:r w:rsidR="000F7B26" w:rsidRPr="00543AB4">
          <w:rPr>
            <w:rStyle w:val="Hyperlink"/>
            <w:noProof/>
          </w:rPr>
          <w:t>Tableau 3 : Impact des différents facteurs sur le niveau d’émissions en 2030 et 2050</w:t>
        </w:r>
        <w:r w:rsidR="000F7B26">
          <w:rPr>
            <w:noProof/>
            <w:webHidden/>
          </w:rPr>
          <w:tab/>
        </w:r>
        <w:r w:rsidR="000F7B26">
          <w:rPr>
            <w:noProof/>
            <w:webHidden/>
          </w:rPr>
          <w:fldChar w:fldCharType="begin"/>
        </w:r>
        <w:r w:rsidR="000F7B26">
          <w:rPr>
            <w:noProof/>
            <w:webHidden/>
          </w:rPr>
          <w:instrText xml:space="preserve"> PAGEREF _Toc123916638 \h </w:instrText>
        </w:r>
        <w:r w:rsidR="000F7B26">
          <w:rPr>
            <w:noProof/>
            <w:webHidden/>
          </w:rPr>
        </w:r>
        <w:r w:rsidR="000F7B26">
          <w:rPr>
            <w:noProof/>
            <w:webHidden/>
          </w:rPr>
          <w:fldChar w:fldCharType="separate"/>
        </w:r>
        <w:r w:rsidR="00677B3C">
          <w:rPr>
            <w:noProof/>
            <w:webHidden/>
          </w:rPr>
          <w:t>77</w:t>
        </w:r>
        <w:r w:rsidR="000F7B26">
          <w:rPr>
            <w:noProof/>
            <w:webHidden/>
          </w:rPr>
          <w:fldChar w:fldCharType="end"/>
        </w:r>
      </w:hyperlink>
    </w:p>
    <w:p w14:paraId="3CEFE54C" w14:textId="66344D1A" w:rsidR="000F7B26" w:rsidRDefault="00757301">
      <w:pPr>
        <w:pStyle w:val="TableofFigures"/>
        <w:tabs>
          <w:tab w:val="right" w:leader="dot" w:pos="9854"/>
        </w:tabs>
        <w:rPr>
          <w:rFonts w:eastAsiaTheme="minorEastAsia" w:cstheme="minorBidi"/>
          <w:i w:val="0"/>
          <w:iCs w:val="0"/>
          <w:noProof/>
          <w:sz w:val="22"/>
          <w:szCs w:val="22"/>
        </w:rPr>
      </w:pPr>
      <w:hyperlink w:anchor="_Toc123916639" w:history="1">
        <w:r w:rsidR="000F7B26" w:rsidRPr="00543AB4">
          <w:rPr>
            <w:rStyle w:val="Hyperlink"/>
            <w:noProof/>
          </w:rPr>
          <w:t>Tableau 4 : Projections d’émissions de GES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_Toc123916639 \h </w:instrText>
        </w:r>
        <w:r w:rsidR="000F7B26">
          <w:rPr>
            <w:noProof/>
            <w:webHidden/>
          </w:rPr>
        </w:r>
        <w:r w:rsidR="000F7B26">
          <w:rPr>
            <w:noProof/>
            <w:webHidden/>
          </w:rPr>
          <w:fldChar w:fldCharType="separate"/>
        </w:r>
        <w:r w:rsidR="00677B3C">
          <w:rPr>
            <w:noProof/>
            <w:webHidden/>
          </w:rPr>
          <w:t>77</w:t>
        </w:r>
        <w:r w:rsidR="000F7B26">
          <w:rPr>
            <w:noProof/>
            <w:webHidden/>
          </w:rPr>
          <w:fldChar w:fldCharType="end"/>
        </w:r>
      </w:hyperlink>
    </w:p>
    <w:p w14:paraId="5A3C6142" w14:textId="3BFD73DB" w:rsidR="000F7B26" w:rsidRDefault="00757301">
      <w:pPr>
        <w:pStyle w:val="TableofFigures"/>
        <w:tabs>
          <w:tab w:val="right" w:leader="dot" w:pos="9854"/>
        </w:tabs>
        <w:rPr>
          <w:rFonts w:eastAsiaTheme="minorEastAsia" w:cstheme="minorBidi"/>
          <w:i w:val="0"/>
          <w:iCs w:val="0"/>
          <w:noProof/>
          <w:sz w:val="22"/>
          <w:szCs w:val="22"/>
        </w:rPr>
      </w:pPr>
      <w:hyperlink w:anchor="_Toc123916640" w:history="1">
        <w:r w:rsidR="000F7B26" w:rsidRPr="00543AB4">
          <w:rPr>
            <w:rStyle w:val="Hyperlink"/>
            <w:noProof/>
          </w:rPr>
          <w:t>Tableau 5 : Projections d’émissions de GES par secteur d’activité (en ktCO</w:t>
        </w:r>
        <w:r w:rsidR="000F7B26" w:rsidRPr="00543AB4">
          <w:rPr>
            <w:rStyle w:val="Hyperlink"/>
            <w:noProof/>
            <w:vertAlign w:val="subscript"/>
          </w:rPr>
          <w:t>2e</w:t>
        </w:r>
        <w:r w:rsidR="000F7B26" w:rsidRPr="00543AB4">
          <w:rPr>
            <w:rStyle w:val="Hyperlink"/>
            <w:noProof/>
          </w:rPr>
          <w:t>) au périmètre Kyoto dans le scénario AME (avec mesures existantes)</w:t>
        </w:r>
        <w:r w:rsidR="000F7B26">
          <w:rPr>
            <w:noProof/>
            <w:webHidden/>
          </w:rPr>
          <w:tab/>
        </w:r>
        <w:r w:rsidR="000F7B26">
          <w:rPr>
            <w:noProof/>
            <w:webHidden/>
          </w:rPr>
          <w:fldChar w:fldCharType="begin"/>
        </w:r>
        <w:r w:rsidR="000F7B26">
          <w:rPr>
            <w:noProof/>
            <w:webHidden/>
          </w:rPr>
          <w:instrText xml:space="preserve"> PAGEREF _Toc123916640 \h </w:instrText>
        </w:r>
        <w:r w:rsidR="000F7B26">
          <w:rPr>
            <w:noProof/>
            <w:webHidden/>
          </w:rPr>
        </w:r>
        <w:r w:rsidR="000F7B26">
          <w:rPr>
            <w:noProof/>
            <w:webHidden/>
          </w:rPr>
          <w:fldChar w:fldCharType="separate"/>
        </w:r>
        <w:r w:rsidR="00677B3C">
          <w:rPr>
            <w:noProof/>
            <w:webHidden/>
          </w:rPr>
          <w:t>79</w:t>
        </w:r>
        <w:r w:rsidR="000F7B26">
          <w:rPr>
            <w:noProof/>
            <w:webHidden/>
          </w:rPr>
          <w:fldChar w:fldCharType="end"/>
        </w:r>
      </w:hyperlink>
    </w:p>
    <w:p w14:paraId="596C1A36" w14:textId="456916D5" w:rsidR="000F7B26" w:rsidRDefault="00757301">
      <w:pPr>
        <w:pStyle w:val="TableofFigures"/>
        <w:tabs>
          <w:tab w:val="right" w:leader="dot" w:pos="9854"/>
        </w:tabs>
        <w:rPr>
          <w:rFonts w:eastAsiaTheme="minorEastAsia" w:cstheme="minorBidi"/>
          <w:i w:val="0"/>
          <w:iCs w:val="0"/>
          <w:noProof/>
          <w:sz w:val="22"/>
          <w:szCs w:val="22"/>
        </w:rPr>
      </w:pPr>
      <w:hyperlink w:anchor="_Toc123916641" w:history="1">
        <w:r w:rsidR="000F7B26" w:rsidRPr="00543AB4">
          <w:rPr>
            <w:rStyle w:val="Hyperlink"/>
            <w:noProof/>
          </w:rPr>
          <w:t>Tableau 6 : Projections d’émissions de GES par secteur d’activité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_Toc123916641 \h </w:instrText>
        </w:r>
        <w:r w:rsidR="000F7B26">
          <w:rPr>
            <w:noProof/>
            <w:webHidden/>
          </w:rPr>
        </w:r>
        <w:r w:rsidR="000F7B26">
          <w:rPr>
            <w:noProof/>
            <w:webHidden/>
          </w:rPr>
          <w:fldChar w:fldCharType="separate"/>
        </w:r>
        <w:r w:rsidR="00677B3C">
          <w:rPr>
            <w:noProof/>
            <w:webHidden/>
          </w:rPr>
          <w:t>80</w:t>
        </w:r>
        <w:r w:rsidR="000F7B26">
          <w:rPr>
            <w:noProof/>
            <w:webHidden/>
          </w:rPr>
          <w:fldChar w:fldCharType="end"/>
        </w:r>
      </w:hyperlink>
    </w:p>
    <w:p w14:paraId="23365F6A" w14:textId="1E7F4B35" w:rsidR="000F7B26" w:rsidRDefault="00757301">
      <w:pPr>
        <w:pStyle w:val="TableofFigures"/>
        <w:tabs>
          <w:tab w:val="right" w:leader="dot" w:pos="9854"/>
        </w:tabs>
        <w:rPr>
          <w:rFonts w:eastAsiaTheme="minorEastAsia" w:cstheme="minorBidi"/>
          <w:i w:val="0"/>
          <w:iCs w:val="0"/>
          <w:noProof/>
          <w:sz w:val="22"/>
          <w:szCs w:val="22"/>
        </w:rPr>
      </w:pPr>
      <w:hyperlink w:anchor="_Toc123916642" w:history="1">
        <w:r w:rsidR="000F7B26" w:rsidRPr="00543AB4">
          <w:rPr>
            <w:rStyle w:val="Hyperlink"/>
            <w:noProof/>
          </w:rPr>
          <w:t>Tableau 7 : Détail des catégories du secteur énergie (en ktCO</w:t>
        </w:r>
        <w:r w:rsidR="000F7B26" w:rsidRPr="00543AB4">
          <w:rPr>
            <w:rStyle w:val="Hyperlink"/>
            <w:noProof/>
            <w:vertAlign w:val="subscript"/>
          </w:rPr>
          <w:t>2e</w:t>
        </w:r>
        <w:r w:rsidR="000F7B26" w:rsidRPr="00543AB4">
          <w:rPr>
            <w:rStyle w:val="Hyperlink"/>
            <w:noProof/>
          </w:rPr>
          <w:t>) au périmètre Kyoto dans le scénario AME 2021 (avec mesures existantes)</w:t>
        </w:r>
        <w:r w:rsidR="000F7B26">
          <w:rPr>
            <w:noProof/>
            <w:webHidden/>
          </w:rPr>
          <w:tab/>
        </w:r>
        <w:r w:rsidR="000F7B26">
          <w:rPr>
            <w:noProof/>
            <w:webHidden/>
          </w:rPr>
          <w:fldChar w:fldCharType="begin"/>
        </w:r>
        <w:r w:rsidR="000F7B26">
          <w:rPr>
            <w:noProof/>
            <w:webHidden/>
          </w:rPr>
          <w:instrText xml:space="preserve"> PAGEREF _Toc123916642 \h </w:instrText>
        </w:r>
        <w:r w:rsidR="000F7B26">
          <w:rPr>
            <w:noProof/>
            <w:webHidden/>
          </w:rPr>
        </w:r>
        <w:r w:rsidR="000F7B26">
          <w:rPr>
            <w:noProof/>
            <w:webHidden/>
          </w:rPr>
          <w:fldChar w:fldCharType="separate"/>
        </w:r>
        <w:r w:rsidR="00677B3C">
          <w:rPr>
            <w:noProof/>
            <w:webHidden/>
          </w:rPr>
          <w:t>81</w:t>
        </w:r>
        <w:r w:rsidR="000F7B26">
          <w:rPr>
            <w:noProof/>
            <w:webHidden/>
          </w:rPr>
          <w:fldChar w:fldCharType="end"/>
        </w:r>
      </w:hyperlink>
    </w:p>
    <w:p w14:paraId="77F71828" w14:textId="661A2E88" w:rsidR="000F7B26" w:rsidRDefault="00757301">
      <w:pPr>
        <w:pStyle w:val="TableofFigures"/>
        <w:tabs>
          <w:tab w:val="right" w:leader="dot" w:pos="9854"/>
        </w:tabs>
        <w:rPr>
          <w:rFonts w:eastAsiaTheme="minorEastAsia" w:cstheme="minorBidi"/>
          <w:i w:val="0"/>
          <w:iCs w:val="0"/>
          <w:noProof/>
          <w:sz w:val="22"/>
          <w:szCs w:val="22"/>
        </w:rPr>
      </w:pPr>
      <w:hyperlink w:anchor="_Toc123916643" w:history="1">
        <w:r w:rsidR="000F7B26" w:rsidRPr="00543AB4">
          <w:rPr>
            <w:rStyle w:val="Hyperlink"/>
            <w:noProof/>
          </w:rPr>
          <w:t>Tableau 8 : Détail des catégories du secteur énergie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_Toc123916643 \h </w:instrText>
        </w:r>
        <w:r w:rsidR="000F7B26">
          <w:rPr>
            <w:noProof/>
            <w:webHidden/>
          </w:rPr>
        </w:r>
        <w:r w:rsidR="000F7B26">
          <w:rPr>
            <w:noProof/>
            <w:webHidden/>
          </w:rPr>
          <w:fldChar w:fldCharType="separate"/>
        </w:r>
        <w:r w:rsidR="00677B3C">
          <w:rPr>
            <w:noProof/>
            <w:webHidden/>
          </w:rPr>
          <w:t>82</w:t>
        </w:r>
        <w:r w:rsidR="000F7B26">
          <w:rPr>
            <w:noProof/>
            <w:webHidden/>
          </w:rPr>
          <w:fldChar w:fldCharType="end"/>
        </w:r>
      </w:hyperlink>
    </w:p>
    <w:p w14:paraId="5D66AEA4" w14:textId="376E788A" w:rsidR="000F7B26" w:rsidRDefault="00757301">
      <w:pPr>
        <w:pStyle w:val="TableofFigures"/>
        <w:tabs>
          <w:tab w:val="right" w:leader="dot" w:pos="9854"/>
        </w:tabs>
        <w:rPr>
          <w:rFonts w:eastAsiaTheme="minorEastAsia" w:cstheme="minorBidi"/>
          <w:i w:val="0"/>
          <w:iCs w:val="0"/>
          <w:noProof/>
          <w:sz w:val="22"/>
          <w:szCs w:val="22"/>
        </w:rPr>
      </w:pPr>
      <w:hyperlink w:anchor="_Toc123916644" w:history="1">
        <w:r w:rsidR="000F7B26" w:rsidRPr="00543AB4">
          <w:rPr>
            <w:rStyle w:val="Hyperlink"/>
            <w:noProof/>
          </w:rPr>
          <w:t>Tableau 9 : Projections d’émissions de GES par gaz (en ktCO</w:t>
        </w:r>
        <w:r w:rsidR="000F7B26" w:rsidRPr="00543AB4">
          <w:rPr>
            <w:rStyle w:val="Hyperlink"/>
            <w:noProof/>
            <w:vertAlign w:val="subscript"/>
          </w:rPr>
          <w:t>2e</w:t>
        </w:r>
        <w:r w:rsidR="000F7B26" w:rsidRPr="00543AB4">
          <w:rPr>
            <w:rStyle w:val="Hyperlink"/>
            <w:noProof/>
          </w:rPr>
          <w:t>) au périmètre Kyoto dans le scénario AME 2021 (avec mesures existantes)</w:t>
        </w:r>
        <w:r w:rsidR="000F7B26">
          <w:rPr>
            <w:noProof/>
            <w:webHidden/>
          </w:rPr>
          <w:tab/>
        </w:r>
        <w:r w:rsidR="000F7B26">
          <w:rPr>
            <w:noProof/>
            <w:webHidden/>
          </w:rPr>
          <w:fldChar w:fldCharType="begin"/>
        </w:r>
        <w:r w:rsidR="000F7B26">
          <w:rPr>
            <w:noProof/>
            <w:webHidden/>
          </w:rPr>
          <w:instrText xml:space="preserve"> PAGEREF _Toc123916644 \h </w:instrText>
        </w:r>
        <w:r w:rsidR="000F7B26">
          <w:rPr>
            <w:noProof/>
            <w:webHidden/>
          </w:rPr>
        </w:r>
        <w:r w:rsidR="000F7B26">
          <w:rPr>
            <w:noProof/>
            <w:webHidden/>
          </w:rPr>
          <w:fldChar w:fldCharType="separate"/>
        </w:r>
        <w:r w:rsidR="00677B3C">
          <w:rPr>
            <w:noProof/>
            <w:webHidden/>
          </w:rPr>
          <w:t>84</w:t>
        </w:r>
        <w:r w:rsidR="000F7B26">
          <w:rPr>
            <w:noProof/>
            <w:webHidden/>
          </w:rPr>
          <w:fldChar w:fldCharType="end"/>
        </w:r>
      </w:hyperlink>
    </w:p>
    <w:p w14:paraId="4746AA03" w14:textId="0BFAEDED" w:rsidR="000F7B26" w:rsidRDefault="00757301">
      <w:pPr>
        <w:pStyle w:val="TableofFigures"/>
        <w:tabs>
          <w:tab w:val="right" w:leader="dot" w:pos="9854"/>
        </w:tabs>
        <w:rPr>
          <w:rFonts w:eastAsiaTheme="minorEastAsia" w:cstheme="minorBidi"/>
          <w:i w:val="0"/>
          <w:iCs w:val="0"/>
          <w:noProof/>
          <w:sz w:val="22"/>
          <w:szCs w:val="22"/>
        </w:rPr>
      </w:pPr>
      <w:hyperlink w:anchor="_Toc123916645" w:history="1">
        <w:r w:rsidR="000F7B26" w:rsidRPr="00543AB4">
          <w:rPr>
            <w:rStyle w:val="Hyperlink"/>
            <w:noProof/>
          </w:rPr>
          <w:t>Tableau 10 : Projections d’émissions de GES par gaz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_Toc123916645 \h </w:instrText>
        </w:r>
        <w:r w:rsidR="000F7B26">
          <w:rPr>
            <w:noProof/>
            <w:webHidden/>
          </w:rPr>
        </w:r>
        <w:r w:rsidR="000F7B26">
          <w:rPr>
            <w:noProof/>
            <w:webHidden/>
          </w:rPr>
          <w:fldChar w:fldCharType="separate"/>
        </w:r>
        <w:r w:rsidR="00677B3C">
          <w:rPr>
            <w:noProof/>
            <w:webHidden/>
          </w:rPr>
          <w:t>86</w:t>
        </w:r>
        <w:r w:rsidR="000F7B26">
          <w:rPr>
            <w:noProof/>
            <w:webHidden/>
          </w:rPr>
          <w:fldChar w:fldCharType="end"/>
        </w:r>
      </w:hyperlink>
    </w:p>
    <w:p w14:paraId="7CF50629" w14:textId="217D15AD" w:rsidR="000F7B26" w:rsidRDefault="00757301">
      <w:pPr>
        <w:pStyle w:val="TableofFigures"/>
        <w:tabs>
          <w:tab w:val="right" w:leader="dot" w:pos="9854"/>
        </w:tabs>
        <w:rPr>
          <w:rFonts w:eastAsiaTheme="minorEastAsia" w:cstheme="minorBidi"/>
          <w:i w:val="0"/>
          <w:iCs w:val="0"/>
          <w:noProof/>
          <w:sz w:val="22"/>
          <w:szCs w:val="22"/>
        </w:rPr>
      </w:pPr>
      <w:hyperlink w:anchor="_Toc123916646" w:history="1">
        <w:r w:rsidR="000F7B26" w:rsidRPr="00543AB4">
          <w:rPr>
            <w:rStyle w:val="Hyperlink"/>
            <w:noProof/>
          </w:rPr>
          <w:t>Tableau 11 : Projections d’émissions de CO</w:t>
        </w:r>
        <w:r w:rsidR="000F7B26" w:rsidRPr="00543AB4">
          <w:rPr>
            <w:rStyle w:val="Hyperlink"/>
            <w:noProof/>
            <w:vertAlign w:val="subscript"/>
          </w:rPr>
          <w:t>2</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AME 2021 (avec mesures existantes)</w:t>
        </w:r>
        <w:r w:rsidR="000F7B26">
          <w:rPr>
            <w:noProof/>
            <w:webHidden/>
          </w:rPr>
          <w:tab/>
        </w:r>
        <w:r w:rsidR="000F7B26">
          <w:rPr>
            <w:noProof/>
            <w:webHidden/>
          </w:rPr>
          <w:fldChar w:fldCharType="begin"/>
        </w:r>
        <w:r w:rsidR="000F7B26">
          <w:rPr>
            <w:noProof/>
            <w:webHidden/>
          </w:rPr>
          <w:instrText xml:space="preserve"> PAGEREF _Toc123916646 \h </w:instrText>
        </w:r>
        <w:r w:rsidR="000F7B26">
          <w:rPr>
            <w:noProof/>
            <w:webHidden/>
          </w:rPr>
        </w:r>
        <w:r w:rsidR="000F7B26">
          <w:rPr>
            <w:noProof/>
            <w:webHidden/>
          </w:rPr>
          <w:fldChar w:fldCharType="separate"/>
        </w:r>
        <w:r w:rsidR="00677B3C">
          <w:rPr>
            <w:noProof/>
            <w:webHidden/>
          </w:rPr>
          <w:t>87</w:t>
        </w:r>
        <w:r w:rsidR="000F7B26">
          <w:rPr>
            <w:noProof/>
            <w:webHidden/>
          </w:rPr>
          <w:fldChar w:fldCharType="end"/>
        </w:r>
      </w:hyperlink>
    </w:p>
    <w:p w14:paraId="5EFA4143" w14:textId="079FA4E4" w:rsidR="000F7B26" w:rsidRDefault="00757301">
      <w:pPr>
        <w:pStyle w:val="TableofFigures"/>
        <w:tabs>
          <w:tab w:val="right" w:leader="dot" w:pos="9854"/>
        </w:tabs>
        <w:rPr>
          <w:rFonts w:eastAsiaTheme="minorEastAsia" w:cstheme="minorBidi"/>
          <w:i w:val="0"/>
          <w:iCs w:val="0"/>
          <w:noProof/>
          <w:sz w:val="22"/>
          <w:szCs w:val="22"/>
        </w:rPr>
      </w:pPr>
      <w:hyperlink w:anchor="_Toc123916647" w:history="1">
        <w:r w:rsidR="000F7B26" w:rsidRPr="00543AB4">
          <w:rPr>
            <w:rStyle w:val="Hyperlink"/>
            <w:noProof/>
          </w:rPr>
          <w:t>Tableau 12 : Projections d’émissions de CH</w:t>
        </w:r>
        <w:r w:rsidR="000F7B26" w:rsidRPr="00543AB4">
          <w:rPr>
            <w:rStyle w:val="Hyperlink"/>
            <w:noProof/>
            <w:vertAlign w:val="subscript"/>
          </w:rPr>
          <w:t>4</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AME 2021 (avec mesures existantes)</w:t>
        </w:r>
        <w:r w:rsidR="000F7B26">
          <w:rPr>
            <w:noProof/>
            <w:webHidden/>
          </w:rPr>
          <w:tab/>
        </w:r>
        <w:r w:rsidR="000F7B26">
          <w:rPr>
            <w:noProof/>
            <w:webHidden/>
          </w:rPr>
          <w:fldChar w:fldCharType="begin"/>
        </w:r>
        <w:r w:rsidR="000F7B26">
          <w:rPr>
            <w:noProof/>
            <w:webHidden/>
          </w:rPr>
          <w:instrText xml:space="preserve"> PAGEREF _Toc123916647 \h </w:instrText>
        </w:r>
        <w:r w:rsidR="000F7B26">
          <w:rPr>
            <w:noProof/>
            <w:webHidden/>
          </w:rPr>
        </w:r>
        <w:r w:rsidR="000F7B26">
          <w:rPr>
            <w:noProof/>
            <w:webHidden/>
          </w:rPr>
          <w:fldChar w:fldCharType="separate"/>
        </w:r>
        <w:r w:rsidR="00677B3C">
          <w:rPr>
            <w:noProof/>
            <w:webHidden/>
          </w:rPr>
          <w:t>88</w:t>
        </w:r>
        <w:r w:rsidR="000F7B26">
          <w:rPr>
            <w:noProof/>
            <w:webHidden/>
          </w:rPr>
          <w:fldChar w:fldCharType="end"/>
        </w:r>
      </w:hyperlink>
    </w:p>
    <w:p w14:paraId="41A6969C" w14:textId="23B5B510" w:rsidR="000F7B26" w:rsidRDefault="00757301">
      <w:pPr>
        <w:pStyle w:val="TableofFigures"/>
        <w:tabs>
          <w:tab w:val="right" w:leader="dot" w:pos="9854"/>
        </w:tabs>
        <w:rPr>
          <w:rFonts w:eastAsiaTheme="minorEastAsia" w:cstheme="minorBidi"/>
          <w:i w:val="0"/>
          <w:iCs w:val="0"/>
          <w:noProof/>
          <w:sz w:val="22"/>
          <w:szCs w:val="22"/>
        </w:rPr>
      </w:pPr>
      <w:hyperlink w:anchor="_Toc123916648" w:history="1">
        <w:r w:rsidR="000F7B26" w:rsidRPr="00543AB4">
          <w:rPr>
            <w:rStyle w:val="Hyperlink"/>
            <w:noProof/>
          </w:rPr>
          <w:t>Tableau 13 : Projections d’émissions de N</w:t>
        </w:r>
        <w:r w:rsidR="000F7B26" w:rsidRPr="00543AB4">
          <w:rPr>
            <w:rStyle w:val="Hyperlink"/>
            <w:noProof/>
            <w:vertAlign w:val="subscript"/>
          </w:rPr>
          <w:t>2</w:t>
        </w:r>
        <w:r w:rsidR="000F7B26" w:rsidRPr="00543AB4">
          <w:rPr>
            <w:rStyle w:val="Hyperlink"/>
            <w:noProof/>
          </w:rPr>
          <w:t>O (en ktCO</w:t>
        </w:r>
        <w:r w:rsidR="000F7B26" w:rsidRPr="00543AB4">
          <w:rPr>
            <w:rStyle w:val="Hyperlink"/>
            <w:noProof/>
            <w:vertAlign w:val="subscript"/>
          </w:rPr>
          <w:t>2e</w:t>
        </w:r>
        <w:r w:rsidR="000F7B26" w:rsidRPr="00543AB4">
          <w:rPr>
            <w:rStyle w:val="Hyperlink"/>
            <w:noProof/>
          </w:rPr>
          <w:t>) au périmètre Kyoto dans le scénario AME (avec mesures existantes)</w:t>
        </w:r>
        <w:r w:rsidR="000F7B26">
          <w:rPr>
            <w:noProof/>
            <w:webHidden/>
          </w:rPr>
          <w:tab/>
        </w:r>
        <w:r w:rsidR="000F7B26">
          <w:rPr>
            <w:noProof/>
            <w:webHidden/>
          </w:rPr>
          <w:fldChar w:fldCharType="begin"/>
        </w:r>
        <w:r w:rsidR="000F7B26">
          <w:rPr>
            <w:noProof/>
            <w:webHidden/>
          </w:rPr>
          <w:instrText xml:space="preserve"> PAGEREF _Toc123916648 \h </w:instrText>
        </w:r>
        <w:r w:rsidR="000F7B26">
          <w:rPr>
            <w:noProof/>
            <w:webHidden/>
          </w:rPr>
        </w:r>
        <w:r w:rsidR="000F7B26">
          <w:rPr>
            <w:noProof/>
            <w:webHidden/>
          </w:rPr>
          <w:fldChar w:fldCharType="separate"/>
        </w:r>
        <w:r w:rsidR="00677B3C">
          <w:rPr>
            <w:noProof/>
            <w:webHidden/>
          </w:rPr>
          <w:t>89</w:t>
        </w:r>
        <w:r w:rsidR="000F7B26">
          <w:rPr>
            <w:noProof/>
            <w:webHidden/>
          </w:rPr>
          <w:fldChar w:fldCharType="end"/>
        </w:r>
      </w:hyperlink>
    </w:p>
    <w:p w14:paraId="2EECAE66" w14:textId="6B8178ED" w:rsidR="000F7B26" w:rsidRDefault="00757301">
      <w:pPr>
        <w:pStyle w:val="TableofFigures"/>
        <w:tabs>
          <w:tab w:val="right" w:leader="dot" w:pos="9854"/>
        </w:tabs>
        <w:rPr>
          <w:rFonts w:eastAsiaTheme="minorEastAsia" w:cstheme="minorBidi"/>
          <w:i w:val="0"/>
          <w:iCs w:val="0"/>
          <w:noProof/>
          <w:sz w:val="22"/>
          <w:szCs w:val="22"/>
        </w:rPr>
      </w:pPr>
      <w:hyperlink w:anchor="_Toc123916649" w:history="1">
        <w:r w:rsidR="000F7B26" w:rsidRPr="00543AB4">
          <w:rPr>
            <w:rStyle w:val="Hyperlink"/>
            <w:noProof/>
          </w:rPr>
          <w:t>Tableau 14 : Projections d’émissions de HFC (en ktCO</w:t>
        </w:r>
        <w:r w:rsidR="000F7B26" w:rsidRPr="00543AB4">
          <w:rPr>
            <w:rStyle w:val="Hyperlink"/>
            <w:noProof/>
            <w:vertAlign w:val="subscript"/>
          </w:rPr>
          <w:t>2e</w:t>
        </w:r>
        <w:r w:rsidR="000F7B26" w:rsidRPr="00543AB4">
          <w:rPr>
            <w:rStyle w:val="Hyperlink"/>
            <w:noProof/>
          </w:rPr>
          <w:t>) au périmètre Kyoto dans le scénario AME (avec mesures existantes)</w:t>
        </w:r>
        <w:r w:rsidR="000F7B26">
          <w:rPr>
            <w:noProof/>
            <w:webHidden/>
          </w:rPr>
          <w:tab/>
        </w:r>
        <w:r w:rsidR="000F7B26">
          <w:rPr>
            <w:noProof/>
            <w:webHidden/>
          </w:rPr>
          <w:fldChar w:fldCharType="begin"/>
        </w:r>
        <w:r w:rsidR="000F7B26">
          <w:rPr>
            <w:noProof/>
            <w:webHidden/>
          </w:rPr>
          <w:instrText xml:space="preserve"> PAGEREF _Toc123916649 \h </w:instrText>
        </w:r>
        <w:r w:rsidR="000F7B26">
          <w:rPr>
            <w:noProof/>
            <w:webHidden/>
          </w:rPr>
        </w:r>
        <w:r w:rsidR="000F7B26">
          <w:rPr>
            <w:noProof/>
            <w:webHidden/>
          </w:rPr>
          <w:fldChar w:fldCharType="separate"/>
        </w:r>
        <w:r w:rsidR="00677B3C">
          <w:rPr>
            <w:noProof/>
            <w:webHidden/>
          </w:rPr>
          <w:t>89</w:t>
        </w:r>
        <w:r w:rsidR="000F7B26">
          <w:rPr>
            <w:noProof/>
            <w:webHidden/>
          </w:rPr>
          <w:fldChar w:fldCharType="end"/>
        </w:r>
      </w:hyperlink>
    </w:p>
    <w:p w14:paraId="48EB3CB8" w14:textId="35E5C3D7" w:rsidR="000F7B26" w:rsidRDefault="00757301">
      <w:pPr>
        <w:pStyle w:val="TableofFigures"/>
        <w:tabs>
          <w:tab w:val="right" w:leader="dot" w:pos="9854"/>
        </w:tabs>
        <w:rPr>
          <w:rFonts w:eastAsiaTheme="minorEastAsia" w:cstheme="minorBidi"/>
          <w:i w:val="0"/>
          <w:iCs w:val="0"/>
          <w:noProof/>
          <w:sz w:val="22"/>
          <w:szCs w:val="22"/>
        </w:rPr>
      </w:pPr>
      <w:hyperlink w:anchor="_Toc123916650" w:history="1">
        <w:r w:rsidR="000F7B26" w:rsidRPr="00543AB4">
          <w:rPr>
            <w:rStyle w:val="Hyperlink"/>
            <w:noProof/>
          </w:rPr>
          <w:t>Tableau 15 : Projections d’émissions de PFC (en ktCO</w:t>
        </w:r>
        <w:r w:rsidR="000F7B26" w:rsidRPr="00543AB4">
          <w:rPr>
            <w:rStyle w:val="Hyperlink"/>
            <w:noProof/>
            <w:vertAlign w:val="subscript"/>
          </w:rPr>
          <w:t>2e</w:t>
        </w:r>
        <w:r w:rsidR="000F7B26" w:rsidRPr="00543AB4">
          <w:rPr>
            <w:rStyle w:val="Hyperlink"/>
            <w:noProof/>
          </w:rPr>
          <w:t>) au périmètre Kyoto dans le scénario AME 2021 (avec mesures existantes)</w:t>
        </w:r>
        <w:r w:rsidR="000F7B26">
          <w:rPr>
            <w:noProof/>
            <w:webHidden/>
          </w:rPr>
          <w:tab/>
        </w:r>
        <w:r w:rsidR="000F7B26">
          <w:rPr>
            <w:noProof/>
            <w:webHidden/>
          </w:rPr>
          <w:fldChar w:fldCharType="begin"/>
        </w:r>
        <w:r w:rsidR="000F7B26">
          <w:rPr>
            <w:noProof/>
            <w:webHidden/>
          </w:rPr>
          <w:instrText xml:space="preserve"> PAGEREF _Toc123916650 \h </w:instrText>
        </w:r>
        <w:r w:rsidR="000F7B26">
          <w:rPr>
            <w:noProof/>
            <w:webHidden/>
          </w:rPr>
        </w:r>
        <w:r w:rsidR="000F7B26">
          <w:rPr>
            <w:noProof/>
            <w:webHidden/>
          </w:rPr>
          <w:fldChar w:fldCharType="separate"/>
        </w:r>
        <w:r w:rsidR="00677B3C">
          <w:rPr>
            <w:noProof/>
            <w:webHidden/>
          </w:rPr>
          <w:t>89</w:t>
        </w:r>
        <w:r w:rsidR="000F7B26">
          <w:rPr>
            <w:noProof/>
            <w:webHidden/>
          </w:rPr>
          <w:fldChar w:fldCharType="end"/>
        </w:r>
      </w:hyperlink>
    </w:p>
    <w:p w14:paraId="03854B7E" w14:textId="1A25C115" w:rsidR="000F7B26" w:rsidRDefault="00757301">
      <w:pPr>
        <w:pStyle w:val="TableofFigures"/>
        <w:tabs>
          <w:tab w:val="right" w:leader="dot" w:pos="9854"/>
        </w:tabs>
        <w:rPr>
          <w:rFonts w:eastAsiaTheme="minorEastAsia" w:cstheme="minorBidi"/>
          <w:i w:val="0"/>
          <w:iCs w:val="0"/>
          <w:noProof/>
          <w:sz w:val="22"/>
          <w:szCs w:val="22"/>
        </w:rPr>
      </w:pPr>
      <w:hyperlink w:anchor="_Toc123916651" w:history="1">
        <w:r w:rsidR="000F7B26" w:rsidRPr="00543AB4">
          <w:rPr>
            <w:rStyle w:val="Hyperlink"/>
            <w:noProof/>
          </w:rPr>
          <w:t>Tableau 16 : Projections d’émissions de SF</w:t>
        </w:r>
        <w:r w:rsidR="000F7B26" w:rsidRPr="00543AB4">
          <w:rPr>
            <w:rStyle w:val="Hyperlink"/>
            <w:noProof/>
            <w:vertAlign w:val="subscript"/>
          </w:rPr>
          <w:t>6</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AME 2021 (avec mesures existantes)</w:t>
        </w:r>
        <w:r w:rsidR="000F7B26">
          <w:rPr>
            <w:noProof/>
            <w:webHidden/>
          </w:rPr>
          <w:tab/>
        </w:r>
        <w:r w:rsidR="000F7B26">
          <w:rPr>
            <w:noProof/>
            <w:webHidden/>
          </w:rPr>
          <w:fldChar w:fldCharType="begin"/>
        </w:r>
        <w:r w:rsidR="000F7B26">
          <w:rPr>
            <w:noProof/>
            <w:webHidden/>
          </w:rPr>
          <w:instrText xml:space="preserve"> PAGEREF _Toc123916651 \h </w:instrText>
        </w:r>
        <w:r w:rsidR="000F7B26">
          <w:rPr>
            <w:noProof/>
            <w:webHidden/>
          </w:rPr>
        </w:r>
        <w:r w:rsidR="000F7B26">
          <w:rPr>
            <w:noProof/>
            <w:webHidden/>
          </w:rPr>
          <w:fldChar w:fldCharType="separate"/>
        </w:r>
        <w:r w:rsidR="00677B3C">
          <w:rPr>
            <w:noProof/>
            <w:webHidden/>
          </w:rPr>
          <w:t>90</w:t>
        </w:r>
        <w:r w:rsidR="000F7B26">
          <w:rPr>
            <w:noProof/>
            <w:webHidden/>
          </w:rPr>
          <w:fldChar w:fldCharType="end"/>
        </w:r>
      </w:hyperlink>
    </w:p>
    <w:p w14:paraId="2BADE2C9" w14:textId="2F8662DA" w:rsidR="000F7B26" w:rsidRDefault="00757301">
      <w:pPr>
        <w:pStyle w:val="TableofFigures"/>
        <w:tabs>
          <w:tab w:val="right" w:leader="dot" w:pos="9854"/>
        </w:tabs>
        <w:rPr>
          <w:rFonts w:eastAsiaTheme="minorEastAsia" w:cstheme="minorBidi"/>
          <w:i w:val="0"/>
          <w:iCs w:val="0"/>
          <w:noProof/>
          <w:sz w:val="22"/>
          <w:szCs w:val="22"/>
        </w:rPr>
      </w:pPr>
      <w:hyperlink w:anchor="_Toc123916652" w:history="1">
        <w:r w:rsidR="000F7B26" w:rsidRPr="00543AB4">
          <w:rPr>
            <w:rStyle w:val="Hyperlink"/>
            <w:noProof/>
          </w:rPr>
          <w:t>Tableau 17 : Projections d’émissions de NF</w:t>
        </w:r>
        <w:r w:rsidR="000F7B26" w:rsidRPr="00543AB4">
          <w:rPr>
            <w:rStyle w:val="Hyperlink"/>
            <w:noProof/>
            <w:vertAlign w:val="subscript"/>
          </w:rPr>
          <w:t>3</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AME 2021 (avec mesures existantes)</w:t>
        </w:r>
        <w:r w:rsidR="000F7B26">
          <w:rPr>
            <w:noProof/>
            <w:webHidden/>
          </w:rPr>
          <w:tab/>
        </w:r>
        <w:r w:rsidR="000F7B26">
          <w:rPr>
            <w:noProof/>
            <w:webHidden/>
          </w:rPr>
          <w:fldChar w:fldCharType="begin"/>
        </w:r>
        <w:r w:rsidR="000F7B26">
          <w:rPr>
            <w:noProof/>
            <w:webHidden/>
          </w:rPr>
          <w:instrText xml:space="preserve"> PAGEREF _Toc123916652 \h </w:instrText>
        </w:r>
        <w:r w:rsidR="000F7B26">
          <w:rPr>
            <w:noProof/>
            <w:webHidden/>
          </w:rPr>
        </w:r>
        <w:r w:rsidR="000F7B26">
          <w:rPr>
            <w:noProof/>
            <w:webHidden/>
          </w:rPr>
          <w:fldChar w:fldCharType="separate"/>
        </w:r>
        <w:r w:rsidR="00677B3C">
          <w:rPr>
            <w:noProof/>
            <w:webHidden/>
          </w:rPr>
          <w:t>90</w:t>
        </w:r>
        <w:r w:rsidR="000F7B26">
          <w:rPr>
            <w:noProof/>
            <w:webHidden/>
          </w:rPr>
          <w:fldChar w:fldCharType="end"/>
        </w:r>
      </w:hyperlink>
    </w:p>
    <w:p w14:paraId="48E213D5" w14:textId="61D64691" w:rsidR="000F7B26" w:rsidRDefault="00757301">
      <w:pPr>
        <w:pStyle w:val="TableofFigures"/>
        <w:tabs>
          <w:tab w:val="right" w:leader="dot" w:pos="9854"/>
        </w:tabs>
        <w:rPr>
          <w:rFonts w:eastAsiaTheme="minorEastAsia" w:cstheme="minorBidi"/>
          <w:i w:val="0"/>
          <w:iCs w:val="0"/>
          <w:noProof/>
          <w:sz w:val="22"/>
          <w:szCs w:val="22"/>
        </w:rPr>
      </w:pPr>
      <w:hyperlink w:anchor="_Toc123916653" w:history="1">
        <w:r w:rsidR="000F7B26" w:rsidRPr="00543AB4">
          <w:rPr>
            <w:rStyle w:val="Hyperlink"/>
            <w:noProof/>
          </w:rPr>
          <w:t>Tableau 18 : Projections d’émissions de CO</w:t>
        </w:r>
        <w:r w:rsidR="000F7B26" w:rsidRPr="00543AB4">
          <w:rPr>
            <w:rStyle w:val="Hyperlink"/>
            <w:noProof/>
            <w:vertAlign w:val="subscript"/>
          </w:rPr>
          <w:t>2</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_Toc123916653 \h </w:instrText>
        </w:r>
        <w:r w:rsidR="000F7B26">
          <w:rPr>
            <w:noProof/>
            <w:webHidden/>
          </w:rPr>
        </w:r>
        <w:r w:rsidR="000F7B26">
          <w:rPr>
            <w:noProof/>
            <w:webHidden/>
          </w:rPr>
          <w:fldChar w:fldCharType="separate"/>
        </w:r>
        <w:r w:rsidR="00677B3C">
          <w:rPr>
            <w:noProof/>
            <w:webHidden/>
          </w:rPr>
          <w:t>90</w:t>
        </w:r>
        <w:r w:rsidR="000F7B26">
          <w:rPr>
            <w:noProof/>
            <w:webHidden/>
          </w:rPr>
          <w:fldChar w:fldCharType="end"/>
        </w:r>
      </w:hyperlink>
    </w:p>
    <w:p w14:paraId="241FB1EA" w14:textId="5A8CBA55" w:rsidR="000F7B26" w:rsidRDefault="00757301">
      <w:pPr>
        <w:pStyle w:val="TableofFigures"/>
        <w:tabs>
          <w:tab w:val="right" w:leader="dot" w:pos="9854"/>
        </w:tabs>
        <w:rPr>
          <w:rFonts w:eastAsiaTheme="minorEastAsia" w:cstheme="minorBidi"/>
          <w:i w:val="0"/>
          <w:iCs w:val="0"/>
          <w:noProof/>
          <w:sz w:val="22"/>
          <w:szCs w:val="22"/>
        </w:rPr>
      </w:pPr>
      <w:hyperlink w:anchor="_Toc123916654" w:history="1">
        <w:r w:rsidR="000F7B26" w:rsidRPr="00543AB4">
          <w:rPr>
            <w:rStyle w:val="Hyperlink"/>
            <w:noProof/>
          </w:rPr>
          <w:t>Tableau 19 : Projections d’émissions de CH</w:t>
        </w:r>
        <w:r w:rsidR="000F7B26" w:rsidRPr="00543AB4">
          <w:rPr>
            <w:rStyle w:val="Hyperlink"/>
            <w:noProof/>
            <w:vertAlign w:val="subscript"/>
          </w:rPr>
          <w:t>4</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_Toc123916654 \h </w:instrText>
        </w:r>
        <w:r w:rsidR="000F7B26">
          <w:rPr>
            <w:noProof/>
            <w:webHidden/>
          </w:rPr>
        </w:r>
        <w:r w:rsidR="000F7B26">
          <w:rPr>
            <w:noProof/>
            <w:webHidden/>
          </w:rPr>
          <w:fldChar w:fldCharType="separate"/>
        </w:r>
        <w:r w:rsidR="00677B3C">
          <w:rPr>
            <w:noProof/>
            <w:webHidden/>
          </w:rPr>
          <w:t>91</w:t>
        </w:r>
        <w:r w:rsidR="000F7B26">
          <w:rPr>
            <w:noProof/>
            <w:webHidden/>
          </w:rPr>
          <w:fldChar w:fldCharType="end"/>
        </w:r>
      </w:hyperlink>
    </w:p>
    <w:p w14:paraId="6EF9282F" w14:textId="05D811E1" w:rsidR="000F7B26" w:rsidRDefault="00757301">
      <w:pPr>
        <w:pStyle w:val="TableofFigures"/>
        <w:tabs>
          <w:tab w:val="right" w:leader="dot" w:pos="9854"/>
        </w:tabs>
        <w:rPr>
          <w:rFonts w:eastAsiaTheme="minorEastAsia" w:cstheme="minorBidi"/>
          <w:i w:val="0"/>
          <w:iCs w:val="0"/>
          <w:noProof/>
          <w:sz w:val="22"/>
          <w:szCs w:val="22"/>
        </w:rPr>
      </w:pPr>
      <w:hyperlink w:anchor="_Toc123916655" w:history="1">
        <w:r w:rsidR="000F7B26" w:rsidRPr="00543AB4">
          <w:rPr>
            <w:rStyle w:val="Hyperlink"/>
            <w:noProof/>
          </w:rPr>
          <w:t>Tableau 20 : Projections d’émissions de N</w:t>
        </w:r>
        <w:r w:rsidR="000F7B26" w:rsidRPr="00543AB4">
          <w:rPr>
            <w:rStyle w:val="Hyperlink"/>
            <w:noProof/>
            <w:vertAlign w:val="subscript"/>
          </w:rPr>
          <w:t>2</w:t>
        </w:r>
        <w:r w:rsidR="000F7B26" w:rsidRPr="00543AB4">
          <w:rPr>
            <w:rStyle w:val="Hyperlink"/>
            <w:noProof/>
          </w:rPr>
          <w:t>O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_Toc123916655 \h </w:instrText>
        </w:r>
        <w:r w:rsidR="000F7B26">
          <w:rPr>
            <w:noProof/>
            <w:webHidden/>
          </w:rPr>
        </w:r>
        <w:r w:rsidR="000F7B26">
          <w:rPr>
            <w:noProof/>
            <w:webHidden/>
          </w:rPr>
          <w:fldChar w:fldCharType="separate"/>
        </w:r>
        <w:r w:rsidR="00677B3C">
          <w:rPr>
            <w:noProof/>
            <w:webHidden/>
          </w:rPr>
          <w:t>91</w:t>
        </w:r>
        <w:r w:rsidR="000F7B26">
          <w:rPr>
            <w:noProof/>
            <w:webHidden/>
          </w:rPr>
          <w:fldChar w:fldCharType="end"/>
        </w:r>
      </w:hyperlink>
    </w:p>
    <w:p w14:paraId="67878C88" w14:textId="283750F7" w:rsidR="000F7B26" w:rsidRDefault="00757301">
      <w:pPr>
        <w:pStyle w:val="TableofFigures"/>
        <w:tabs>
          <w:tab w:val="right" w:leader="dot" w:pos="9854"/>
        </w:tabs>
        <w:rPr>
          <w:rFonts w:eastAsiaTheme="minorEastAsia" w:cstheme="minorBidi"/>
          <w:i w:val="0"/>
          <w:iCs w:val="0"/>
          <w:noProof/>
          <w:sz w:val="22"/>
          <w:szCs w:val="22"/>
        </w:rPr>
      </w:pPr>
      <w:hyperlink w:anchor="_Toc123916656" w:history="1">
        <w:r w:rsidR="000F7B26" w:rsidRPr="00543AB4">
          <w:rPr>
            <w:rStyle w:val="Hyperlink"/>
            <w:noProof/>
          </w:rPr>
          <w:t>Tableau 21 : Projections d’émissions de HFC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_Toc123916656 \h </w:instrText>
        </w:r>
        <w:r w:rsidR="000F7B26">
          <w:rPr>
            <w:noProof/>
            <w:webHidden/>
          </w:rPr>
        </w:r>
        <w:r w:rsidR="000F7B26">
          <w:rPr>
            <w:noProof/>
            <w:webHidden/>
          </w:rPr>
          <w:fldChar w:fldCharType="separate"/>
        </w:r>
        <w:r w:rsidR="00677B3C">
          <w:rPr>
            <w:noProof/>
            <w:webHidden/>
          </w:rPr>
          <w:t>91</w:t>
        </w:r>
        <w:r w:rsidR="000F7B26">
          <w:rPr>
            <w:noProof/>
            <w:webHidden/>
          </w:rPr>
          <w:fldChar w:fldCharType="end"/>
        </w:r>
      </w:hyperlink>
    </w:p>
    <w:p w14:paraId="5627282E" w14:textId="7AF39E12" w:rsidR="000F7B26" w:rsidRDefault="00757301">
      <w:pPr>
        <w:pStyle w:val="TableofFigures"/>
        <w:tabs>
          <w:tab w:val="right" w:leader="dot" w:pos="9854"/>
        </w:tabs>
        <w:rPr>
          <w:rFonts w:eastAsiaTheme="minorEastAsia" w:cstheme="minorBidi"/>
          <w:i w:val="0"/>
          <w:iCs w:val="0"/>
          <w:noProof/>
          <w:sz w:val="22"/>
          <w:szCs w:val="22"/>
        </w:rPr>
      </w:pPr>
      <w:hyperlink w:anchor="_Toc123916657" w:history="1">
        <w:r w:rsidR="000F7B26" w:rsidRPr="00543AB4">
          <w:rPr>
            <w:rStyle w:val="Hyperlink"/>
            <w:noProof/>
          </w:rPr>
          <w:t>Tableau 22 : Projections d’émissions de PFC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_Toc123916657 \h </w:instrText>
        </w:r>
        <w:r w:rsidR="000F7B26">
          <w:rPr>
            <w:noProof/>
            <w:webHidden/>
          </w:rPr>
        </w:r>
        <w:r w:rsidR="000F7B26">
          <w:rPr>
            <w:noProof/>
            <w:webHidden/>
          </w:rPr>
          <w:fldChar w:fldCharType="separate"/>
        </w:r>
        <w:r w:rsidR="00677B3C">
          <w:rPr>
            <w:noProof/>
            <w:webHidden/>
          </w:rPr>
          <w:t>92</w:t>
        </w:r>
        <w:r w:rsidR="000F7B26">
          <w:rPr>
            <w:noProof/>
            <w:webHidden/>
          </w:rPr>
          <w:fldChar w:fldCharType="end"/>
        </w:r>
      </w:hyperlink>
    </w:p>
    <w:p w14:paraId="373D4055" w14:textId="0C9A72BD" w:rsidR="000F7B26" w:rsidRDefault="00757301">
      <w:pPr>
        <w:pStyle w:val="TableofFigures"/>
        <w:tabs>
          <w:tab w:val="right" w:leader="dot" w:pos="9854"/>
        </w:tabs>
        <w:rPr>
          <w:rFonts w:eastAsiaTheme="minorEastAsia" w:cstheme="minorBidi"/>
          <w:i w:val="0"/>
          <w:iCs w:val="0"/>
          <w:noProof/>
          <w:sz w:val="22"/>
          <w:szCs w:val="22"/>
        </w:rPr>
      </w:pPr>
      <w:hyperlink w:anchor="_Toc123916658" w:history="1">
        <w:r w:rsidR="000F7B26" w:rsidRPr="00543AB4">
          <w:rPr>
            <w:rStyle w:val="Hyperlink"/>
            <w:noProof/>
          </w:rPr>
          <w:t>Tableau 23 : Projections d’émissions de SF</w:t>
        </w:r>
        <w:r w:rsidR="000F7B26" w:rsidRPr="00543AB4">
          <w:rPr>
            <w:rStyle w:val="Hyperlink"/>
            <w:noProof/>
            <w:vertAlign w:val="subscript"/>
          </w:rPr>
          <w:t>6</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_Toc123916658 \h </w:instrText>
        </w:r>
        <w:r w:rsidR="000F7B26">
          <w:rPr>
            <w:noProof/>
            <w:webHidden/>
          </w:rPr>
        </w:r>
        <w:r w:rsidR="000F7B26">
          <w:rPr>
            <w:noProof/>
            <w:webHidden/>
          </w:rPr>
          <w:fldChar w:fldCharType="separate"/>
        </w:r>
        <w:r w:rsidR="00677B3C">
          <w:rPr>
            <w:noProof/>
            <w:webHidden/>
          </w:rPr>
          <w:t>92</w:t>
        </w:r>
        <w:r w:rsidR="000F7B26">
          <w:rPr>
            <w:noProof/>
            <w:webHidden/>
          </w:rPr>
          <w:fldChar w:fldCharType="end"/>
        </w:r>
      </w:hyperlink>
    </w:p>
    <w:p w14:paraId="43D9CBA1" w14:textId="08704A38" w:rsidR="000F7B26" w:rsidRDefault="00757301">
      <w:pPr>
        <w:pStyle w:val="TableofFigures"/>
        <w:tabs>
          <w:tab w:val="right" w:leader="dot" w:pos="9854"/>
        </w:tabs>
        <w:rPr>
          <w:rFonts w:eastAsiaTheme="minorEastAsia" w:cstheme="minorBidi"/>
          <w:i w:val="0"/>
          <w:iCs w:val="0"/>
          <w:noProof/>
          <w:sz w:val="22"/>
          <w:szCs w:val="22"/>
        </w:rPr>
      </w:pPr>
      <w:hyperlink w:anchor="_Toc123916659" w:history="1">
        <w:r w:rsidR="000F7B26" w:rsidRPr="00543AB4">
          <w:rPr>
            <w:rStyle w:val="Hyperlink"/>
            <w:noProof/>
          </w:rPr>
          <w:t>Tableau 24 : Projections d’émissions de NF</w:t>
        </w:r>
        <w:r w:rsidR="000F7B26" w:rsidRPr="00543AB4">
          <w:rPr>
            <w:rStyle w:val="Hyperlink"/>
            <w:noProof/>
            <w:vertAlign w:val="subscript"/>
          </w:rPr>
          <w:t>3</w:t>
        </w:r>
        <w:r w:rsidR="000F7B26" w:rsidRPr="00543AB4">
          <w:rPr>
            <w:rStyle w:val="Hyperlink"/>
            <w:noProof/>
          </w:rPr>
          <w:t xml:space="preserve"> (en ktCO</w:t>
        </w:r>
        <w:r w:rsidR="000F7B26" w:rsidRPr="00543AB4">
          <w:rPr>
            <w:rStyle w:val="Hyperlink"/>
            <w:noProof/>
            <w:vertAlign w:val="subscript"/>
          </w:rPr>
          <w:t>2e</w:t>
        </w:r>
        <w:r w:rsidR="000F7B26" w:rsidRPr="00543AB4">
          <w:rPr>
            <w:rStyle w:val="Hyperlink"/>
            <w:noProof/>
          </w:rPr>
          <w:t>) au périmètre Kyoto dans le scénario AMS 2018 (avec mesures supplémentaires)</w:t>
        </w:r>
        <w:r w:rsidR="000F7B26">
          <w:rPr>
            <w:noProof/>
            <w:webHidden/>
          </w:rPr>
          <w:tab/>
        </w:r>
        <w:r w:rsidR="000F7B26">
          <w:rPr>
            <w:noProof/>
            <w:webHidden/>
          </w:rPr>
          <w:fldChar w:fldCharType="begin"/>
        </w:r>
        <w:r w:rsidR="000F7B26">
          <w:rPr>
            <w:noProof/>
            <w:webHidden/>
          </w:rPr>
          <w:instrText xml:space="preserve"> PAGEREF _Toc123916659 \h </w:instrText>
        </w:r>
        <w:r w:rsidR="000F7B26">
          <w:rPr>
            <w:noProof/>
            <w:webHidden/>
          </w:rPr>
        </w:r>
        <w:r w:rsidR="000F7B26">
          <w:rPr>
            <w:noProof/>
            <w:webHidden/>
          </w:rPr>
          <w:fldChar w:fldCharType="separate"/>
        </w:r>
        <w:r w:rsidR="00677B3C">
          <w:rPr>
            <w:noProof/>
            <w:webHidden/>
          </w:rPr>
          <w:t>92</w:t>
        </w:r>
        <w:r w:rsidR="000F7B26">
          <w:rPr>
            <w:noProof/>
            <w:webHidden/>
          </w:rPr>
          <w:fldChar w:fldCharType="end"/>
        </w:r>
      </w:hyperlink>
    </w:p>
    <w:p w14:paraId="1565B5A9" w14:textId="50EBF4DF" w:rsidR="000F7B26" w:rsidRDefault="00757301">
      <w:pPr>
        <w:pStyle w:val="TableofFigures"/>
        <w:tabs>
          <w:tab w:val="right" w:leader="dot" w:pos="9854"/>
        </w:tabs>
        <w:rPr>
          <w:rFonts w:eastAsiaTheme="minorEastAsia" w:cstheme="minorBidi"/>
          <w:i w:val="0"/>
          <w:iCs w:val="0"/>
          <w:noProof/>
          <w:sz w:val="22"/>
          <w:szCs w:val="22"/>
        </w:rPr>
      </w:pPr>
      <w:hyperlink w:anchor="_Toc123916660" w:history="1">
        <w:r w:rsidR="000F7B26" w:rsidRPr="00543AB4">
          <w:rPr>
            <w:rStyle w:val="Hyperlink"/>
            <w:noProof/>
          </w:rPr>
          <w:t>Tableau 25 : Détail des outils et modèles utilisés</w:t>
        </w:r>
        <w:r w:rsidR="000F7B26">
          <w:rPr>
            <w:noProof/>
            <w:webHidden/>
          </w:rPr>
          <w:tab/>
        </w:r>
        <w:r w:rsidR="000F7B26">
          <w:rPr>
            <w:noProof/>
            <w:webHidden/>
          </w:rPr>
          <w:fldChar w:fldCharType="begin"/>
        </w:r>
        <w:r w:rsidR="000F7B26">
          <w:rPr>
            <w:noProof/>
            <w:webHidden/>
          </w:rPr>
          <w:instrText xml:space="preserve"> PAGEREF _Toc123916660 \h </w:instrText>
        </w:r>
        <w:r w:rsidR="000F7B26">
          <w:rPr>
            <w:noProof/>
            <w:webHidden/>
          </w:rPr>
        </w:r>
        <w:r w:rsidR="000F7B26">
          <w:rPr>
            <w:noProof/>
            <w:webHidden/>
          </w:rPr>
          <w:fldChar w:fldCharType="separate"/>
        </w:r>
        <w:r w:rsidR="00677B3C">
          <w:rPr>
            <w:noProof/>
            <w:webHidden/>
          </w:rPr>
          <w:t>94</w:t>
        </w:r>
        <w:r w:rsidR="000F7B26">
          <w:rPr>
            <w:noProof/>
            <w:webHidden/>
          </w:rPr>
          <w:fldChar w:fldCharType="end"/>
        </w:r>
      </w:hyperlink>
    </w:p>
    <w:p w14:paraId="79F6C385" w14:textId="24FB9C85" w:rsidR="000F7B26" w:rsidRDefault="00757301">
      <w:pPr>
        <w:pStyle w:val="TableofFigures"/>
        <w:tabs>
          <w:tab w:val="right" w:leader="dot" w:pos="9854"/>
        </w:tabs>
        <w:rPr>
          <w:rFonts w:eastAsiaTheme="minorEastAsia" w:cstheme="minorBidi"/>
          <w:i w:val="0"/>
          <w:iCs w:val="0"/>
          <w:noProof/>
          <w:sz w:val="22"/>
          <w:szCs w:val="22"/>
        </w:rPr>
      </w:pPr>
      <w:hyperlink w:anchor="_Toc123916661" w:history="1">
        <w:r w:rsidR="000F7B26" w:rsidRPr="00543AB4">
          <w:rPr>
            <w:rStyle w:val="Hyperlink"/>
            <w:noProof/>
          </w:rPr>
          <w:t>Tableau 26 : Hypothèses de prix des énergies importées (en € 2013/boe) dans l’AME 21 et l’AMS 18</w:t>
        </w:r>
        <w:r w:rsidR="000F7B26">
          <w:rPr>
            <w:noProof/>
            <w:webHidden/>
          </w:rPr>
          <w:tab/>
        </w:r>
        <w:r w:rsidR="000F7B26">
          <w:rPr>
            <w:noProof/>
            <w:webHidden/>
          </w:rPr>
          <w:fldChar w:fldCharType="begin"/>
        </w:r>
        <w:r w:rsidR="000F7B26">
          <w:rPr>
            <w:noProof/>
            <w:webHidden/>
          </w:rPr>
          <w:instrText xml:space="preserve"> PAGEREF _Toc123916661 \h </w:instrText>
        </w:r>
        <w:r w:rsidR="000F7B26">
          <w:rPr>
            <w:noProof/>
            <w:webHidden/>
          </w:rPr>
        </w:r>
        <w:r w:rsidR="000F7B26">
          <w:rPr>
            <w:noProof/>
            <w:webHidden/>
          </w:rPr>
          <w:fldChar w:fldCharType="separate"/>
        </w:r>
        <w:r w:rsidR="00677B3C">
          <w:rPr>
            <w:noProof/>
            <w:webHidden/>
          </w:rPr>
          <w:t>96</w:t>
        </w:r>
        <w:r w:rsidR="000F7B26">
          <w:rPr>
            <w:noProof/>
            <w:webHidden/>
          </w:rPr>
          <w:fldChar w:fldCharType="end"/>
        </w:r>
      </w:hyperlink>
    </w:p>
    <w:p w14:paraId="0AB7CF30" w14:textId="005CD720" w:rsidR="000F7B26" w:rsidRDefault="00757301">
      <w:pPr>
        <w:pStyle w:val="TableofFigures"/>
        <w:tabs>
          <w:tab w:val="right" w:leader="dot" w:pos="9854"/>
        </w:tabs>
        <w:rPr>
          <w:rFonts w:eastAsiaTheme="minorEastAsia" w:cstheme="minorBidi"/>
          <w:i w:val="0"/>
          <w:iCs w:val="0"/>
          <w:noProof/>
          <w:sz w:val="22"/>
          <w:szCs w:val="22"/>
        </w:rPr>
      </w:pPr>
      <w:hyperlink w:anchor="_Toc123916662" w:history="1">
        <w:r w:rsidR="000F7B26" w:rsidRPr="00543AB4">
          <w:rPr>
            <w:rStyle w:val="Hyperlink"/>
            <w:noProof/>
          </w:rPr>
          <w:t>Tableau 27 : Hypothèses de prix du carbone sous l'ETS</w:t>
        </w:r>
        <w:r w:rsidR="000F7B26">
          <w:rPr>
            <w:noProof/>
            <w:webHidden/>
          </w:rPr>
          <w:tab/>
        </w:r>
        <w:r w:rsidR="000F7B26">
          <w:rPr>
            <w:noProof/>
            <w:webHidden/>
          </w:rPr>
          <w:fldChar w:fldCharType="begin"/>
        </w:r>
        <w:r w:rsidR="000F7B26">
          <w:rPr>
            <w:noProof/>
            <w:webHidden/>
          </w:rPr>
          <w:instrText xml:space="preserve"> PAGEREF _Toc123916662 \h </w:instrText>
        </w:r>
        <w:r w:rsidR="000F7B26">
          <w:rPr>
            <w:noProof/>
            <w:webHidden/>
          </w:rPr>
        </w:r>
        <w:r w:rsidR="000F7B26">
          <w:rPr>
            <w:noProof/>
            <w:webHidden/>
          </w:rPr>
          <w:fldChar w:fldCharType="separate"/>
        </w:r>
        <w:r w:rsidR="00677B3C">
          <w:rPr>
            <w:noProof/>
            <w:webHidden/>
          </w:rPr>
          <w:t>97</w:t>
        </w:r>
        <w:r w:rsidR="000F7B26">
          <w:rPr>
            <w:noProof/>
            <w:webHidden/>
          </w:rPr>
          <w:fldChar w:fldCharType="end"/>
        </w:r>
      </w:hyperlink>
    </w:p>
    <w:p w14:paraId="4894204E" w14:textId="45DA29A3" w:rsidR="000F7B26" w:rsidRDefault="00757301">
      <w:pPr>
        <w:pStyle w:val="TableofFigures"/>
        <w:tabs>
          <w:tab w:val="right" w:leader="dot" w:pos="9854"/>
        </w:tabs>
        <w:rPr>
          <w:rFonts w:eastAsiaTheme="minorEastAsia" w:cstheme="minorBidi"/>
          <w:i w:val="0"/>
          <w:iCs w:val="0"/>
          <w:noProof/>
          <w:sz w:val="22"/>
          <w:szCs w:val="22"/>
        </w:rPr>
      </w:pPr>
      <w:hyperlink w:anchor="_Toc123916663" w:history="1">
        <w:r w:rsidR="000F7B26" w:rsidRPr="00543AB4">
          <w:rPr>
            <w:rStyle w:val="Hyperlink"/>
            <w:noProof/>
          </w:rPr>
          <w:t>Tableau 28 : Hypothèses de croissance de la population pour l’AME 2021</w:t>
        </w:r>
        <w:r w:rsidR="000F7B26">
          <w:rPr>
            <w:noProof/>
            <w:webHidden/>
          </w:rPr>
          <w:tab/>
        </w:r>
        <w:r w:rsidR="000F7B26">
          <w:rPr>
            <w:noProof/>
            <w:webHidden/>
          </w:rPr>
          <w:fldChar w:fldCharType="begin"/>
        </w:r>
        <w:r w:rsidR="000F7B26">
          <w:rPr>
            <w:noProof/>
            <w:webHidden/>
          </w:rPr>
          <w:instrText xml:space="preserve"> PAGEREF _Toc123916663 \h </w:instrText>
        </w:r>
        <w:r w:rsidR="000F7B26">
          <w:rPr>
            <w:noProof/>
            <w:webHidden/>
          </w:rPr>
        </w:r>
        <w:r w:rsidR="000F7B26">
          <w:rPr>
            <w:noProof/>
            <w:webHidden/>
          </w:rPr>
          <w:fldChar w:fldCharType="separate"/>
        </w:r>
        <w:r w:rsidR="00677B3C">
          <w:rPr>
            <w:noProof/>
            <w:webHidden/>
          </w:rPr>
          <w:t>97</w:t>
        </w:r>
        <w:r w:rsidR="000F7B26">
          <w:rPr>
            <w:noProof/>
            <w:webHidden/>
          </w:rPr>
          <w:fldChar w:fldCharType="end"/>
        </w:r>
      </w:hyperlink>
    </w:p>
    <w:p w14:paraId="75A82F31" w14:textId="7E81AA85" w:rsidR="000F7B26" w:rsidRDefault="00757301">
      <w:pPr>
        <w:pStyle w:val="TableofFigures"/>
        <w:tabs>
          <w:tab w:val="right" w:leader="dot" w:pos="9854"/>
        </w:tabs>
        <w:rPr>
          <w:rFonts w:eastAsiaTheme="minorEastAsia" w:cstheme="minorBidi"/>
          <w:i w:val="0"/>
          <w:iCs w:val="0"/>
          <w:noProof/>
          <w:sz w:val="22"/>
          <w:szCs w:val="22"/>
        </w:rPr>
      </w:pPr>
      <w:hyperlink w:anchor="_Toc123916664" w:history="1">
        <w:r w:rsidR="000F7B26" w:rsidRPr="00543AB4">
          <w:rPr>
            <w:rStyle w:val="Hyperlink"/>
            <w:noProof/>
          </w:rPr>
          <w:t>Tableau 29 : Hypothèses de croissance de la population pour l’AMS 2018</w:t>
        </w:r>
        <w:r w:rsidR="000F7B26">
          <w:rPr>
            <w:noProof/>
            <w:webHidden/>
          </w:rPr>
          <w:tab/>
        </w:r>
        <w:r w:rsidR="000F7B26">
          <w:rPr>
            <w:noProof/>
            <w:webHidden/>
          </w:rPr>
          <w:fldChar w:fldCharType="begin"/>
        </w:r>
        <w:r w:rsidR="000F7B26">
          <w:rPr>
            <w:noProof/>
            <w:webHidden/>
          </w:rPr>
          <w:instrText xml:space="preserve"> PAGEREF _Toc123916664 \h </w:instrText>
        </w:r>
        <w:r w:rsidR="000F7B26">
          <w:rPr>
            <w:noProof/>
            <w:webHidden/>
          </w:rPr>
        </w:r>
        <w:r w:rsidR="000F7B26">
          <w:rPr>
            <w:noProof/>
            <w:webHidden/>
          </w:rPr>
          <w:fldChar w:fldCharType="separate"/>
        </w:r>
        <w:r w:rsidR="00677B3C">
          <w:rPr>
            <w:noProof/>
            <w:webHidden/>
          </w:rPr>
          <w:t>97</w:t>
        </w:r>
        <w:r w:rsidR="000F7B26">
          <w:rPr>
            <w:noProof/>
            <w:webHidden/>
          </w:rPr>
          <w:fldChar w:fldCharType="end"/>
        </w:r>
      </w:hyperlink>
    </w:p>
    <w:p w14:paraId="5027695B" w14:textId="3D9651D2" w:rsidR="000F7B26" w:rsidRDefault="00757301">
      <w:pPr>
        <w:pStyle w:val="TableofFigures"/>
        <w:tabs>
          <w:tab w:val="right" w:leader="dot" w:pos="9854"/>
        </w:tabs>
        <w:rPr>
          <w:rFonts w:eastAsiaTheme="minorEastAsia" w:cstheme="minorBidi"/>
          <w:i w:val="0"/>
          <w:iCs w:val="0"/>
          <w:noProof/>
          <w:sz w:val="22"/>
          <w:szCs w:val="22"/>
        </w:rPr>
      </w:pPr>
      <w:hyperlink w:anchor="_Toc123916665" w:history="1">
        <w:r w:rsidR="000F7B26" w:rsidRPr="00543AB4">
          <w:rPr>
            <w:rStyle w:val="Hyperlink"/>
            <w:noProof/>
          </w:rPr>
          <w:t>Tableau 30 : Hypothèses de croissance du PIB</w:t>
        </w:r>
        <w:r w:rsidR="000F7B26">
          <w:rPr>
            <w:noProof/>
            <w:webHidden/>
          </w:rPr>
          <w:tab/>
        </w:r>
        <w:r w:rsidR="000F7B26">
          <w:rPr>
            <w:noProof/>
            <w:webHidden/>
          </w:rPr>
          <w:fldChar w:fldCharType="begin"/>
        </w:r>
        <w:r w:rsidR="000F7B26">
          <w:rPr>
            <w:noProof/>
            <w:webHidden/>
          </w:rPr>
          <w:instrText xml:space="preserve"> PAGEREF _Toc123916665 \h </w:instrText>
        </w:r>
        <w:r w:rsidR="000F7B26">
          <w:rPr>
            <w:noProof/>
            <w:webHidden/>
          </w:rPr>
        </w:r>
        <w:r w:rsidR="000F7B26">
          <w:rPr>
            <w:noProof/>
            <w:webHidden/>
          </w:rPr>
          <w:fldChar w:fldCharType="separate"/>
        </w:r>
        <w:r w:rsidR="00677B3C">
          <w:rPr>
            <w:noProof/>
            <w:webHidden/>
          </w:rPr>
          <w:t>98</w:t>
        </w:r>
        <w:r w:rsidR="000F7B26">
          <w:rPr>
            <w:noProof/>
            <w:webHidden/>
          </w:rPr>
          <w:fldChar w:fldCharType="end"/>
        </w:r>
      </w:hyperlink>
    </w:p>
    <w:p w14:paraId="130199F5" w14:textId="50B75758" w:rsidR="000F7B26" w:rsidRDefault="00757301">
      <w:pPr>
        <w:pStyle w:val="TableofFigures"/>
        <w:tabs>
          <w:tab w:val="right" w:leader="dot" w:pos="9854"/>
        </w:tabs>
        <w:rPr>
          <w:rFonts w:eastAsiaTheme="minorEastAsia" w:cstheme="minorBidi"/>
          <w:i w:val="0"/>
          <w:iCs w:val="0"/>
          <w:noProof/>
          <w:sz w:val="22"/>
          <w:szCs w:val="22"/>
        </w:rPr>
      </w:pPr>
      <w:hyperlink w:anchor="_Toc123916666" w:history="1">
        <w:r w:rsidR="000F7B26" w:rsidRPr="00543AB4">
          <w:rPr>
            <w:rStyle w:val="Hyperlink"/>
            <w:noProof/>
          </w:rPr>
          <w:t>Tableau 31 : Hypothèses d’évolutions de la valeur ajoutée industrielle</w:t>
        </w:r>
        <w:r w:rsidR="000F7B26">
          <w:rPr>
            <w:noProof/>
            <w:webHidden/>
          </w:rPr>
          <w:tab/>
        </w:r>
        <w:r w:rsidR="000F7B26">
          <w:rPr>
            <w:noProof/>
            <w:webHidden/>
          </w:rPr>
          <w:fldChar w:fldCharType="begin"/>
        </w:r>
        <w:r w:rsidR="000F7B26">
          <w:rPr>
            <w:noProof/>
            <w:webHidden/>
          </w:rPr>
          <w:instrText xml:space="preserve"> PAGEREF _Toc123916666 \h </w:instrText>
        </w:r>
        <w:r w:rsidR="000F7B26">
          <w:rPr>
            <w:noProof/>
            <w:webHidden/>
          </w:rPr>
        </w:r>
        <w:r w:rsidR="000F7B26">
          <w:rPr>
            <w:noProof/>
            <w:webHidden/>
          </w:rPr>
          <w:fldChar w:fldCharType="separate"/>
        </w:r>
        <w:r w:rsidR="00677B3C">
          <w:rPr>
            <w:noProof/>
            <w:webHidden/>
          </w:rPr>
          <w:t>99</w:t>
        </w:r>
        <w:r w:rsidR="000F7B26">
          <w:rPr>
            <w:noProof/>
            <w:webHidden/>
          </w:rPr>
          <w:fldChar w:fldCharType="end"/>
        </w:r>
      </w:hyperlink>
    </w:p>
    <w:p w14:paraId="3F7C13EF" w14:textId="74425516" w:rsidR="000F7B26" w:rsidRDefault="00757301">
      <w:pPr>
        <w:pStyle w:val="TableofFigures"/>
        <w:tabs>
          <w:tab w:val="right" w:leader="dot" w:pos="9854"/>
        </w:tabs>
        <w:rPr>
          <w:rFonts w:eastAsiaTheme="minorEastAsia" w:cstheme="minorBidi"/>
          <w:i w:val="0"/>
          <w:iCs w:val="0"/>
          <w:noProof/>
          <w:sz w:val="22"/>
          <w:szCs w:val="22"/>
        </w:rPr>
      </w:pPr>
      <w:hyperlink w:anchor="_Toc123916667" w:history="1">
        <w:r w:rsidR="000F7B26" w:rsidRPr="00543AB4">
          <w:rPr>
            <w:rStyle w:val="Hyperlink"/>
            <w:noProof/>
          </w:rPr>
          <w:t>Tableau 32 : Table CTF9 – Programme et projets de renforcement de capacité</w:t>
        </w:r>
        <w:r w:rsidR="000F7B26">
          <w:rPr>
            <w:noProof/>
            <w:webHidden/>
          </w:rPr>
          <w:tab/>
        </w:r>
        <w:r w:rsidR="000F7B26">
          <w:rPr>
            <w:noProof/>
            <w:webHidden/>
          </w:rPr>
          <w:fldChar w:fldCharType="begin"/>
        </w:r>
        <w:r w:rsidR="000F7B26">
          <w:rPr>
            <w:noProof/>
            <w:webHidden/>
          </w:rPr>
          <w:instrText xml:space="preserve"> PAGEREF _Toc123916667 \h </w:instrText>
        </w:r>
        <w:r w:rsidR="000F7B26">
          <w:rPr>
            <w:noProof/>
            <w:webHidden/>
          </w:rPr>
        </w:r>
        <w:r w:rsidR="000F7B26">
          <w:rPr>
            <w:noProof/>
            <w:webHidden/>
          </w:rPr>
          <w:fldChar w:fldCharType="separate"/>
        </w:r>
        <w:r w:rsidR="00677B3C">
          <w:rPr>
            <w:noProof/>
            <w:webHidden/>
          </w:rPr>
          <w:t>111</w:t>
        </w:r>
        <w:r w:rsidR="000F7B26">
          <w:rPr>
            <w:noProof/>
            <w:webHidden/>
          </w:rPr>
          <w:fldChar w:fldCharType="end"/>
        </w:r>
      </w:hyperlink>
    </w:p>
    <w:p w14:paraId="1615A00D" w14:textId="04186BC7" w:rsidR="000F7B26" w:rsidRDefault="00757301">
      <w:pPr>
        <w:pStyle w:val="TableofFigures"/>
        <w:tabs>
          <w:tab w:val="right" w:leader="dot" w:pos="9854"/>
        </w:tabs>
        <w:rPr>
          <w:rFonts w:eastAsiaTheme="minorEastAsia" w:cstheme="minorBidi"/>
          <w:i w:val="0"/>
          <w:iCs w:val="0"/>
          <w:noProof/>
          <w:sz w:val="22"/>
          <w:szCs w:val="22"/>
        </w:rPr>
      </w:pPr>
      <w:hyperlink w:anchor="_Toc123916668" w:history="1">
        <w:r w:rsidR="000F7B26" w:rsidRPr="00543AB4">
          <w:rPr>
            <w:rStyle w:val="Hyperlink"/>
            <w:noProof/>
          </w:rPr>
          <w:t>Tableau 33 : Emissions par secteur en 2020 pour le périmètre Convention (Table Summary 2)</w:t>
        </w:r>
        <w:r w:rsidR="000F7B26">
          <w:rPr>
            <w:noProof/>
            <w:webHidden/>
          </w:rPr>
          <w:tab/>
        </w:r>
        <w:r w:rsidR="000F7B26">
          <w:rPr>
            <w:noProof/>
            <w:webHidden/>
          </w:rPr>
          <w:fldChar w:fldCharType="begin"/>
        </w:r>
        <w:r w:rsidR="000F7B26">
          <w:rPr>
            <w:noProof/>
            <w:webHidden/>
          </w:rPr>
          <w:instrText xml:space="preserve"> PAGEREF _Toc123916668 \h </w:instrText>
        </w:r>
        <w:r w:rsidR="000F7B26">
          <w:rPr>
            <w:noProof/>
            <w:webHidden/>
          </w:rPr>
        </w:r>
        <w:r w:rsidR="000F7B26">
          <w:rPr>
            <w:noProof/>
            <w:webHidden/>
          </w:rPr>
          <w:fldChar w:fldCharType="separate"/>
        </w:r>
        <w:r w:rsidR="00677B3C">
          <w:rPr>
            <w:noProof/>
            <w:webHidden/>
          </w:rPr>
          <w:t>115</w:t>
        </w:r>
        <w:r w:rsidR="000F7B26">
          <w:rPr>
            <w:noProof/>
            <w:webHidden/>
          </w:rPr>
          <w:fldChar w:fldCharType="end"/>
        </w:r>
      </w:hyperlink>
    </w:p>
    <w:p w14:paraId="56A9DF99" w14:textId="5DF2BAD0" w:rsidR="000F7B26" w:rsidRDefault="00757301">
      <w:pPr>
        <w:pStyle w:val="TableofFigures"/>
        <w:tabs>
          <w:tab w:val="right" w:leader="dot" w:pos="9854"/>
        </w:tabs>
        <w:rPr>
          <w:rFonts w:eastAsiaTheme="minorEastAsia" w:cstheme="minorBidi"/>
          <w:i w:val="0"/>
          <w:iCs w:val="0"/>
          <w:noProof/>
          <w:sz w:val="22"/>
          <w:szCs w:val="22"/>
        </w:rPr>
      </w:pPr>
      <w:hyperlink w:anchor="_Toc123916669" w:history="1">
        <w:r w:rsidR="000F7B26" w:rsidRPr="00543AB4">
          <w:rPr>
            <w:rStyle w:val="Hyperlink"/>
            <w:noProof/>
          </w:rPr>
          <w:t>Tableau 34 : Emissions par secteur en 2020 pour le périmètre Kyoto (Table Summary 2)</w:t>
        </w:r>
        <w:r w:rsidR="000F7B26">
          <w:rPr>
            <w:noProof/>
            <w:webHidden/>
          </w:rPr>
          <w:tab/>
        </w:r>
        <w:r w:rsidR="000F7B26">
          <w:rPr>
            <w:noProof/>
            <w:webHidden/>
          </w:rPr>
          <w:fldChar w:fldCharType="begin"/>
        </w:r>
        <w:r w:rsidR="000F7B26">
          <w:rPr>
            <w:noProof/>
            <w:webHidden/>
          </w:rPr>
          <w:instrText xml:space="preserve"> PAGEREF _Toc123916669 \h </w:instrText>
        </w:r>
        <w:r w:rsidR="000F7B26">
          <w:rPr>
            <w:noProof/>
            <w:webHidden/>
          </w:rPr>
        </w:r>
        <w:r w:rsidR="000F7B26">
          <w:rPr>
            <w:noProof/>
            <w:webHidden/>
          </w:rPr>
          <w:fldChar w:fldCharType="separate"/>
        </w:r>
        <w:r w:rsidR="00677B3C">
          <w:rPr>
            <w:noProof/>
            <w:webHidden/>
          </w:rPr>
          <w:t>116</w:t>
        </w:r>
        <w:r w:rsidR="000F7B26">
          <w:rPr>
            <w:noProof/>
            <w:webHidden/>
          </w:rPr>
          <w:fldChar w:fldCharType="end"/>
        </w:r>
      </w:hyperlink>
    </w:p>
    <w:p w14:paraId="4DF3D85B" w14:textId="41BAE533" w:rsidR="000F7B26" w:rsidRDefault="00757301">
      <w:pPr>
        <w:pStyle w:val="TableofFigures"/>
        <w:tabs>
          <w:tab w:val="right" w:leader="dot" w:pos="9854"/>
        </w:tabs>
        <w:rPr>
          <w:rFonts w:eastAsiaTheme="minorEastAsia" w:cstheme="minorBidi"/>
          <w:i w:val="0"/>
          <w:iCs w:val="0"/>
          <w:noProof/>
          <w:sz w:val="22"/>
          <w:szCs w:val="22"/>
        </w:rPr>
      </w:pPr>
      <w:hyperlink w:anchor="_Toc123916670" w:history="1">
        <w:r w:rsidR="000F7B26" w:rsidRPr="00543AB4">
          <w:rPr>
            <w:rStyle w:val="Hyperlink"/>
            <w:noProof/>
          </w:rPr>
          <w:t>Tableau 35 : Résumé de l'apport de soutien financier et technologique aux pays en voie de développement en 2019</w:t>
        </w:r>
        <w:r w:rsidR="000F7B26">
          <w:rPr>
            <w:noProof/>
            <w:webHidden/>
          </w:rPr>
          <w:tab/>
        </w:r>
        <w:r w:rsidR="000F7B26">
          <w:rPr>
            <w:noProof/>
            <w:webHidden/>
          </w:rPr>
          <w:fldChar w:fldCharType="begin"/>
        </w:r>
        <w:r w:rsidR="000F7B26">
          <w:rPr>
            <w:noProof/>
            <w:webHidden/>
          </w:rPr>
          <w:instrText xml:space="preserve"> PAGEREF _Toc123916670 \h </w:instrText>
        </w:r>
        <w:r w:rsidR="000F7B26">
          <w:rPr>
            <w:noProof/>
            <w:webHidden/>
          </w:rPr>
        </w:r>
        <w:r w:rsidR="000F7B26">
          <w:rPr>
            <w:noProof/>
            <w:webHidden/>
          </w:rPr>
          <w:fldChar w:fldCharType="separate"/>
        </w:r>
        <w:r w:rsidR="00677B3C">
          <w:rPr>
            <w:noProof/>
            <w:webHidden/>
          </w:rPr>
          <w:t>117</w:t>
        </w:r>
        <w:r w:rsidR="000F7B26">
          <w:rPr>
            <w:noProof/>
            <w:webHidden/>
          </w:rPr>
          <w:fldChar w:fldCharType="end"/>
        </w:r>
      </w:hyperlink>
    </w:p>
    <w:p w14:paraId="1EC00ADB" w14:textId="6DEA1C80" w:rsidR="000F7B26" w:rsidRDefault="00757301">
      <w:pPr>
        <w:pStyle w:val="TableofFigures"/>
        <w:tabs>
          <w:tab w:val="right" w:leader="dot" w:pos="9854"/>
        </w:tabs>
        <w:rPr>
          <w:rFonts w:eastAsiaTheme="minorEastAsia" w:cstheme="minorBidi"/>
          <w:i w:val="0"/>
          <w:iCs w:val="0"/>
          <w:noProof/>
          <w:sz w:val="22"/>
          <w:szCs w:val="22"/>
        </w:rPr>
      </w:pPr>
      <w:hyperlink w:anchor="_Toc123916671" w:history="1">
        <w:r w:rsidR="000F7B26" w:rsidRPr="00543AB4">
          <w:rPr>
            <w:rStyle w:val="Hyperlink"/>
            <w:noProof/>
          </w:rPr>
          <w:t>Tableau 36 : Résumé de l'apport de soutien financier et technologique aux pays en voie de développement en 2020</w:t>
        </w:r>
        <w:r w:rsidR="000F7B26">
          <w:rPr>
            <w:noProof/>
            <w:webHidden/>
          </w:rPr>
          <w:tab/>
        </w:r>
        <w:r w:rsidR="000F7B26">
          <w:rPr>
            <w:noProof/>
            <w:webHidden/>
          </w:rPr>
          <w:fldChar w:fldCharType="begin"/>
        </w:r>
        <w:r w:rsidR="000F7B26">
          <w:rPr>
            <w:noProof/>
            <w:webHidden/>
          </w:rPr>
          <w:instrText xml:space="preserve"> PAGEREF _Toc123916671 \h </w:instrText>
        </w:r>
        <w:r w:rsidR="000F7B26">
          <w:rPr>
            <w:noProof/>
            <w:webHidden/>
          </w:rPr>
        </w:r>
        <w:r w:rsidR="000F7B26">
          <w:rPr>
            <w:noProof/>
            <w:webHidden/>
          </w:rPr>
          <w:fldChar w:fldCharType="separate"/>
        </w:r>
        <w:r w:rsidR="00677B3C">
          <w:rPr>
            <w:noProof/>
            <w:webHidden/>
          </w:rPr>
          <w:t>118</w:t>
        </w:r>
        <w:r w:rsidR="000F7B26">
          <w:rPr>
            <w:noProof/>
            <w:webHidden/>
          </w:rPr>
          <w:fldChar w:fldCharType="end"/>
        </w:r>
      </w:hyperlink>
    </w:p>
    <w:p w14:paraId="486D2755" w14:textId="409F05CD" w:rsidR="000F7B26" w:rsidRDefault="00757301">
      <w:pPr>
        <w:pStyle w:val="TableofFigures"/>
        <w:tabs>
          <w:tab w:val="right" w:leader="dot" w:pos="9854"/>
        </w:tabs>
        <w:rPr>
          <w:rFonts w:eastAsiaTheme="minorEastAsia" w:cstheme="minorBidi"/>
          <w:i w:val="0"/>
          <w:iCs w:val="0"/>
          <w:noProof/>
          <w:sz w:val="22"/>
          <w:szCs w:val="22"/>
        </w:rPr>
      </w:pPr>
      <w:hyperlink w:anchor="_Toc123916672" w:history="1">
        <w:r w:rsidR="000F7B26" w:rsidRPr="00543AB4">
          <w:rPr>
            <w:rStyle w:val="Hyperlink"/>
            <w:noProof/>
          </w:rPr>
          <w:t>Tableau 37 : Table CTF 7a – Résumé du soutien financier multilatéral aux pays en développement en 2019</w:t>
        </w:r>
        <w:r w:rsidR="000F7B26">
          <w:rPr>
            <w:noProof/>
            <w:webHidden/>
          </w:rPr>
          <w:tab/>
        </w:r>
        <w:r w:rsidR="000F7B26">
          <w:rPr>
            <w:noProof/>
            <w:webHidden/>
          </w:rPr>
          <w:fldChar w:fldCharType="begin"/>
        </w:r>
        <w:r w:rsidR="000F7B26">
          <w:rPr>
            <w:noProof/>
            <w:webHidden/>
          </w:rPr>
          <w:instrText xml:space="preserve"> PAGEREF _Toc123916672 \h </w:instrText>
        </w:r>
        <w:r w:rsidR="000F7B26">
          <w:rPr>
            <w:noProof/>
            <w:webHidden/>
          </w:rPr>
        </w:r>
        <w:r w:rsidR="000F7B26">
          <w:rPr>
            <w:noProof/>
            <w:webHidden/>
          </w:rPr>
          <w:fldChar w:fldCharType="separate"/>
        </w:r>
        <w:r w:rsidR="00677B3C">
          <w:rPr>
            <w:noProof/>
            <w:webHidden/>
          </w:rPr>
          <w:t>118</w:t>
        </w:r>
        <w:r w:rsidR="000F7B26">
          <w:rPr>
            <w:noProof/>
            <w:webHidden/>
          </w:rPr>
          <w:fldChar w:fldCharType="end"/>
        </w:r>
      </w:hyperlink>
    </w:p>
    <w:p w14:paraId="1E8AD56D" w14:textId="4F24F13E" w:rsidR="000F7B26" w:rsidRDefault="00757301">
      <w:pPr>
        <w:pStyle w:val="TableofFigures"/>
        <w:tabs>
          <w:tab w:val="right" w:leader="dot" w:pos="9854"/>
        </w:tabs>
        <w:rPr>
          <w:rFonts w:eastAsiaTheme="minorEastAsia" w:cstheme="minorBidi"/>
          <w:i w:val="0"/>
          <w:iCs w:val="0"/>
          <w:noProof/>
          <w:sz w:val="22"/>
          <w:szCs w:val="22"/>
        </w:rPr>
      </w:pPr>
      <w:hyperlink w:anchor="_Toc123916673" w:history="1">
        <w:r w:rsidR="000F7B26" w:rsidRPr="00543AB4">
          <w:rPr>
            <w:rStyle w:val="Hyperlink"/>
            <w:noProof/>
          </w:rPr>
          <w:t>Tableau 38 : Table CTF 7a – Résumé du soutien financier multilatéral aux pays en développement en 2020</w:t>
        </w:r>
        <w:r w:rsidR="000F7B26">
          <w:rPr>
            <w:noProof/>
            <w:webHidden/>
          </w:rPr>
          <w:tab/>
        </w:r>
        <w:r w:rsidR="000F7B26">
          <w:rPr>
            <w:noProof/>
            <w:webHidden/>
          </w:rPr>
          <w:fldChar w:fldCharType="begin"/>
        </w:r>
        <w:r w:rsidR="000F7B26">
          <w:rPr>
            <w:noProof/>
            <w:webHidden/>
          </w:rPr>
          <w:instrText xml:space="preserve"> PAGEREF _Toc123916673 \h </w:instrText>
        </w:r>
        <w:r w:rsidR="000F7B26">
          <w:rPr>
            <w:noProof/>
            <w:webHidden/>
          </w:rPr>
        </w:r>
        <w:r w:rsidR="000F7B26">
          <w:rPr>
            <w:noProof/>
            <w:webHidden/>
          </w:rPr>
          <w:fldChar w:fldCharType="separate"/>
        </w:r>
        <w:r w:rsidR="00677B3C">
          <w:rPr>
            <w:noProof/>
            <w:webHidden/>
          </w:rPr>
          <w:t>120</w:t>
        </w:r>
        <w:r w:rsidR="000F7B26">
          <w:rPr>
            <w:noProof/>
            <w:webHidden/>
          </w:rPr>
          <w:fldChar w:fldCharType="end"/>
        </w:r>
      </w:hyperlink>
    </w:p>
    <w:p w14:paraId="4F2A7F81" w14:textId="7793CA1D" w:rsidR="000F7B26" w:rsidRDefault="00757301">
      <w:pPr>
        <w:pStyle w:val="TableofFigures"/>
        <w:tabs>
          <w:tab w:val="right" w:leader="dot" w:pos="9854"/>
        </w:tabs>
        <w:rPr>
          <w:rFonts w:eastAsiaTheme="minorEastAsia" w:cstheme="minorBidi"/>
          <w:i w:val="0"/>
          <w:iCs w:val="0"/>
          <w:noProof/>
          <w:sz w:val="22"/>
          <w:szCs w:val="22"/>
        </w:rPr>
      </w:pPr>
      <w:hyperlink w:anchor="_Toc123916674" w:history="1">
        <w:r w:rsidR="000F7B26" w:rsidRPr="00543AB4">
          <w:rPr>
            <w:rStyle w:val="Hyperlink"/>
            <w:noProof/>
          </w:rPr>
          <w:t>Tableau 39 : Table CTF 7b - Contributions bilatérales, régionales et autres en 2019</w:t>
        </w:r>
        <w:r w:rsidR="000F7B26">
          <w:rPr>
            <w:noProof/>
            <w:webHidden/>
          </w:rPr>
          <w:tab/>
        </w:r>
        <w:r w:rsidR="000F7B26">
          <w:rPr>
            <w:noProof/>
            <w:webHidden/>
          </w:rPr>
          <w:fldChar w:fldCharType="begin"/>
        </w:r>
        <w:r w:rsidR="000F7B26">
          <w:rPr>
            <w:noProof/>
            <w:webHidden/>
          </w:rPr>
          <w:instrText xml:space="preserve"> PAGEREF _Toc123916674 \h </w:instrText>
        </w:r>
        <w:r w:rsidR="000F7B26">
          <w:rPr>
            <w:noProof/>
            <w:webHidden/>
          </w:rPr>
        </w:r>
        <w:r w:rsidR="000F7B26">
          <w:rPr>
            <w:noProof/>
            <w:webHidden/>
          </w:rPr>
          <w:fldChar w:fldCharType="separate"/>
        </w:r>
        <w:r w:rsidR="00677B3C">
          <w:rPr>
            <w:noProof/>
            <w:webHidden/>
          </w:rPr>
          <w:t>121</w:t>
        </w:r>
        <w:r w:rsidR="000F7B26">
          <w:rPr>
            <w:noProof/>
            <w:webHidden/>
          </w:rPr>
          <w:fldChar w:fldCharType="end"/>
        </w:r>
      </w:hyperlink>
    </w:p>
    <w:p w14:paraId="2C6A4797" w14:textId="378F638B" w:rsidR="000F7B26" w:rsidRDefault="00757301">
      <w:pPr>
        <w:pStyle w:val="TableofFigures"/>
        <w:tabs>
          <w:tab w:val="right" w:leader="dot" w:pos="9854"/>
        </w:tabs>
        <w:rPr>
          <w:rFonts w:eastAsiaTheme="minorEastAsia" w:cstheme="minorBidi"/>
          <w:i w:val="0"/>
          <w:iCs w:val="0"/>
          <w:noProof/>
          <w:sz w:val="22"/>
          <w:szCs w:val="22"/>
        </w:rPr>
      </w:pPr>
      <w:hyperlink w:anchor="_Toc123916675" w:history="1">
        <w:r w:rsidR="000F7B26" w:rsidRPr="00543AB4">
          <w:rPr>
            <w:rStyle w:val="Hyperlink"/>
            <w:noProof/>
          </w:rPr>
          <w:t>Tableau 40 : Table CTF 7b - Contributions bilatérales, régionales et autres en 2020</w:t>
        </w:r>
        <w:r w:rsidR="000F7B26">
          <w:rPr>
            <w:noProof/>
            <w:webHidden/>
          </w:rPr>
          <w:tab/>
        </w:r>
        <w:r w:rsidR="000F7B26">
          <w:rPr>
            <w:noProof/>
            <w:webHidden/>
          </w:rPr>
          <w:fldChar w:fldCharType="begin"/>
        </w:r>
        <w:r w:rsidR="000F7B26">
          <w:rPr>
            <w:noProof/>
            <w:webHidden/>
          </w:rPr>
          <w:instrText xml:space="preserve"> PAGEREF _Toc123916675 \h </w:instrText>
        </w:r>
        <w:r w:rsidR="000F7B26">
          <w:rPr>
            <w:noProof/>
            <w:webHidden/>
          </w:rPr>
        </w:r>
        <w:r w:rsidR="000F7B26">
          <w:rPr>
            <w:noProof/>
            <w:webHidden/>
          </w:rPr>
          <w:fldChar w:fldCharType="separate"/>
        </w:r>
        <w:r w:rsidR="00677B3C">
          <w:rPr>
            <w:noProof/>
            <w:webHidden/>
          </w:rPr>
          <w:t>146</w:t>
        </w:r>
        <w:r w:rsidR="000F7B26">
          <w:rPr>
            <w:noProof/>
            <w:webHidden/>
          </w:rPr>
          <w:fldChar w:fldCharType="end"/>
        </w:r>
      </w:hyperlink>
    </w:p>
    <w:p w14:paraId="04492987" w14:textId="50009877" w:rsidR="000F7B26" w:rsidRDefault="00757301">
      <w:pPr>
        <w:pStyle w:val="TableofFigures"/>
        <w:tabs>
          <w:tab w:val="right" w:leader="dot" w:pos="9854"/>
        </w:tabs>
        <w:rPr>
          <w:rFonts w:eastAsiaTheme="minorEastAsia" w:cstheme="minorBidi"/>
          <w:i w:val="0"/>
          <w:iCs w:val="0"/>
          <w:noProof/>
          <w:sz w:val="22"/>
          <w:szCs w:val="22"/>
        </w:rPr>
      </w:pPr>
      <w:hyperlink w:anchor="_Toc123916676" w:history="1">
        <w:r w:rsidR="000F7B26" w:rsidRPr="00543AB4">
          <w:rPr>
            <w:rStyle w:val="Hyperlink"/>
            <w:noProof/>
          </w:rPr>
          <w:t>Tableau 41 : Table CTF3 – Politiques et mesures pour les années 2019, 2020, 2021 et 2022</w:t>
        </w:r>
        <w:r w:rsidR="000F7B26">
          <w:rPr>
            <w:noProof/>
            <w:webHidden/>
          </w:rPr>
          <w:tab/>
        </w:r>
        <w:r w:rsidR="000F7B26">
          <w:rPr>
            <w:noProof/>
            <w:webHidden/>
          </w:rPr>
          <w:fldChar w:fldCharType="begin"/>
        </w:r>
        <w:r w:rsidR="000F7B26">
          <w:rPr>
            <w:noProof/>
            <w:webHidden/>
          </w:rPr>
          <w:instrText xml:space="preserve"> PAGEREF _Toc123916676 \h </w:instrText>
        </w:r>
        <w:r w:rsidR="000F7B26">
          <w:rPr>
            <w:noProof/>
            <w:webHidden/>
          </w:rPr>
        </w:r>
        <w:r w:rsidR="000F7B26">
          <w:rPr>
            <w:noProof/>
            <w:webHidden/>
          </w:rPr>
          <w:fldChar w:fldCharType="separate"/>
        </w:r>
        <w:r w:rsidR="00677B3C">
          <w:rPr>
            <w:noProof/>
            <w:webHidden/>
          </w:rPr>
          <w:t>173</w:t>
        </w:r>
        <w:r w:rsidR="000F7B26">
          <w:rPr>
            <w:noProof/>
            <w:webHidden/>
          </w:rPr>
          <w:fldChar w:fldCharType="end"/>
        </w:r>
      </w:hyperlink>
    </w:p>
    <w:p w14:paraId="36905E26" w14:textId="3671DCA0" w:rsidR="00811B0F" w:rsidRPr="0098629B" w:rsidRDefault="00811B0F" w:rsidP="00811B0F">
      <w:pPr>
        <w:spacing w:line="240" w:lineRule="atLeast"/>
        <w:jc w:val="left"/>
        <w:rPr>
          <w:rFonts w:eastAsiaTheme="majorEastAsia" w:cstheme="majorBidi"/>
          <w:bCs/>
          <w:spacing w:val="-10"/>
          <w:kern w:val="28"/>
          <w:sz w:val="48"/>
          <w:szCs w:val="56"/>
        </w:rPr>
      </w:pPr>
      <w:r w:rsidRPr="0098629B">
        <w:fldChar w:fldCharType="end"/>
      </w:r>
      <w:r w:rsidRPr="0098629B">
        <w:br w:type="page"/>
      </w:r>
    </w:p>
    <w:p w14:paraId="4E4B36D8" w14:textId="09950FEB" w:rsidR="00081C08" w:rsidRPr="0098629B" w:rsidRDefault="005D5AA6" w:rsidP="007C589E">
      <w:pPr>
        <w:pStyle w:val="Titre1Niveau1"/>
      </w:pPr>
      <w:bookmarkStart w:id="1" w:name="_Toc138344571"/>
      <w:r w:rsidRPr="0098629B">
        <w:lastRenderedPageBreak/>
        <w:t>Chapitre I</w:t>
      </w:r>
      <w:r w:rsidR="00E73866" w:rsidRPr="0098629B">
        <w:t xml:space="preserve"> – </w:t>
      </w:r>
      <w:r w:rsidR="001A3B9E" w:rsidRPr="0098629B">
        <w:t>L’inventaire de gaz à effet de serre</w:t>
      </w:r>
      <w:bookmarkEnd w:id="1"/>
    </w:p>
    <w:p w14:paraId="5425DBF7" w14:textId="2A4DD6BF" w:rsidR="004F7142" w:rsidRPr="0098629B" w:rsidRDefault="00CF4DB7" w:rsidP="00C246BC">
      <w:pPr>
        <w:pStyle w:val="Titre2Niveau2"/>
      </w:pPr>
      <w:bookmarkStart w:id="2" w:name="_Toc138344572"/>
      <w:r w:rsidRPr="0098629B">
        <w:t>Evolution depuis 1990</w:t>
      </w:r>
      <w:bookmarkEnd w:id="2"/>
    </w:p>
    <w:p w14:paraId="51BC934F" w14:textId="74C1CB23" w:rsidR="004F7142" w:rsidRPr="0098629B" w:rsidRDefault="004F7142" w:rsidP="00503085">
      <w:r w:rsidRPr="0098629B">
        <w:t>Dans le cadre de ses obligations sous la Convention Cadre des Nations Unies sur les Changements Climatiques (CCNUCC), la France est amenée à soumettre des inventaires de gaz à effet de serre sur deux périmètres géographiques différents :</w:t>
      </w:r>
    </w:p>
    <w:p w14:paraId="52F55634" w14:textId="247F72A5" w:rsidR="004F7142" w:rsidRPr="0098629B" w:rsidRDefault="004F7142" w:rsidP="00573042">
      <w:pPr>
        <w:pStyle w:val="ListParagraph"/>
        <w:numPr>
          <w:ilvl w:val="0"/>
          <w:numId w:val="57"/>
        </w:numPr>
      </w:pPr>
      <w:r w:rsidRPr="0098629B">
        <w:t xml:space="preserve">Le périmètre dit « Kyoto » qui comprend l’ensemble des territoires français qui sont également considérés comme des territoires de l’Union Européenne. Il s’agit outre de la métropole (dont la Corse), des </w:t>
      </w:r>
      <w:r w:rsidR="00B52CA8" w:rsidRPr="0098629B">
        <w:t>sept</w:t>
      </w:r>
      <w:r w:rsidRPr="0098629B">
        <w:t xml:space="preserve"> Régions Ultra-périphérique</w:t>
      </w:r>
      <w:r w:rsidR="001B7CC7" w:rsidRPr="0098629B">
        <w:t>s</w:t>
      </w:r>
      <w:r w:rsidRPr="0098629B">
        <w:t xml:space="preserve"> (RUP) </w:t>
      </w:r>
      <w:r w:rsidR="00B52CA8" w:rsidRPr="0098629B">
        <w:t xml:space="preserve">françaises </w:t>
      </w:r>
      <w:r w:rsidRPr="0098629B">
        <w:t>:</w:t>
      </w:r>
      <w:r w:rsidR="00B52CA8" w:rsidRPr="0098629B">
        <w:t xml:space="preserve"> la Guyane, la Guadeloupe, Saint-Martin (depuis 2012), la Martinique, La Réunion et Mayotte (depuis 2014). Ce sont les territoires concernés par la mise en œuvre du protocole de Kyoto.</w:t>
      </w:r>
    </w:p>
    <w:p w14:paraId="499AE74A" w14:textId="4407628C" w:rsidR="004F7142" w:rsidRPr="0098629B" w:rsidRDefault="004F7142" w:rsidP="00573042">
      <w:pPr>
        <w:pStyle w:val="ListParagraph"/>
        <w:numPr>
          <w:ilvl w:val="0"/>
          <w:numId w:val="57"/>
        </w:numPr>
      </w:pPr>
      <w:r w:rsidRPr="0098629B">
        <w:t>Le périmètre dit « Convention » qui englobe l’en</w:t>
      </w:r>
      <w:r w:rsidR="00B52CA8" w:rsidRPr="0098629B">
        <w:t>s</w:t>
      </w:r>
      <w:r w:rsidRPr="0098629B">
        <w:t>emble</w:t>
      </w:r>
      <w:r w:rsidR="00B52CA8" w:rsidRPr="0098629B">
        <w:t xml:space="preserve"> du territoire français : au périmètre « Kyoto » viennent s’ajouter les pays et territoires d’outre-mer (PTOM) : la Nouvelle Calédonie, la Polynésie française, Wallis et Futuna, Saint-Barthélemy et Saint-Pierre-et-Miquelon.</w:t>
      </w:r>
    </w:p>
    <w:p w14:paraId="66211CC9" w14:textId="5FB4A430" w:rsidR="00B52CA8" w:rsidRPr="0098629B" w:rsidRDefault="00B52CA8" w:rsidP="00B52CA8"/>
    <w:p w14:paraId="28B46AB4" w14:textId="1BCEE3EF" w:rsidR="003A1EE9" w:rsidRPr="0098629B" w:rsidRDefault="003A1EE9" w:rsidP="003A1EE9">
      <w:r w:rsidRPr="0098629B">
        <w:t>Le rapport national d’inventaire (NIR – National Inventory Report) soumis chaque année au Secrétariat de la CCNUCC présente une analyse de l’évolution des émissions.</w:t>
      </w:r>
    </w:p>
    <w:p w14:paraId="32D2421B" w14:textId="54ABD230" w:rsidR="00CF4DB7" w:rsidRPr="0098629B" w:rsidRDefault="00117FAB" w:rsidP="00B04A7C">
      <w:pPr>
        <w:pStyle w:val="Titre3Niveau3"/>
      </w:pPr>
      <w:bookmarkStart w:id="3" w:name="_Toc138344573"/>
      <w:r w:rsidRPr="0098629B">
        <w:t>Émissions</w:t>
      </w:r>
      <w:r w:rsidR="00CF4DB7" w:rsidRPr="0098629B">
        <w:t xml:space="preserve"> au périmètre Convention de 1990 à 2020</w:t>
      </w:r>
      <w:bookmarkEnd w:id="3"/>
    </w:p>
    <w:p w14:paraId="5893566B" w14:textId="53697A24" w:rsidR="00D54378" w:rsidRPr="0098629B" w:rsidRDefault="00B53473" w:rsidP="00B53473">
      <w:r w:rsidRPr="0098629B">
        <w:t>En 2020, les émissions de gaz à effet de serre au périmètre Convention sont estimées à 399,</w:t>
      </w:r>
      <w:r w:rsidR="001B7CC7" w:rsidRPr="0098629B">
        <w:t>4</w:t>
      </w:r>
      <w:r w:rsidRPr="0098629B">
        <w:t> Mt</w:t>
      </w:r>
      <w:r w:rsidR="00811B0F" w:rsidRPr="0098629B">
        <w:t>CO</w:t>
      </w:r>
      <w:r w:rsidR="00811B0F" w:rsidRPr="0098629B">
        <w:rPr>
          <w:vertAlign w:val="subscript"/>
        </w:rPr>
        <w:t>2</w:t>
      </w:r>
      <w:r w:rsidR="00891B49" w:rsidRPr="0098629B">
        <w:rPr>
          <w:vertAlign w:val="subscript"/>
        </w:rPr>
        <w:t>e</w:t>
      </w:r>
      <w:r w:rsidRPr="0098629B">
        <w:t xml:space="preserve"> hors secteur </w:t>
      </w:r>
      <w:r w:rsidR="00E13412" w:rsidRPr="0098629B">
        <w:t>des terres (384,8 Mt</w:t>
      </w:r>
      <w:r w:rsidR="00811B0F" w:rsidRPr="0098629B">
        <w:t>CO</w:t>
      </w:r>
      <w:r w:rsidR="00811B0F" w:rsidRPr="0098629B">
        <w:rPr>
          <w:vertAlign w:val="subscript"/>
        </w:rPr>
        <w:t>2</w:t>
      </w:r>
      <w:r w:rsidR="00891B49" w:rsidRPr="0098629B">
        <w:rPr>
          <w:vertAlign w:val="subscript"/>
        </w:rPr>
        <w:t>e</w:t>
      </w:r>
      <w:r w:rsidR="00E13412" w:rsidRPr="0098629B">
        <w:t xml:space="preserve"> </w:t>
      </w:r>
      <w:r w:rsidR="00117FAB" w:rsidRPr="0098629B">
        <w:t>en l’incluant</w:t>
      </w:r>
      <w:r w:rsidR="00E13412" w:rsidRPr="0098629B">
        <w:t>).</w:t>
      </w:r>
      <w:r w:rsidR="00D54378" w:rsidRPr="0098629B">
        <w:t xml:space="preserve"> Les émissions hors UTCATF (Utilisation des Terres, Changement d’Affectations et Foresterie) sont en baisse de 27,0% depuis 1990, et de 26,5% avec </w:t>
      </w:r>
      <w:r w:rsidR="00117FAB" w:rsidRPr="0098629B">
        <w:t xml:space="preserve">prise en compte </w:t>
      </w:r>
      <w:r w:rsidR="00D54378" w:rsidRPr="0098629B">
        <w:t>UTCATF.</w:t>
      </w:r>
      <w:r w:rsidR="003A1EE9" w:rsidRPr="0098629B">
        <w:t xml:space="preserve"> Après une relative stabilité des émissions dans les années 1990, on observe une forte décroissance à partir de 2005. Les émissions ont de nouveau augmenté entre 2014 et 2018</w:t>
      </w:r>
      <w:r w:rsidR="00117FAB" w:rsidRPr="0098629B">
        <w:t xml:space="preserve"> </w:t>
      </w:r>
      <w:r w:rsidR="003A1EE9" w:rsidRPr="0098629B">
        <w:t xml:space="preserve">: les causes en sont, outre un indice de rigueur climatique plus élevé, </w:t>
      </w:r>
      <w:r w:rsidR="001B7CC7" w:rsidRPr="0098629B">
        <w:t xml:space="preserve">la croissance économique, </w:t>
      </w:r>
      <w:r w:rsidR="003A1EE9" w:rsidRPr="0098629B">
        <w:t>le faible prix des carburants et l’indisponibilité de certaines centrales nucléaires suite à des travaux de maintenance. Cette indisponibilité a conduit à un recours accru à des combustibles d’origine fossile (pétrole, gaz, charbon). A partir de 2018 les émissions ont recommencé à décroître</w:t>
      </w:r>
      <w:r w:rsidR="00117FAB" w:rsidRPr="0098629B">
        <w:t xml:space="preserve"> en France</w:t>
      </w:r>
      <w:r w:rsidR="003A1EE9" w:rsidRPr="0098629B">
        <w:t>.</w:t>
      </w:r>
      <w:r w:rsidR="00132B40" w:rsidRPr="0098629B">
        <w:t xml:space="preserve"> La forte baisse constatée en 2020 (-9,6% hors UTCATF vs. 2019) est en grande partie due aux mesures mises en place pour lutter contre la pandémie de Covid-19. </w:t>
      </w:r>
    </w:p>
    <w:p w14:paraId="1BC478BD" w14:textId="434D3E58" w:rsidR="00E13412" w:rsidRPr="0098629B" w:rsidRDefault="00E13412" w:rsidP="00503085">
      <w:pPr>
        <w:jc w:val="center"/>
      </w:pPr>
      <w:r w:rsidRPr="0098629B">
        <w:rPr>
          <w:noProof/>
        </w:rPr>
        <w:lastRenderedPageBreak/>
        <w:drawing>
          <wp:inline distT="0" distB="0" distL="0" distR="0" wp14:anchorId="7F47904B" wp14:editId="2AFCBECC">
            <wp:extent cx="6038850" cy="4010025"/>
            <wp:effectExtent l="0" t="0" r="0" b="952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2C7CC4" w14:textId="65091F59" w:rsidR="00E80ECE" w:rsidRPr="0098629B" w:rsidRDefault="00E80ECE" w:rsidP="00E80ECE">
      <w:pPr>
        <w:pStyle w:val="Caption"/>
      </w:pPr>
      <w:bookmarkStart w:id="4" w:name="_Toc123916609"/>
      <w:r w:rsidRPr="0098629B">
        <w:t xml:space="preserve">Figure </w:t>
      </w:r>
      <w:fldSimple w:instr=" SEQ Figure \* ARABIC ">
        <w:r w:rsidR="006B0E73">
          <w:rPr>
            <w:noProof/>
          </w:rPr>
          <w:t>1</w:t>
        </w:r>
      </w:fldSimple>
      <w:r w:rsidRPr="0098629B">
        <w:t xml:space="preserve"> : </w:t>
      </w:r>
      <w:r w:rsidR="00503085" w:rsidRPr="0098629B">
        <w:t>Evolution des émissions françaises au périmètre Convention de 1990 à 2020</w:t>
      </w:r>
      <w:bookmarkEnd w:id="4"/>
    </w:p>
    <w:p w14:paraId="58DC6FF3" w14:textId="07187426" w:rsidR="00503085" w:rsidRPr="0098629B" w:rsidRDefault="00503085" w:rsidP="00E80ECE">
      <w:pPr>
        <w:pStyle w:val="Caption"/>
      </w:pPr>
      <w:r w:rsidRPr="0098629B">
        <w:t>Source : inventaire Citepa/MTE, soumission CCNUCC avril 2022, périmètre Convention</w:t>
      </w:r>
    </w:p>
    <w:p w14:paraId="6782A397" w14:textId="3233D611" w:rsidR="00503085" w:rsidRPr="0098629B" w:rsidRDefault="00503085" w:rsidP="00503085"/>
    <w:p w14:paraId="56A5E28C" w14:textId="332F568F" w:rsidR="00EC09B7" w:rsidRPr="0098629B" w:rsidRDefault="003A1EE9" w:rsidP="003A1EE9">
      <w:r w:rsidRPr="0098629B">
        <w:t>La baisse constatée depuis 1990 dans le secteur de l’énergie s’explique principalement par l’évolution du mix énergétique avec la disparition progressive des capacités charbon, remplacées par le gaz naturel moins émetteur, et les énergies renouvelables.</w:t>
      </w:r>
      <w:r w:rsidR="00EC09B7" w:rsidRPr="0098629B">
        <w:t xml:space="preserve"> Les conditions climatiques ont également un impact sur les émissions de ce secteur aussi bien pour ce qui concerne le niveau de production des sites hydrauliques que pour les besoins en chauffage.</w:t>
      </w:r>
    </w:p>
    <w:p w14:paraId="59D657D8" w14:textId="77777777" w:rsidR="00117FAB" w:rsidRPr="0098629B" w:rsidRDefault="00117FAB" w:rsidP="003A1EE9"/>
    <w:p w14:paraId="1EFBDF42" w14:textId="3A187634" w:rsidR="003A1EE9" w:rsidRPr="0098629B" w:rsidRDefault="003A1EE9" w:rsidP="003A1EE9">
      <w:r w:rsidRPr="0098629B">
        <w:t xml:space="preserve">Pour l’industrie, c’est l’amélioration des procédés industriels, et la tertiarisation progressive de l’économie </w:t>
      </w:r>
      <w:r w:rsidR="00117FAB" w:rsidRPr="0098629B">
        <w:t>f</w:t>
      </w:r>
      <w:r w:rsidRPr="0098629B">
        <w:t xml:space="preserve">rançaise qui sont responsables de la baisse des émissions. Les politiques sectorielles d’atténuation (voir partie III) ont permis un découplage de la croissance du PIB et de la population </w:t>
      </w:r>
      <w:r w:rsidR="00132B40" w:rsidRPr="0098629B">
        <w:t xml:space="preserve">(+50% depuis 1990) </w:t>
      </w:r>
      <w:r w:rsidRPr="0098629B">
        <w:t>avec celle des émissions : ainsi les émissions par unité de PIB ont été divisées par 2 depuis 1990.</w:t>
      </w:r>
    </w:p>
    <w:p w14:paraId="09A82046" w14:textId="4C6D70F4" w:rsidR="00503085" w:rsidRPr="0098629B" w:rsidRDefault="00503085" w:rsidP="00503085"/>
    <w:p w14:paraId="4BD1A31D" w14:textId="6FE0DAE6" w:rsidR="00132B40" w:rsidRPr="0098629B" w:rsidRDefault="00132B40" w:rsidP="00132B40">
      <w:r w:rsidRPr="0098629B">
        <w:t>La consommation d’énergie (CRF1.A) est la principale source d’émissions de gaz à effet de serre en France avec 67,7% des émissions pour 2020 (270,5 Mt</w:t>
      </w:r>
      <w:r w:rsidR="00811B0F" w:rsidRPr="0098629B">
        <w:t>CO</w:t>
      </w:r>
      <w:r w:rsidR="00811B0F" w:rsidRPr="0098629B">
        <w:rPr>
          <w:vertAlign w:val="subscript"/>
        </w:rPr>
        <w:t>2</w:t>
      </w:r>
      <w:r w:rsidR="00891B49" w:rsidRPr="0098629B">
        <w:rPr>
          <w:vertAlign w:val="subscript"/>
        </w:rPr>
        <w:t>e</w:t>
      </w:r>
      <w:r w:rsidRPr="0098629B">
        <w:t>). Pour les émissions dues à la combustion d’énergie, le secteur des transports est le plus émetteur (40,9% du total national), suivi par la consommation des bâtiments résidentiel/tertiaire et agricole (26,4%), l’industrie manufacturière et la construction (17%) et les industries de l’énergie (14%).</w:t>
      </w:r>
    </w:p>
    <w:p w14:paraId="1D9324F9" w14:textId="2F5C8E56" w:rsidR="00132B40" w:rsidRPr="0098629B" w:rsidRDefault="00132B40" w:rsidP="00503085"/>
    <w:p w14:paraId="07E6DFB5" w14:textId="0E9C8AEA" w:rsidR="00B52CA8" w:rsidRPr="0098629B" w:rsidRDefault="00CF4DB7" w:rsidP="00B04A7C">
      <w:pPr>
        <w:pStyle w:val="Titre3Niveau3"/>
      </w:pPr>
      <w:bookmarkStart w:id="5" w:name="_Toc138344574"/>
      <w:r w:rsidRPr="0098629B">
        <w:t>Emissions au périmètre « Kyoto » de 1990 à 2020</w:t>
      </w:r>
      <w:bookmarkEnd w:id="5"/>
    </w:p>
    <w:p w14:paraId="627ABB89" w14:textId="2FED4578" w:rsidR="00B52CA8" w:rsidRPr="0098629B" w:rsidRDefault="00B52CA8" w:rsidP="00B52CA8">
      <w:r w:rsidRPr="0098629B">
        <w:t xml:space="preserve">En 2020, les émissions françaises de gaz à effet de serre au périmètre « Kyoto » sont estimées à </w:t>
      </w:r>
      <w:r w:rsidR="008C6DA5" w:rsidRPr="0098629B">
        <w:t>392,9 Mt</w:t>
      </w:r>
      <w:r w:rsidR="00811B0F" w:rsidRPr="0098629B">
        <w:t>CO</w:t>
      </w:r>
      <w:r w:rsidR="00811B0F" w:rsidRPr="0098629B">
        <w:rPr>
          <w:vertAlign w:val="subscript"/>
        </w:rPr>
        <w:t>2</w:t>
      </w:r>
      <w:r w:rsidR="00891B49" w:rsidRPr="0098629B">
        <w:rPr>
          <w:vertAlign w:val="subscript"/>
        </w:rPr>
        <w:t>e</w:t>
      </w:r>
      <w:r w:rsidR="008C6DA5" w:rsidRPr="0098629B">
        <w:t xml:space="preserve"> hors secteur des terres (378,9 Mt</w:t>
      </w:r>
      <w:r w:rsidR="00811B0F" w:rsidRPr="0098629B">
        <w:t>CO</w:t>
      </w:r>
      <w:r w:rsidR="00811B0F" w:rsidRPr="0098629B">
        <w:rPr>
          <w:vertAlign w:val="subscript"/>
        </w:rPr>
        <w:t>2</w:t>
      </w:r>
      <w:r w:rsidR="00891B49" w:rsidRPr="0098629B">
        <w:rPr>
          <w:vertAlign w:val="subscript"/>
        </w:rPr>
        <w:t>e</w:t>
      </w:r>
      <w:r w:rsidR="008C6DA5" w:rsidRPr="0098629B">
        <w:t xml:space="preserve"> avec).</w:t>
      </w:r>
      <w:r w:rsidR="00347D7C" w:rsidRPr="0098629B">
        <w:t xml:space="preserve"> </w:t>
      </w:r>
      <w:r w:rsidR="003A1EE9" w:rsidRPr="0098629B">
        <w:t>Compte tenu de la faible part des émissions des territoires hors Union-Européenne dans les émissions nationales, on observe les mêmes évolutions, avec les mêmes facteurs, que pour le périmètre Convention.</w:t>
      </w:r>
    </w:p>
    <w:p w14:paraId="21954DA9" w14:textId="105A54FE" w:rsidR="004811D4" w:rsidRPr="0098629B" w:rsidRDefault="004811D4" w:rsidP="00F62319">
      <w:pPr>
        <w:jc w:val="center"/>
      </w:pPr>
    </w:p>
    <w:p w14:paraId="7C6C4450" w14:textId="204E8B59" w:rsidR="003A1EE9" w:rsidRPr="0098629B" w:rsidRDefault="003A1EE9" w:rsidP="00F62319">
      <w:pPr>
        <w:jc w:val="center"/>
      </w:pPr>
      <w:r w:rsidRPr="0098629B">
        <w:rPr>
          <w:noProof/>
        </w:rPr>
        <w:lastRenderedPageBreak/>
        <w:drawing>
          <wp:inline distT="0" distB="0" distL="0" distR="0" wp14:anchorId="0044AA74" wp14:editId="1EC4E2F5">
            <wp:extent cx="5895975" cy="3705226"/>
            <wp:effectExtent l="0" t="0" r="9525" b="952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B75E9A" w14:textId="1F2B6A23" w:rsidR="00E80ECE" w:rsidRPr="0098629B" w:rsidRDefault="00E80ECE" w:rsidP="00E80ECE">
      <w:pPr>
        <w:pStyle w:val="Caption"/>
      </w:pPr>
      <w:bookmarkStart w:id="6" w:name="_Toc123916610"/>
      <w:r w:rsidRPr="0098629B">
        <w:t xml:space="preserve">Figure </w:t>
      </w:r>
      <w:fldSimple w:instr=" SEQ Figure \* ARABIC ">
        <w:r w:rsidR="006B0E73">
          <w:rPr>
            <w:noProof/>
          </w:rPr>
          <w:t>2</w:t>
        </w:r>
      </w:fldSimple>
      <w:r w:rsidRPr="0098629B">
        <w:t xml:space="preserve"> : </w:t>
      </w:r>
      <w:r w:rsidR="003A1EE9" w:rsidRPr="0098629B">
        <w:t>Evolution des émissions françaises au périmètre « Kyoto »</w:t>
      </w:r>
      <w:bookmarkEnd w:id="6"/>
    </w:p>
    <w:p w14:paraId="26A5F106" w14:textId="4EA4C21B" w:rsidR="004811D4" w:rsidRPr="0098629B" w:rsidRDefault="004811D4" w:rsidP="00E80ECE">
      <w:pPr>
        <w:pStyle w:val="Caption"/>
      </w:pPr>
      <w:r w:rsidRPr="0098629B">
        <w:t xml:space="preserve">Source : inventaire </w:t>
      </w:r>
      <w:r w:rsidR="00235933" w:rsidRPr="0098629B">
        <w:t xml:space="preserve">Citepa/MTE, soumission </w:t>
      </w:r>
      <w:r w:rsidRPr="0098629B">
        <w:t>CCNUCC</w:t>
      </w:r>
      <w:r w:rsidR="00235933" w:rsidRPr="0098629B">
        <w:t xml:space="preserve"> avril 2022</w:t>
      </w:r>
      <w:r w:rsidRPr="0098629B">
        <w:t>, périmètre Kyoto.</w:t>
      </w:r>
    </w:p>
    <w:p w14:paraId="53081CB5" w14:textId="75D98C80" w:rsidR="00F62319" w:rsidRPr="0098629B" w:rsidRDefault="00F62319" w:rsidP="00B52CA8"/>
    <w:p w14:paraId="35F006F5" w14:textId="51396159" w:rsidR="00F62319" w:rsidRPr="0098629B" w:rsidRDefault="00F62319" w:rsidP="00B52CA8">
      <w:r w:rsidRPr="0098629B">
        <w:t>La consommation d’énergie</w:t>
      </w:r>
      <w:r w:rsidR="00506D54" w:rsidRPr="0098629B">
        <w:t xml:space="preserve"> (CRF1.A)</w:t>
      </w:r>
      <w:r w:rsidRPr="0098629B">
        <w:t xml:space="preserve"> est la principale source d’émissions de gaz à effet de serre en France avec </w:t>
      </w:r>
      <w:r w:rsidR="00506D54" w:rsidRPr="0098629B">
        <w:t>66,5% des émissions pour 2020 (261,5 Mt</w:t>
      </w:r>
      <w:r w:rsidR="00811B0F" w:rsidRPr="0098629B">
        <w:t>CO</w:t>
      </w:r>
      <w:r w:rsidR="00811B0F" w:rsidRPr="0098629B">
        <w:rPr>
          <w:vertAlign w:val="subscript"/>
        </w:rPr>
        <w:t>2</w:t>
      </w:r>
      <w:r w:rsidR="00891B49" w:rsidRPr="0098629B">
        <w:rPr>
          <w:vertAlign w:val="subscript"/>
        </w:rPr>
        <w:t>e</w:t>
      </w:r>
      <w:r w:rsidR="00506D54" w:rsidRPr="0098629B">
        <w:t xml:space="preserve">). Pour les émissions dues à la combustion d’énergie, le secteur des transports est le plus émetteur (41,8% </w:t>
      </w:r>
      <w:r w:rsidR="00716DC8" w:rsidRPr="0098629B">
        <w:t>du total national), suivi par la consommation des bâtiments</w:t>
      </w:r>
      <w:r w:rsidR="00506D54" w:rsidRPr="0098629B">
        <w:t xml:space="preserve"> </w:t>
      </w:r>
      <w:r w:rsidR="00716DC8" w:rsidRPr="0098629B">
        <w:t>résidentiel/tertiaire et agricole (27,2%), l’industrie manufacturière et la construction (16,1%) et les industries de l’énergie (14,2%).</w:t>
      </w:r>
    </w:p>
    <w:p w14:paraId="661E8D3A" w14:textId="77777777" w:rsidR="00716DC8" w:rsidRPr="0098629B" w:rsidRDefault="00716DC8" w:rsidP="00B52CA8"/>
    <w:p w14:paraId="38218D36" w14:textId="75C46368" w:rsidR="00716DC8" w:rsidRPr="0098629B" w:rsidRDefault="00716DC8" w:rsidP="00716DC8">
      <w:r w:rsidRPr="0098629B">
        <w:rPr>
          <w:b/>
        </w:rPr>
        <w:t xml:space="preserve">Entre 1990 et 2020, les émissions de gaz à effet de serre de la France (périmètre du protocole de Kyoto) hors UTCATF ont diminué de 27,8 % par rapport à 1990, </w:t>
      </w:r>
      <w:r w:rsidR="00E85D48" w:rsidRPr="0098629B">
        <w:rPr>
          <w:b/>
        </w:rPr>
        <w:t>alors que dans le même temps la population a augmenté de 16,2%</w:t>
      </w:r>
      <w:r w:rsidRPr="0098629B">
        <w:rPr>
          <w:b/>
        </w:rPr>
        <w:t xml:space="preserve">. </w:t>
      </w:r>
      <w:r w:rsidR="00E85D48" w:rsidRPr="0098629B">
        <w:rPr>
          <w:b/>
        </w:rPr>
        <w:t>Sur le périmètre « Kyoto » les émissions par habitants sont donc passées de 9,4 t</w:t>
      </w:r>
      <w:r w:rsidR="00811B0F" w:rsidRPr="0098629B">
        <w:rPr>
          <w:b/>
        </w:rPr>
        <w:t>CO</w:t>
      </w:r>
      <w:r w:rsidR="00811B0F" w:rsidRPr="0098629B">
        <w:rPr>
          <w:b/>
          <w:vertAlign w:val="subscript"/>
        </w:rPr>
        <w:t>2</w:t>
      </w:r>
      <w:r w:rsidR="00891B49" w:rsidRPr="0098629B">
        <w:rPr>
          <w:b/>
          <w:vertAlign w:val="subscript"/>
        </w:rPr>
        <w:t>e</w:t>
      </w:r>
      <w:r w:rsidR="00E85D48" w:rsidRPr="0098629B">
        <w:rPr>
          <w:b/>
        </w:rPr>
        <w:t xml:space="preserve"> à 5,93 t</w:t>
      </w:r>
      <w:r w:rsidR="00811B0F" w:rsidRPr="0098629B">
        <w:rPr>
          <w:b/>
        </w:rPr>
        <w:t>CO</w:t>
      </w:r>
      <w:r w:rsidR="00811B0F" w:rsidRPr="0098629B">
        <w:rPr>
          <w:b/>
          <w:vertAlign w:val="subscript"/>
        </w:rPr>
        <w:t>2</w:t>
      </w:r>
      <w:r w:rsidR="00891B49" w:rsidRPr="0098629B">
        <w:rPr>
          <w:b/>
          <w:vertAlign w:val="subscript"/>
        </w:rPr>
        <w:t>e</w:t>
      </w:r>
      <w:r w:rsidR="00E85D48" w:rsidRPr="0098629B">
        <w:rPr>
          <w:b/>
        </w:rPr>
        <w:t>, soit une baisse de 37%.</w:t>
      </w:r>
      <w:r w:rsidR="001B7CC7" w:rsidRPr="0098629B">
        <w:rPr>
          <w:b/>
        </w:rPr>
        <w:t xml:space="preserve"> </w:t>
      </w:r>
      <w:r w:rsidR="00E85D48" w:rsidRPr="0098629B">
        <w:rPr>
          <w:b/>
        </w:rPr>
        <w:t xml:space="preserve">Sur cette même période, l’intensité des émissions par unité de PIB </w:t>
      </w:r>
      <w:r w:rsidR="002E693F" w:rsidRPr="0098629B">
        <w:rPr>
          <w:b/>
        </w:rPr>
        <w:t xml:space="preserve">a diminué de </w:t>
      </w:r>
      <w:r w:rsidR="001B7CC7" w:rsidRPr="0098629B">
        <w:rPr>
          <w:b/>
        </w:rPr>
        <w:t>65</w:t>
      </w:r>
      <w:r w:rsidR="002E693F" w:rsidRPr="0098629B">
        <w:rPr>
          <w:b/>
        </w:rPr>
        <w:t>%.</w:t>
      </w:r>
    </w:p>
    <w:p w14:paraId="49EBFB95" w14:textId="0D47A298" w:rsidR="00EC09B7" w:rsidRPr="0098629B" w:rsidRDefault="00E330BB" w:rsidP="00C246BC">
      <w:pPr>
        <w:pStyle w:val="Titre2Niveau2"/>
      </w:pPr>
      <w:bookmarkStart w:id="7" w:name="_Toc138344575"/>
      <w:r w:rsidRPr="0098629B">
        <w:t>Evolution par gaz depuis 1990 au périmètre Kyoto</w:t>
      </w:r>
      <w:bookmarkEnd w:id="7"/>
    </w:p>
    <w:p w14:paraId="18E3C054" w14:textId="70EB05F1" w:rsidR="00380A1C" w:rsidRPr="0098629B" w:rsidRDefault="00380A1C" w:rsidP="00380A1C">
      <w:r w:rsidRPr="0098629B">
        <w:t xml:space="preserve">En 2020 le </w:t>
      </w:r>
      <w:r w:rsidR="00811B0F" w:rsidRPr="0098629B">
        <w:t>CO</w:t>
      </w:r>
      <w:r w:rsidR="00811B0F" w:rsidRPr="0098629B">
        <w:rPr>
          <w:vertAlign w:val="subscript"/>
        </w:rPr>
        <w:t>2</w:t>
      </w:r>
      <w:r w:rsidRPr="0098629B">
        <w:t xml:space="preserve"> pesait pour 73,6% des émissions totales hors UTCATF</w:t>
      </w:r>
      <w:r w:rsidR="00AF450A" w:rsidRPr="0098629B">
        <w:t xml:space="preserve"> soit 289,4 Mt</w:t>
      </w:r>
      <w:r w:rsidR="00811B0F" w:rsidRPr="0098629B">
        <w:t>CO</w:t>
      </w:r>
      <w:r w:rsidR="00811B0F" w:rsidRPr="0098629B">
        <w:rPr>
          <w:vertAlign w:val="subscript"/>
        </w:rPr>
        <w:t>2</w:t>
      </w:r>
      <w:r w:rsidR="00891B49" w:rsidRPr="0098629B">
        <w:rPr>
          <w:vertAlign w:val="subscript"/>
        </w:rPr>
        <w:t>e</w:t>
      </w:r>
      <w:r w:rsidR="00AF450A" w:rsidRPr="0098629B">
        <w:t xml:space="preserve"> ; les </w:t>
      </w:r>
      <w:r w:rsidR="00891B49" w:rsidRPr="0098629B">
        <w:t>CH</w:t>
      </w:r>
      <w:r w:rsidR="00891B49" w:rsidRPr="0098629B">
        <w:rPr>
          <w:vertAlign w:val="subscript"/>
        </w:rPr>
        <w:t>4</w:t>
      </w:r>
      <w:r w:rsidR="00AF450A" w:rsidRPr="0098629B">
        <w:t xml:space="preserve"> pour 13,9% (54,6 Mt</w:t>
      </w:r>
      <w:r w:rsidR="00811B0F" w:rsidRPr="0098629B">
        <w:t>CO</w:t>
      </w:r>
      <w:r w:rsidR="00811B0F" w:rsidRPr="0098629B">
        <w:rPr>
          <w:vertAlign w:val="subscript"/>
        </w:rPr>
        <w:t>2</w:t>
      </w:r>
      <w:r w:rsidR="00891B49" w:rsidRPr="0098629B">
        <w:rPr>
          <w:vertAlign w:val="subscript"/>
        </w:rPr>
        <w:t>e</w:t>
      </w:r>
      <w:r w:rsidR="00AF450A" w:rsidRPr="0098629B">
        <w:t xml:space="preserve">) ; </w:t>
      </w:r>
      <w:r w:rsidR="00324188" w:rsidRPr="0098629B">
        <w:t xml:space="preserve">le </w:t>
      </w:r>
      <w:r w:rsidR="00891B49" w:rsidRPr="0098629B">
        <w:t>N</w:t>
      </w:r>
      <w:r w:rsidR="00891B49" w:rsidRPr="0098629B">
        <w:rPr>
          <w:vertAlign w:val="subscript"/>
        </w:rPr>
        <w:t>2</w:t>
      </w:r>
      <w:r w:rsidR="00891B49" w:rsidRPr="0098629B">
        <w:t>O</w:t>
      </w:r>
      <w:r w:rsidR="00324188" w:rsidRPr="0098629B">
        <w:t xml:space="preserve"> pour 9,2% (36,3 Mt</w:t>
      </w:r>
      <w:r w:rsidR="00811B0F" w:rsidRPr="0098629B">
        <w:t>CO</w:t>
      </w:r>
      <w:r w:rsidR="00811B0F" w:rsidRPr="0098629B">
        <w:rPr>
          <w:vertAlign w:val="subscript"/>
        </w:rPr>
        <w:t>2</w:t>
      </w:r>
      <w:r w:rsidR="00891B49" w:rsidRPr="0098629B">
        <w:rPr>
          <w:vertAlign w:val="subscript"/>
        </w:rPr>
        <w:t>e</w:t>
      </w:r>
      <w:r w:rsidR="00324188" w:rsidRPr="0098629B">
        <w:t>) ; et les émissions de HFC/PFCs pour 3,12% (12,3 Mt</w:t>
      </w:r>
      <w:r w:rsidR="00811B0F" w:rsidRPr="0098629B">
        <w:t>CO</w:t>
      </w:r>
      <w:r w:rsidR="00811B0F" w:rsidRPr="0098629B">
        <w:rPr>
          <w:vertAlign w:val="subscript"/>
        </w:rPr>
        <w:t>2</w:t>
      </w:r>
      <w:r w:rsidR="00891B49" w:rsidRPr="0098629B">
        <w:rPr>
          <w:vertAlign w:val="subscript"/>
        </w:rPr>
        <w:t>e</w:t>
      </w:r>
      <w:r w:rsidR="00324188" w:rsidRPr="0098629B">
        <w:t>).</w:t>
      </w:r>
    </w:p>
    <w:p w14:paraId="220727AA" w14:textId="43A772B4" w:rsidR="00AF450A" w:rsidRPr="0098629B" w:rsidRDefault="00AF450A" w:rsidP="00380A1C"/>
    <w:p w14:paraId="09E837FD" w14:textId="0F807D22" w:rsidR="00235933" w:rsidRPr="0098629B" w:rsidRDefault="009F364F" w:rsidP="00380A1C">
      <w:r w:rsidRPr="0098629B">
        <w:rPr>
          <w:noProof/>
        </w:rPr>
        <w:lastRenderedPageBreak/>
        <w:drawing>
          <wp:inline distT="0" distB="0" distL="0" distR="0" wp14:anchorId="4F4D4589" wp14:editId="56448E12">
            <wp:extent cx="6318250" cy="4053840"/>
            <wp:effectExtent l="0" t="0" r="6350" b="381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507B7F" w14:textId="119A4A2F" w:rsidR="005963A4" w:rsidRPr="0098629B" w:rsidRDefault="005963A4" w:rsidP="005963A4">
      <w:pPr>
        <w:pStyle w:val="Caption"/>
        <w:rPr>
          <w:vertAlign w:val="subscript"/>
        </w:rPr>
      </w:pPr>
      <w:bookmarkStart w:id="8" w:name="_Toc123916611"/>
      <w:r w:rsidRPr="0098629B">
        <w:t xml:space="preserve">Figure </w:t>
      </w:r>
      <w:fldSimple w:instr=" SEQ Figure \* ARABIC ">
        <w:r w:rsidR="006B0E73">
          <w:rPr>
            <w:noProof/>
          </w:rPr>
          <w:t>3</w:t>
        </w:r>
      </w:fldSimple>
      <w:r w:rsidRPr="0098629B">
        <w:t xml:space="preserve"> : </w:t>
      </w:r>
      <w:r w:rsidR="00235933" w:rsidRPr="0098629B">
        <w:t xml:space="preserve">Émissions de </w:t>
      </w:r>
      <w:r w:rsidR="00811B0F" w:rsidRPr="0098629B">
        <w:t>CO</w:t>
      </w:r>
      <w:r w:rsidR="00811B0F" w:rsidRPr="0098629B">
        <w:rPr>
          <w:vertAlign w:val="subscript"/>
        </w:rPr>
        <w:t>2</w:t>
      </w:r>
      <w:r w:rsidR="00235933" w:rsidRPr="0098629B">
        <w:t xml:space="preserve">, </w:t>
      </w:r>
      <w:r w:rsidR="00891B49" w:rsidRPr="0098629B">
        <w:t>CH</w:t>
      </w:r>
      <w:r w:rsidR="00891B49" w:rsidRPr="0098629B">
        <w:rPr>
          <w:vertAlign w:val="subscript"/>
        </w:rPr>
        <w:t>4</w:t>
      </w:r>
      <w:r w:rsidR="00235933" w:rsidRPr="0098629B">
        <w:t xml:space="preserve">, </w:t>
      </w:r>
      <w:r w:rsidR="00891B49" w:rsidRPr="0098629B">
        <w:t>N</w:t>
      </w:r>
      <w:r w:rsidR="00891B49" w:rsidRPr="0098629B">
        <w:rPr>
          <w:vertAlign w:val="subscript"/>
        </w:rPr>
        <w:t>2</w:t>
      </w:r>
      <w:r w:rsidR="00891B49" w:rsidRPr="0098629B">
        <w:t>O</w:t>
      </w:r>
      <w:r w:rsidR="00235933" w:rsidRPr="0098629B">
        <w:t xml:space="preserve">, HFCs et PFCs depuis 1990 en </w:t>
      </w:r>
      <w:r w:rsidR="00D52DE9" w:rsidRPr="0098629B">
        <w:t>milliers</w:t>
      </w:r>
      <w:r w:rsidR="00235933" w:rsidRPr="0098629B">
        <w:t xml:space="preserve"> de tonnes équivalent </w:t>
      </w:r>
      <w:r w:rsidR="00811B0F" w:rsidRPr="0098629B">
        <w:t>CO</w:t>
      </w:r>
      <w:r w:rsidR="00811B0F" w:rsidRPr="0098629B">
        <w:rPr>
          <w:vertAlign w:val="subscript"/>
        </w:rPr>
        <w:t>2</w:t>
      </w:r>
      <w:bookmarkEnd w:id="8"/>
    </w:p>
    <w:p w14:paraId="277D3ACD" w14:textId="5AC435CA" w:rsidR="00235933" w:rsidRPr="0098629B" w:rsidRDefault="00235933" w:rsidP="005963A4">
      <w:pPr>
        <w:pStyle w:val="Caption"/>
      </w:pPr>
      <w:r w:rsidRPr="0098629B">
        <w:t>Source : inventaire Citepa/MTE, soumission CCNUCC avril 2022, au périmètre Kyoto.</w:t>
      </w:r>
    </w:p>
    <w:p w14:paraId="4E47B7DE" w14:textId="20790FA5" w:rsidR="00324188" w:rsidRPr="0098629B" w:rsidRDefault="00324188" w:rsidP="00235933"/>
    <w:p w14:paraId="5F5A0282" w14:textId="18E09117" w:rsidR="009F364F" w:rsidRPr="0098629B" w:rsidRDefault="009F364F" w:rsidP="00235933">
      <w:r w:rsidRPr="0098629B">
        <w:t xml:space="preserve">Entre 1990 et 2020 les émissions de </w:t>
      </w:r>
      <w:r w:rsidR="00811B0F" w:rsidRPr="0098629B">
        <w:t>CO</w:t>
      </w:r>
      <w:r w:rsidR="00811B0F" w:rsidRPr="0098629B">
        <w:rPr>
          <w:vertAlign w:val="subscript"/>
        </w:rPr>
        <w:t>2</w:t>
      </w:r>
      <w:r w:rsidRPr="0098629B">
        <w:t xml:space="preserve"> ont diminué de 27,4% : les émissions sont restées relativement stable jusqu’en 2007 (+2%) puis ont fortement diminué avec la crise. La baisse se poursuit après 2008, signe que les politiques et mesures mises en place permettent d’éviter un rebond des émissions.</w:t>
      </w:r>
    </w:p>
    <w:p w14:paraId="4C28A648" w14:textId="6DA6E154" w:rsidR="009F364F" w:rsidRPr="0098629B" w:rsidRDefault="009F364F" w:rsidP="00235933">
      <w:r w:rsidRPr="0098629B">
        <w:t xml:space="preserve">Les émissions de </w:t>
      </w:r>
      <w:r w:rsidR="00891B49" w:rsidRPr="0098629B">
        <w:t>N</w:t>
      </w:r>
      <w:r w:rsidR="00891B49" w:rsidRPr="0098629B">
        <w:rPr>
          <w:vertAlign w:val="subscript"/>
        </w:rPr>
        <w:t>2</w:t>
      </w:r>
      <w:r w:rsidR="00891B49" w:rsidRPr="0098629B">
        <w:t>O</w:t>
      </w:r>
      <w:r w:rsidRPr="0098629B">
        <w:t xml:space="preserve"> et </w:t>
      </w:r>
      <w:r w:rsidR="00891B49" w:rsidRPr="0098629B">
        <w:t>CH</w:t>
      </w:r>
      <w:r w:rsidR="00891B49" w:rsidRPr="0098629B">
        <w:rPr>
          <w:vertAlign w:val="subscript"/>
        </w:rPr>
        <w:t>4</w:t>
      </w:r>
      <w:r w:rsidRPr="0098629B">
        <w:t>, hors secteur des t</w:t>
      </w:r>
      <w:r w:rsidR="00456B83" w:rsidRPr="0098629B">
        <w:t>erres, ont respectivement baissé de 30,5% et 9,2%. Ces baisses sont essentiellement dues aux mesures dans le secteur des déchets pour favoriser la récupération du gaz de décharge, ainsi que la réduction des intrants agricoles.</w:t>
      </w:r>
    </w:p>
    <w:p w14:paraId="39EEA8CD" w14:textId="00ADD578" w:rsidR="00456B83" w:rsidRPr="0098629B" w:rsidRDefault="00456B83" w:rsidP="00235933">
      <w:r w:rsidRPr="0098629B">
        <w:t>Les gaz fluorés ont augmenté de 7,3% depuis 1990 : il y a d’abord eu une baisse entre 1990 et 1997 (-21%), puis une augmentation jusqu’en 2011 (+57% vs. 1990), suivi d’une nouvelle baisse (-32% vs. 2011). Cette faible baisse globale masque une évolution de la répartition des émissions entre les différents gaz fluoré</w:t>
      </w:r>
      <w:r w:rsidR="002F6C90" w:rsidRPr="0098629B">
        <w:t>s</w:t>
      </w:r>
      <w:r w:rsidRPr="0098629B">
        <w:t xml:space="preserve"> ; les émissions de </w:t>
      </w:r>
      <w:r w:rsidR="002F2FFD" w:rsidRPr="0098629B">
        <w:t>SF</w:t>
      </w:r>
      <w:r w:rsidR="002F2FFD" w:rsidRPr="0098629B">
        <w:rPr>
          <w:vertAlign w:val="subscript"/>
        </w:rPr>
        <w:t>6</w:t>
      </w:r>
      <w:r w:rsidRPr="0098629B">
        <w:t xml:space="preserve"> ont fortement baissé depuis 1995 (-86%</w:t>
      </w:r>
      <w:r w:rsidR="002F6C90" w:rsidRPr="0098629B">
        <w:t>), et remplacées par des émissions d’autres HFCs et PFCs.</w:t>
      </w:r>
    </w:p>
    <w:p w14:paraId="00348345" w14:textId="52470161" w:rsidR="00324188" w:rsidRPr="0098629B" w:rsidRDefault="00324188" w:rsidP="00235933">
      <w:r w:rsidRPr="0098629B">
        <w:rPr>
          <w:noProof/>
        </w:rPr>
        <w:lastRenderedPageBreak/>
        <w:drawing>
          <wp:inline distT="0" distB="0" distL="0" distR="0" wp14:anchorId="1F93F872" wp14:editId="08939D51">
            <wp:extent cx="6318250" cy="4047490"/>
            <wp:effectExtent l="0" t="0" r="6350" b="1016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5E13E6" w14:textId="7BE13BCF" w:rsidR="005963A4" w:rsidRPr="0098629B" w:rsidRDefault="005963A4" w:rsidP="005963A4">
      <w:pPr>
        <w:pStyle w:val="Caption"/>
      </w:pPr>
      <w:bookmarkStart w:id="9" w:name="_Toc123916612"/>
      <w:r w:rsidRPr="0098629B">
        <w:t xml:space="preserve">Figure </w:t>
      </w:r>
      <w:fldSimple w:instr=" SEQ Figure \* ARABIC ">
        <w:r w:rsidR="006B0E73">
          <w:rPr>
            <w:noProof/>
          </w:rPr>
          <w:t>4</w:t>
        </w:r>
      </w:fldSimple>
      <w:r w:rsidRPr="0098629B">
        <w:t xml:space="preserve"> : </w:t>
      </w:r>
      <w:r w:rsidR="009F364F" w:rsidRPr="0098629B">
        <w:t>Evolution de la part des différents gaz fluorés depuis 1990</w:t>
      </w:r>
      <w:bookmarkEnd w:id="9"/>
    </w:p>
    <w:p w14:paraId="090CBC1C" w14:textId="4A4EE96F" w:rsidR="009F364F" w:rsidRPr="0098629B" w:rsidRDefault="009F364F" w:rsidP="005963A4">
      <w:pPr>
        <w:pStyle w:val="Caption"/>
      </w:pPr>
      <w:r w:rsidRPr="0098629B">
        <w:t>Source : inventaire Citepa/MTE, soumission CCNUCC avril 2022, au périmètre Kyoto.</w:t>
      </w:r>
    </w:p>
    <w:p w14:paraId="4B8F3A60" w14:textId="4EAD396E" w:rsidR="006C7946" w:rsidRPr="0098629B" w:rsidRDefault="006C7946" w:rsidP="009F364F"/>
    <w:p w14:paraId="6BAB923F" w14:textId="5B3FA083" w:rsidR="005F3EA0" w:rsidRPr="0098629B" w:rsidRDefault="003B1AB1" w:rsidP="00B04A7C">
      <w:pPr>
        <w:pStyle w:val="Titre3Niveau3"/>
      </w:pPr>
      <w:bookmarkStart w:id="10" w:name="_Toc138344576"/>
      <w:r w:rsidRPr="0098629B">
        <w:t xml:space="preserve">Emissions de </w:t>
      </w:r>
      <w:r w:rsidR="00811B0F" w:rsidRPr="0098629B">
        <w:t>CO</w:t>
      </w:r>
      <w:r w:rsidR="00811B0F" w:rsidRPr="0098629B">
        <w:rPr>
          <w:vertAlign w:val="subscript"/>
        </w:rPr>
        <w:t>2</w:t>
      </w:r>
      <w:bookmarkEnd w:id="10"/>
    </w:p>
    <w:p w14:paraId="20048FFF" w14:textId="621BE419" w:rsidR="005F3EA0" w:rsidRPr="0098629B" w:rsidRDefault="005F3EA0" w:rsidP="009F364F">
      <w:r w:rsidRPr="0098629B">
        <w:t xml:space="preserve">Les émissions de </w:t>
      </w:r>
      <w:r w:rsidR="00811B0F" w:rsidRPr="0098629B">
        <w:t>CO</w:t>
      </w:r>
      <w:r w:rsidR="00811B0F" w:rsidRPr="0098629B">
        <w:rPr>
          <w:vertAlign w:val="subscript"/>
        </w:rPr>
        <w:t>2</w:t>
      </w:r>
      <w:r w:rsidRPr="0098629B">
        <w:t xml:space="preserve"> sont principalement dues à l’usage énergétique : en 2020 les émissions hors UTCATF sont de 289,4 Mt</w:t>
      </w:r>
      <w:r w:rsidR="00811B0F" w:rsidRPr="0098629B">
        <w:t>CO</w:t>
      </w:r>
      <w:r w:rsidR="00811B0F" w:rsidRPr="0098629B">
        <w:rPr>
          <w:vertAlign w:val="subscript"/>
        </w:rPr>
        <w:t>2</w:t>
      </w:r>
      <w:r w:rsidR="00891B49" w:rsidRPr="0098629B">
        <w:rPr>
          <w:vertAlign w:val="subscript"/>
        </w:rPr>
        <w:t>e</w:t>
      </w:r>
      <w:r w:rsidRPr="0098629B">
        <w:t>, s</w:t>
      </w:r>
      <w:r w:rsidR="00B04A7C" w:rsidRPr="0098629B">
        <w:t xml:space="preserve">oit 73,6% des émissions totales </w:t>
      </w:r>
      <w:r w:rsidRPr="0098629B">
        <w:t>(393 Mt</w:t>
      </w:r>
      <w:r w:rsidR="00811B0F" w:rsidRPr="0098629B">
        <w:t>CO</w:t>
      </w:r>
      <w:r w:rsidR="00811B0F" w:rsidRPr="0098629B">
        <w:rPr>
          <w:vertAlign w:val="subscript"/>
        </w:rPr>
        <w:t>2</w:t>
      </w:r>
      <w:r w:rsidR="00891B49" w:rsidRPr="0098629B">
        <w:rPr>
          <w:vertAlign w:val="subscript"/>
        </w:rPr>
        <w:t>e</w:t>
      </w:r>
      <w:r w:rsidRPr="0098629B">
        <w:t>).</w:t>
      </w:r>
    </w:p>
    <w:p w14:paraId="518EF70C" w14:textId="1BFE842C" w:rsidR="005F3EA0" w:rsidRPr="0098629B" w:rsidRDefault="005F3EA0" w:rsidP="009F364F">
      <w:r w:rsidRPr="0098629B">
        <w:t xml:space="preserve">Le transport est le secteur le plus émetteur de </w:t>
      </w:r>
      <w:r w:rsidR="00811B0F" w:rsidRPr="0098629B">
        <w:t>CO</w:t>
      </w:r>
      <w:r w:rsidR="00811B0F" w:rsidRPr="0098629B">
        <w:rPr>
          <w:vertAlign w:val="subscript"/>
        </w:rPr>
        <w:t>2</w:t>
      </w:r>
      <w:r w:rsidRPr="0098629B">
        <w:t xml:space="preserve"> (37,7%), suivi par l’industrie manufacturière (23,5%)</w:t>
      </w:r>
      <w:r w:rsidR="00C20719" w:rsidRPr="0098629B">
        <w:t xml:space="preserve"> et le résidentiel-tertiaire (20,9%). Ces parts ont très peu évolué, même si en 2020 l’industrie est passée devant le résidentiel-tertiaire.</w:t>
      </w:r>
    </w:p>
    <w:p w14:paraId="7E07D6B5" w14:textId="54893CB5" w:rsidR="00C5348E" w:rsidRPr="0098629B" w:rsidRDefault="00C5348E" w:rsidP="009F364F">
      <w:r w:rsidRPr="0098629B">
        <w:rPr>
          <w:noProof/>
        </w:rPr>
        <w:lastRenderedPageBreak/>
        <w:drawing>
          <wp:inline distT="0" distB="0" distL="0" distR="0" wp14:anchorId="2FEAC452" wp14:editId="587EDE69">
            <wp:extent cx="5791200" cy="3629025"/>
            <wp:effectExtent l="0" t="0" r="0" b="952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9675C8" w14:textId="2F6C25DD" w:rsidR="00CF4F89" w:rsidRPr="0098629B" w:rsidRDefault="00CF4F89" w:rsidP="00CF4F89">
      <w:pPr>
        <w:pStyle w:val="Caption"/>
      </w:pPr>
      <w:bookmarkStart w:id="11" w:name="_Toc123916613"/>
      <w:r w:rsidRPr="0098629B">
        <w:t xml:space="preserve">Figure </w:t>
      </w:r>
      <w:fldSimple w:instr=" SEQ Figure \* ARABIC ">
        <w:r w:rsidR="006B0E73">
          <w:rPr>
            <w:noProof/>
          </w:rPr>
          <w:t>5</w:t>
        </w:r>
      </w:fldSimple>
      <w:r w:rsidRPr="0098629B">
        <w:t xml:space="preserve"> : </w:t>
      </w:r>
      <w:r w:rsidR="00FD0FF2" w:rsidRPr="0098629B">
        <w:t>Evolution</w:t>
      </w:r>
      <w:r w:rsidR="005F5D6B" w:rsidRPr="0098629B">
        <w:t xml:space="preserve"> des é</w:t>
      </w:r>
      <w:r w:rsidR="000713CC" w:rsidRPr="0098629B">
        <w:t xml:space="preserve">missions de </w:t>
      </w:r>
      <w:r w:rsidR="00811B0F" w:rsidRPr="0098629B">
        <w:t>CO</w:t>
      </w:r>
      <w:r w:rsidR="00811B0F" w:rsidRPr="0098629B">
        <w:rPr>
          <w:vertAlign w:val="subscript"/>
        </w:rPr>
        <w:t>2</w:t>
      </w:r>
      <w:r w:rsidR="000713CC" w:rsidRPr="0098629B">
        <w:t xml:space="preserve"> </w:t>
      </w:r>
      <w:r w:rsidR="00FD0FF2" w:rsidRPr="0098629B">
        <w:t>pour les principaux secteurs contributeurs (en kt) de 1990 à 2020</w:t>
      </w:r>
      <w:bookmarkEnd w:id="11"/>
    </w:p>
    <w:p w14:paraId="3A436C59" w14:textId="6EEF3A24" w:rsidR="000713CC" w:rsidRPr="0098629B" w:rsidRDefault="000713CC" w:rsidP="00CF4F89">
      <w:pPr>
        <w:pStyle w:val="Caption"/>
      </w:pPr>
      <w:r w:rsidRPr="0098629B">
        <w:t xml:space="preserve">Source : </w:t>
      </w:r>
      <w:r w:rsidR="00FD0FF2" w:rsidRPr="0098629B">
        <w:t>inventaire Citepa/MTE, soumission CCNUCC avril 2022, au périmètre Kyoto.</w:t>
      </w:r>
    </w:p>
    <w:p w14:paraId="255A0567" w14:textId="13FB74FC" w:rsidR="00B3263B" w:rsidRPr="0098629B" w:rsidRDefault="00B3263B" w:rsidP="009F364F"/>
    <w:p w14:paraId="30C3AD4E" w14:textId="71E168D6" w:rsidR="00ED42B1" w:rsidRPr="0098629B" w:rsidRDefault="00ED42B1" w:rsidP="009F364F">
      <w:r w:rsidRPr="0098629B">
        <w:t xml:space="preserve">Les émissions de </w:t>
      </w:r>
      <w:r w:rsidR="00811B0F" w:rsidRPr="0098629B">
        <w:t>CO</w:t>
      </w:r>
      <w:r w:rsidR="00811B0F" w:rsidRPr="0098629B">
        <w:rPr>
          <w:vertAlign w:val="subscript"/>
        </w:rPr>
        <w:t>2</w:t>
      </w:r>
      <w:r w:rsidRPr="0098629B">
        <w:t xml:space="preserve"> sont en baisse de 27,4% par rapport à 1990, hors secteur des terres.</w:t>
      </w:r>
    </w:p>
    <w:p w14:paraId="1D416FF8" w14:textId="0C412EB9" w:rsidR="00C20719" w:rsidRPr="0098629B" w:rsidRDefault="00ED42B1" w:rsidP="00B04A7C">
      <w:pPr>
        <w:pStyle w:val="Titre3Niveau3"/>
      </w:pPr>
      <w:bookmarkStart w:id="12" w:name="_Toc138344577"/>
      <w:r w:rsidRPr="0098629B">
        <w:t>E</w:t>
      </w:r>
      <w:r w:rsidR="00C20719" w:rsidRPr="0098629B">
        <w:t>missions de méthane (</w:t>
      </w:r>
      <w:r w:rsidR="00891B49" w:rsidRPr="0098629B">
        <w:t>CH</w:t>
      </w:r>
      <w:r w:rsidR="00891B49" w:rsidRPr="0098629B">
        <w:rPr>
          <w:vertAlign w:val="subscript"/>
        </w:rPr>
        <w:t>4</w:t>
      </w:r>
      <w:r w:rsidR="00C20719" w:rsidRPr="0098629B">
        <w:t>)</w:t>
      </w:r>
      <w:bookmarkEnd w:id="12"/>
    </w:p>
    <w:p w14:paraId="33497244" w14:textId="71DD352D" w:rsidR="00A703F4" w:rsidRPr="0098629B" w:rsidRDefault="00F87158" w:rsidP="00C20719">
      <w:r w:rsidRPr="0098629B">
        <w:t>En 2020 les émissions de méthane étaient de 54,6 Mt</w:t>
      </w:r>
      <w:r w:rsidR="00811B0F" w:rsidRPr="0098629B">
        <w:t>CO</w:t>
      </w:r>
      <w:r w:rsidR="00811B0F" w:rsidRPr="0098629B">
        <w:rPr>
          <w:vertAlign w:val="subscript"/>
        </w:rPr>
        <w:t>2</w:t>
      </w:r>
      <w:r w:rsidR="00891B49" w:rsidRPr="0098629B">
        <w:rPr>
          <w:vertAlign w:val="subscript"/>
        </w:rPr>
        <w:t>e</w:t>
      </w:r>
      <w:r w:rsidRPr="0098629B">
        <w:t>, soit 13,9% du total national.</w:t>
      </w:r>
      <w:r w:rsidR="001B7CC7" w:rsidRPr="0098629B">
        <w:t xml:space="preserve"> </w:t>
      </w:r>
      <w:r w:rsidRPr="0098629B">
        <w:t>L’agriculture (37 Mt</w:t>
      </w:r>
      <w:r w:rsidR="00811B0F" w:rsidRPr="0098629B">
        <w:t>CO</w:t>
      </w:r>
      <w:r w:rsidR="00811B0F" w:rsidRPr="0098629B">
        <w:rPr>
          <w:vertAlign w:val="subscript"/>
        </w:rPr>
        <w:t>2</w:t>
      </w:r>
      <w:r w:rsidR="00891B49" w:rsidRPr="0098629B">
        <w:rPr>
          <w:vertAlign w:val="subscript"/>
        </w:rPr>
        <w:t>e</w:t>
      </w:r>
      <w:r w:rsidRPr="0098629B">
        <w:t xml:space="preserve">) est responsable de 68% des émissions de méthane : le </w:t>
      </w:r>
      <w:r w:rsidR="00891B49" w:rsidRPr="0098629B">
        <w:t>CH</w:t>
      </w:r>
      <w:r w:rsidR="00891B49" w:rsidRPr="0098629B">
        <w:rPr>
          <w:vertAlign w:val="subscript"/>
        </w:rPr>
        <w:t>4</w:t>
      </w:r>
      <w:r w:rsidRPr="0098629B">
        <w:t xml:space="preserve"> est issu à 99,7% de la fermentation entérique et de la gestion des déjections animales. Le traitement des déchets (12,9 Mt</w:t>
      </w:r>
      <w:r w:rsidR="00811B0F" w:rsidRPr="0098629B">
        <w:t>CO</w:t>
      </w:r>
      <w:r w:rsidR="00811B0F" w:rsidRPr="0098629B">
        <w:rPr>
          <w:vertAlign w:val="subscript"/>
        </w:rPr>
        <w:t>2</w:t>
      </w:r>
      <w:r w:rsidR="00891B49" w:rsidRPr="0098629B">
        <w:rPr>
          <w:vertAlign w:val="subscript"/>
        </w:rPr>
        <w:t>e</w:t>
      </w:r>
      <w:r w:rsidRPr="0098629B">
        <w:t>) est le 2</w:t>
      </w:r>
      <w:r w:rsidRPr="0098629B">
        <w:rPr>
          <w:vertAlign w:val="superscript"/>
        </w:rPr>
        <w:t>e</w:t>
      </w:r>
      <w:r w:rsidRPr="0098629B">
        <w:t xml:space="preserve"> secteur contributeur aux émissions de méthane.</w:t>
      </w:r>
    </w:p>
    <w:p w14:paraId="20373386" w14:textId="77777777" w:rsidR="00114C84" w:rsidRPr="0098629B" w:rsidRDefault="00114C84" w:rsidP="00C20719"/>
    <w:p w14:paraId="429E067E" w14:textId="7DC66E5B" w:rsidR="005A05DB" w:rsidRPr="0098629B" w:rsidRDefault="005A05DB" w:rsidP="002A03F0">
      <w:pPr>
        <w:jc w:val="center"/>
      </w:pPr>
      <w:r>
        <w:rPr>
          <w:noProof/>
        </w:rPr>
        <w:drawing>
          <wp:inline distT="0" distB="0" distL="0" distR="0" wp14:anchorId="4084901F" wp14:editId="08CBF7BA">
            <wp:extent cx="5324475" cy="3429000"/>
            <wp:effectExtent l="0" t="0" r="952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B16819" w14:textId="2A9CEA8A" w:rsidR="005D35AC" w:rsidRPr="0098629B" w:rsidRDefault="005D35AC" w:rsidP="005D35AC">
      <w:pPr>
        <w:pStyle w:val="Caption"/>
      </w:pPr>
      <w:bookmarkStart w:id="13" w:name="_Toc123916614"/>
      <w:r w:rsidRPr="0098629B">
        <w:lastRenderedPageBreak/>
        <w:t xml:space="preserve">Figure </w:t>
      </w:r>
      <w:fldSimple w:instr=" SEQ Figure \* ARABIC ">
        <w:r w:rsidR="006B0E73">
          <w:rPr>
            <w:noProof/>
          </w:rPr>
          <w:t>6</w:t>
        </w:r>
      </w:fldSimple>
      <w:r w:rsidRPr="0098629B">
        <w:t> </w:t>
      </w:r>
      <w:r w:rsidR="00A84719" w:rsidRPr="0098629B">
        <w:t xml:space="preserve">: Evolution des émissions de </w:t>
      </w:r>
      <w:r w:rsidR="00891B49" w:rsidRPr="0098629B">
        <w:t>CH</w:t>
      </w:r>
      <w:r w:rsidR="00891B49" w:rsidRPr="0098629B">
        <w:rPr>
          <w:vertAlign w:val="subscript"/>
        </w:rPr>
        <w:t>4</w:t>
      </w:r>
      <w:r w:rsidR="00A84719" w:rsidRPr="0098629B">
        <w:t xml:space="preserve"> pour les principaux secteurs contributeurs (en kt</w:t>
      </w:r>
      <w:r w:rsidR="00811B0F" w:rsidRPr="0098629B">
        <w:t>CO</w:t>
      </w:r>
      <w:r w:rsidR="00811B0F" w:rsidRPr="0098629B">
        <w:rPr>
          <w:vertAlign w:val="subscript"/>
        </w:rPr>
        <w:t>2</w:t>
      </w:r>
      <w:r w:rsidR="00891B49" w:rsidRPr="0098629B">
        <w:rPr>
          <w:vertAlign w:val="subscript"/>
        </w:rPr>
        <w:t>e</w:t>
      </w:r>
      <w:r w:rsidR="00A84719" w:rsidRPr="0098629B">
        <w:t>) de 1990 à 2020</w:t>
      </w:r>
      <w:bookmarkEnd w:id="13"/>
    </w:p>
    <w:p w14:paraId="0622AAE6" w14:textId="6C491EC6" w:rsidR="002E7E70" w:rsidRPr="0098629B" w:rsidRDefault="00A84719" w:rsidP="001B7CC7">
      <w:pPr>
        <w:pStyle w:val="Caption"/>
      </w:pPr>
      <w:r w:rsidRPr="0098629B">
        <w:t>Source</w:t>
      </w:r>
      <w:r w:rsidRPr="0098629B">
        <w:rPr>
          <w:rFonts w:ascii="Calibri" w:hAnsi="Calibri" w:cs="Calibri"/>
        </w:rPr>
        <w:t> </w:t>
      </w:r>
      <w:r w:rsidRPr="0098629B">
        <w:t>: inventaire Citepa/MTE, soumission CCNUCC avril 2022, au p</w:t>
      </w:r>
      <w:r w:rsidRPr="0098629B">
        <w:rPr>
          <w:rFonts w:cs="Marianne"/>
        </w:rPr>
        <w:t>é</w:t>
      </w:r>
      <w:r w:rsidRPr="0098629B">
        <w:t>rim</w:t>
      </w:r>
      <w:r w:rsidRPr="0098629B">
        <w:rPr>
          <w:rFonts w:cs="Marianne"/>
        </w:rPr>
        <w:t>è</w:t>
      </w:r>
      <w:r w:rsidRPr="0098629B">
        <w:t>tre Kyoto.</w:t>
      </w:r>
    </w:p>
    <w:p w14:paraId="58C7EB50" w14:textId="77777777" w:rsidR="002E7E70" w:rsidRPr="0098629B" w:rsidRDefault="002E7E70" w:rsidP="009F364F"/>
    <w:p w14:paraId="5DE6F4B5" w14:textId="6726F644" w:rsidR="00A703F4" w:rsidRPr="0098629B" w:rsidRDefault="00A703F4" w:rsidP="00B04A7C">
      <w:pPr>
        <w:pStyle w:val="Titre3Niveau3"/>
      </w:pPr>
      <w:bookmarkStart w:id="14" w:name="_Toc138344578"/>
      <w:r w:rsidRPr="0098629B">
        <w:t>Répartition par secteurs des émissions de protoxyde d’azote (</w:t>
      </w:r>
      <w:r w:rsidR="00891B49" w:rsidRPr="0098629B">
        <w:t>N</w:t>
      </w:r>
      <w:r w:rsidR="00891B49" w:rsidRPr="0098629B">
        <w:rPr>
          <w:vertAlign w:val="subscript"/>
        </w:rPr>
        <w:t>2</w:t>
      </w:r>
      <w:r w:rsidR="00891B49" w:rsidRPr="0098629B">
        <w:t>O</w:t>
      </w:r>
      <w:r w:rsidRPr="0098629B">
        <w:t>)</w:t>
      </w:r>
      <w:bookmarkEnd w:id="14"/>
    </w:p>
    <w:p w14:paraId="411FCEC8" w14:textId="77777777" w:rsidR="00CC7947" w:rsidRPr="0098629B" w:rsidRDefault="00CC7947" w:rsidP="00A703F4"/>
    <w:p w14:paraId="6CB0AE2C" w14:textId="1F99E6F0" w:rsidR="005E12DA" w:rsidRPr="0098629B" w:rsidRDefault="00CC7947" w:rsidP="00A703F4">
      <w:r w:rsidRPr="0098629B">
        <w:t xml:space="preserve">Les émissions de </w:t>
      </w:r>
      <w:r w:rsidR="00891B49" w:rsidRPr="0098629B">
        <w:t>N</w:t>
      </w:r>
      <w:r w:rsidR="00891B49" w:rsidRPr="0098629B">
        <w:rPr>
          <w:vertAlign w:val="subscript"/>
        </w:rPr>
        <w:t>2</w:t>
      </w:r>
      <w:r w:rsidR="00891B49" w:rsidRPr="0098629B">
        <w:t>O</w:t>
      </w:r>
      <w:r w:rsidRPr="0098629B">
        <w:t xml:space="preserve"> hors UTCATF pour le périmètre Kyoto étaient de 36,3 Mt</w:t>
      </w:r>
      <w:r w:rsidR="00811B0F" w:rsidRPr="0098629B">
        <w:t>CO</w:t>
      </w:r>
      <w:r w:rsidR="00811B0F" w:rsidRPr="0098629B">
        <w:rPr>
          <w:vertAlign w:val="subscript"/>
        </w:rPr>
        <w:t>2</w:t>
      </w:r>
      <w:r w:rsidR="00891B49" w:rsidRPr="0098629B">
        <w:rPr>
          <w:vertAlign w:val="subscript"/>
        </w:rPr>
        <w:t>e</w:t>
      </w:r>
      <w:r w:rsidRPr="0098629B">
        <w:t xml:space="preserve"> en 2020, soit</w:t>
      </w:r>
      <w:r w:rsidR="00E62FF5" w:rsidRPr="0098629B">
        <w:t xml:space="preserve"> 9,2% </w:t>
      </w:r>
      <w:r w:rsidRPr="0098629B">
        <w:t>des émissions de la France.</w:t>
      </w:r>
      <w:r w:rsidR="00B47236" w:rsidRPr="0098629B">
        <w:t xml:space="preserve"> </w:t>
      </w:r>
      <w:r w:rsidRPr="0098629B">
        <w:t xml:space="preserve">90% des émissions de </w:t>
      </w:r>
      <w:r w:rsidR="00891B49" w:rsidRPr="0098629B">
        <w:t>N</w:t>
      </w:r>
      <w:r w:rsidR="00891B49" w:rsidRPr="0098629B">
        <w:rPr>
          <w:vertAlign w:val="subscript"/>
        </w:rPr>
        <w:t>2</w:t>
      </w:r>
      <w:r w:rsidR="00891B49" w:rsidRPr="0098629B">
        <w:t>O</w:t>
      </w:r>
      <w:r w:rsidRPr="0098629B">
        <w:t xml:space="preserve"> proviennent du secteur agricole, et en particulier de </w:t>
      </w:r>
      <w:r w:rsidR="005E12DA" w:rsidRPr="0098629B">
        <w:t xml:space="preserve">l’épandage d’engrais pour </w:t>
      </w:r>
      <w:r w:rsidRPr="0098629B">
        <w:t>la fertilisation des sols</w:t>
      </w:r>
      <w:r w:rsidR="005E12DA" w:rsidRPr="0098629B">
        <w:t xml:space="preserve">, et des déjections animales. Cette part a tendance à augmenter depuis 2010, alors que les émissions de </w:t>
      </w:r>
      <w:r w:rsidR="00891B49" w:rsidRPr="0098629B">
        <w:t>N</w:t>
      </w:r>
      <w:r w:rsidR="00891B49" w:rsidRPr="0098629B">
        <w:rPr>
          <w:vertAlign w:val="subscript"/>
        </w:rPr>
        <w:t>2</w:t>
      </w:r>
      <w:r w:rsidR="00891B49" w:rsidRPr="0098629B">
        <w:t>O</w:t>
      </w:r>
      <w:r w:rsidR="005E12DA" w:rsidRPr="0098629B">
        <w:t xml:space="preserve"> sont en baisse.</w:t>
      </w:r>
      <w:r w:rsidR="00B47236" w:rsidRPr="0098629B">
        <w:t xml:space="preserve"> </w:t>
      </w:r>
      <w:r w:rsidR="005E12DA" w:rsidRPr="0098629B">
        <w:t xml:space="preserve">La part de l’industrie dans les émissions de </w:t>
      </w:r>
      <w:r w:rsidR="00891B49" w:rsidRPr="0098629B">
        <w:t>N</w:t>
      </w:r>
      <w:r w:rsidR="00891B49" w:rsidRPr="0098629B">
        <w:rPr>
          <w:vertAlign w:val="subscript"/>
        </w:rPr>
        <w:t>2</w:t>
      </w:r>
      <w:r w:rsidR="00891B49" w:rsidRPr="0098629B">
        <w:t>O</w:t>
      </w:r>
      <w:r w:rsidR="005E12DA" w:rsidRPr="0098629B">
        <w:t xml:space="preserve"> est relativement stable, même si les émissions de ce sous-secteur continuent de baisse</w:t>
      </w:r>
      <w:r w:rsidR="00A84719" w:rsidRPr="0098629B">
        <w:t>r et ont baissé de 95% depuis 19</w:t>
      </w:r>
      <w:r w:rsidR="005E12DA" w:rsidRPr="0098629B">
        <w:t>90.</w:t>
      </w:r>
    </w:p>
    <w:p w14:paraId="459779BA" w14:textId="483F6D5E" w:rsidR="00A84719" w:rsidRPr="0098629B" w:rsidRDefault="00A84719" w:rsidP="00A84719">
      <w:pPr>
        <w:jc w:val="center"/>
      </w:pPr>
      <w:r w:rsidRPr="0098629B">
        <w:rPr>
          <w:noProof/>
        </w:rPr>
        <w:drawing>
          <wp:inline distT="0" distB="0" distL="0" distR="0" wp14:anchorId="4453779B" wp14:editId="73EBD51E">
            <wp:extent cx="5305425" cy="3276600"/>
            <wp:effectExtent l="0" t="0" r="9525"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A898C6" w14:textId="0AA6DCA1" w:rsidR="005E12DA" w:rsidRPr="0098629B" w:rsidRDefault="005E12DA" w:rsidP="009F364F"/>
    <w:p w14:paraId="2FDDBF36" w14:textId="359F5288" w:rsidR="005D35AC" w:rsidRPr="0098629B" w:rsidRDefault="005D35AC" w:rsidP="005D35AC">
      <w:pPr>
        <w:pStyle w:val="Caption"/>
      </w:pPr>
      <w:bookmarkStart w:id="15" w:name="_Toc123916615"/>
      <w:r w:rsidRPr="0098629B">
        <w:t xml:space="preserve">Figure </w:t>
      </w:r>
      <w:fldSimple w:instr=" SEQ Figure \* ARABIC ">
        <w:r w:rsidR="006B0E73">
          <w:rPr>
            <w:noProof/>
          </w:rPr>
          <w:t>7</w:t>
        </w:r>
      </w:fldSimple>
      <w:r w:rsidRPr="0098629B">
        <w:t xml:space="preserve"> : </w:t>
      </w:r>
      <w:r w:rsidR="00E62FF5" w:rsidRPr="0098629B">
        <w:t xml:space="preserve">Evolution des émissions de </w:t>
      </w:r>
      <w:r w:rsidR="00891B49" w:rsidRPr="0098629B">
        <w:t>N</w:t>
      </w:r>
      <w:r w:rsidR="00891B49" w:rsidRPr="0098629B">
        <w:rPr>
          <w:vertAlign w:val="subscript"/>
        </w:rPr>
        <w:t>2</w:t>
      </w:r>
      <w:r w:rsidR="00891B49" w:rsidRPr="0098629B">
        <w:t>O</w:t>
      </w:r>
      <w:r w:rsidR="00E62FF5" w:rsidRPr="0098629B">
        <w:t xml:space="preserve"> pour les principaux secteurs contributeurs (en kt</w:t>
      </w:r>
      <w:r w:rsidR="00811B0F" w:rsidRPr="0098629B">
        <w:t>CO</w:t>
      </w:r>
      <w:r w:rsidR="00811B0F" w:rsidRPr="0098629B">
        <w:rPr>
          <w:vertAlign w:val="subscript"/>
        </w:rPr>
        <w:t>2</w:t>
      </w:r>
      <w:r w:rsidR="00891B49" w:rsidRPr="0098629B">
        <w:rPr>
          <w:vertAlign w:val="subscript"/>
        </w:rPr>
        <w:t>e</w:t>
      </w:r>
      <w:r w:rsidR="00E62FF5" w:rsidRPr="0098629B">
        <w:t>) de 1990 à 2020</w:t>
      </w:r>
      <w:bookmarkEnd w:id="15"/>
    </w:p>
    <w:p w14:paraId="5E9B1AEB" w14:textId="6DC168C8" w:rsidR="005F5D6B" w:rsidRPr="0098629B" w:rsidRDefault="00E62FF5" w:rsidP="005D35AC">
      <w:pPr>
        <w:pStyle w:val="Caption"/>
      </w:pPr>
      <w:r w:rsidRPr="0098629B">
        <w:t>Source : inventaire Citepa/MTE, soumission CCNUCC avril 2022, au périmètre Kyoto</w:t>
      </w:r>
    </w:p>
    <w:p w14:paraId="1A339DEF" w14:textId="77777777" w:rsidR="005F5D6B" w:rsidRPr="0098629B" w:rsidRDefault="005F5D6B" w:rsidP="009F364F"/>
    <w:p w14:paraId="70FEDF5F" w14:textId="14E8A946" w:rsidR="005E12DA" w:rsidRPr="0098629B" w:rsidRDefault="005E12DA" w:rsidP="00B04A7C">
      <w:pPr>
        <w:pStyle w:val="Titre3Niveau3"/>
      </w:pPr>
      <w:bookmarkStart w:id="16" w:name="_Toc138344579"/>
      <w:r w:rsidRPr="0098629B">
        <w:t xml:space="preserve">Répartition des émissions par secteur : les gaz fluorés (PFC, HFC </w:t>
      </w:r>
      <w:r w:rsidR="002F2FFD" w:rsidRPr="0098629B">
        <w:t>SF</w:t>
      </w:r>
      <w:r w:rsidR="002F2FFD" w:rsidRPr="0098629B">
        <w:rPr>
          <w:vertAlign w:val="subscript"/>
        </w:rPr>
        <w:t>6</w:t>
      </w:r>
      <w:r w:rsidRPr="0098629B">
        <w:t xml:space="preserve"> et </w:t>
      </w:r>
      <w:r w:rsidR="002F2FFD" w:rsidRPr="0098629B">
        <w:t>NF</w:t>
      </w:r>
      <w:r w:rsidR="002F2FFD" w:rsidRPr="0098629B">
        <w:rPr>
          <w:vertAlign w:val="subscript"/>
        </w:rPr>
        <w:t>3</w:t>
      </w:r>
      <w:r w:rsidRPr="0098629B">
        <w:t>)</w:t>
      </w:r>
      <w:bookmarkEnd w:id="16"/>
    </w:p>
    <w:p w14:paraId="0B74EB91" w14:textId="4B1CBE26" w:rsidR="005E12DA" w:rsidRPr="0098629B" w:rsidRDefault="005E12DA" w:rsidP="009F364F"/>
    <w:p w14:paraId="28B78DE6" w14:textId="11ACFA48" w:rsidR="005E12DA" w:rsidRPr="0098629B" w:rsidRDefault="00D2621B" w:rsidP="009F364F">
      <w:r w:rsidRPr="0098629B">
        <w:t xml:space="preserve">En 2020, les émissions de gaz fluorés (HFC, PFC, </w:t>
      </w:r>
      <w:r w:rsidR="002F2FFD" w:rsidRPr="0098629B">
        <w:t>SF</w:t>
      </w:r>
      <w:r w:rsidR="002F2FFD" w:rsidRPr="0098629B">
        <w:rPr>
          <w:vertAlign w:val="subscript"/>
        </w:rPr>
        <w:t>6</w:t>
      </w:r>
      <w:r w:rsidRPr="0098629B">
        <w:t xml:space="preserve"> et </w:t>
      </w:r>
      <w:r w:rsidR="002F2FFD" w:rsidRPr="0098629B">
        <w:t>NF</w:t>
      </w:r>
      <w:r w:rsidR="002F2FFD" w:rsidRPr="0098629B">
        <w:rPr>
          <w:vertAlign w:val="subscript"/>
        </w:rPr>
        <w:t>3</w:t>
      </w:r>
      <w:r w:rsidRPr="0098629B">
        <w:t>) pour le périmètre Kyoto s’élevaient à 12,6 Mt</w:t>
      </w:r>
      <w:r w:rsidR="00811B0F" w:rsidRPr="0098629B">
        <w:t>CO</w:t>
      </w:r>
      <w:r w:rsidR="00811B0F" w:rsidRPr="0098629B">
        <w:rPr>
          <w:vertAlign w:val="subscript"/>
        </w:rPr>
        <w:t>2</w:t>
      </w:r>
      <w:r w:rsidR="00891B49" w:rsidRPr="0098629B">
        <w:rPr>
          <w:vertAlign w:val="subscript"/>
        </w:rPr>
        <w:t>e</w:t>
      </w:r>
      <w:r w:rsidRPr="0098629B">
        <w:t>, soit 3,2% des émissions nationales. Après une forte augmentation entre 1990 et 2012 (+64%), les émissions sont reparties à la baisse et ont presque retrouvé leur niveau de 1990 (+7,3%).</w:t>
      </w:r>
    </w:p>
    <w:p w14:paraId="68BDB3F6" w14:textId="2953F7B0" w:rsidR="00D2621B" w:rsidRPr="0098629B" w:rsidRDefault="00D2621B" w:rsidP="009F364F">
      <w:r w:rsidRPr="0098629B">
        <w:t>Ces émissions proviennent principalement des secteurs suivants</w:t>
      </w:r>
      <w:r w:rsidR="00445AB9" w:rsidRPr="0098629B">
        <w:t> :</w:t>
      </w:r>
    </w:p>
    <w:p w14:paraId="4C3F4A7B" w14:textId="210E4F3B" w:rsidR="00D2621B" w:rsidRPr="0098629B" w:rsidRDefault="00445AB9" w:rsidP="004D2261">
      <w:pPr>
        <w:pStyle w:val="ListParagraph"/>
        <w:numPr>
          <w:ilvl w:val="0"/>
          <w:numId w:val="6"/>
        </w:numPr>
      </w:pPr>
      <w:r w:rsidRPr="0098629B">
        <w:t>Résidentiel-tertiaire (climatisation et système de froid commercial et domestique) : 51,2%</w:t>
      </w:r>
      <w:r w:rsidR="00C616D1" w:rsidRPr="0098629B">
        <w:t xml:space="preserve"> des émissions (contre 1,21% en 1990 et 54,4% en 2015).</w:t>
      </w:r>
    </w:p>
    <w:p w14:paraId="7E8E7E23" w14:textId="62D6704D" w:rsidR="00C616D1" w:rsidRPr="0098629B" w:rsidRDefault="00C616D1" w:rsidP="004D2261">
      <w:pPr>
        <w:pStyle w:val="ListParagraph"/>
        <w:numPr>
          <w:ilvl w:val="0"/>
          <w:numId w:val="6"/>
        </w:numPr>
      </w:pPr>
      <w:r w:rsidRPr="0098629B">
        <w:t>Industrie : 25,8% des émissions (contre 94,5% en 1990 et 23,75% en 2015).</w:t>
      </w:r>
      <w:r w:rsidR="005A309C" w:rsidRPr="0098629B">
        <w:t xml:space="preserve"> Les émissions dans l’industrie manufacturière sont liées principalement à la production de magnésium et à la fabrication de disjoncteurs haute tension.</w:t>
      </w:r>
    </w:p>
    <w:p w14:paraId="500FE578" w14:textId="4B02BD96" w:rsidR="00C616D1" w:rsidRPr="0098629B" w:rsidRDefault="00C616D1" w:rsidP="004D2261">
      <w:pPr>
        <w:pStyle w:val="ListParagraph"/>
        <w:numPr>
          <w:ilvl w:val="0"/>
          <w:numId w:val="6"/>
        </w:numPr>
      </w:pPr>
      <w:r w:rsidRPr="0098629B">
        <w:t>Transport (climatisation) : 20,4% des émissions (vs. 19,7% en 2015).</w:t>
      </w:r>
    </w:p>
    <w:p w14:paraId="432FFBC2" w14:textId="1FA7448B" w:rsidR="00E5301A" w:rsidRPr="0098629B" w:rsidRDefault="00E5301A" w:rsidP="00E5301A"/>
    <w:p w14:paraId="6EFD4449" w14:textId="0B7D9A9D" w:rsidR="00E5301A" w:rsidRPr="0098629B" w:rsidRDefault="00E5301A" w:rsidP="00E5301A">
      <w:pPr>
        <w:jc w:val="center"/>
      </w:pPr>
      <w:r w:rsidRPr="0098629B">
        <w:rPr>
          <w:noProof/>
        </w:rPr>
        <w:lastRenderedPageBreak/>
        <w:drawing>
          <wp:inline distT="0" distB="0" distL="0" distR="0" wp14:anchorId="6CA1356D" wp14:editId="1939BF31">
            <wp:extent cx="5438775" cy="3171825"/>
            <wp:effectExtent l="0" t="0" r="9525" b="9525"/>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D42CA9" w14:textId="6A3A1048" w:rsidR="005D35AC" w:rsidRPr="0098629B" w:rsidRDefault="005D35AC" w:rsidP="005D35AC">
      <w:pPr>
        <w:pStyle w:val="Caption"/>
      </w:pPr>
      <w:bookmarkStart w:id="17" w:name="_Toc123916616"/>
      <w:r w:rsidRPr="0098629B">
        <w:t xml:space="preserve">Figure </w:t>
      </w:r>
      <w:fldSimple w:instr=" SEQ Figure \* ARABIC ">
        <w:r w:rsidR="006B0E73">
          <w:rPr>
            <w:noProof/>
          </w:rPr>
          <w:t>8</w:t>
        </w:r>
      </w:fldSimple>
      <w:r w:rsidRPr="0098629B">
        <w:t xml:space="preserve"> : </w:t>
      </w:r>
      <w:r w:rsidR="00E5301A" w:rsidRPr="0098629B">
        <w:t>Evolution des émissions de gaz fluorés (en kt</w:t>
      </w:r>
      <w:r w:rsidR="00811B0F" w:rsidRPr="0098629B">
        <w:t>CO</w:t>
      </w:r>
      <w:r w:rsidR="00811B0F" w:rsidRPr="0098629B">
        <w:rPr>
          <w:vertAlign w:val="subscript"/>
        </w:rPr>
        <w:t>2</w:t>
      </w:r>
      <w:r w:rsidR="00891B49" w:rsidRPr="0098629B">
        <w:rPr>
          <w:vertAlign w:val="subscript"/>
        </w:rPr>
        <w:t>e</w:t>
      </w:r>
      <w:r w:rsidR="00E5301A" w:rsidRPr="0098629B">
        <w:t>) de 1990 à 2020</w:t>
      </w:r>
      <w:bookmarkEnd w:id="17"/>
    </w:p>
    <w:p w14:paraId="5E76A04B" w14:textId="02B0A0EA" w:rsidR="005A309C" w:rsidRPr="0098629B" w:rsidRDefault="00E5301A" w:rsidP="005D35AC">
      <w:pPr>
        <w:pStyle w:val="Caption"/>
      </w:pPr>
      <w:r w:rsidRPr="0098629B">
        <w:t>Source : inventaire Citepa/MTE, soumission CCNUCC avril 2022, au périmètre Kyoto</w:t>
      </w:r>
    </w:p>
    <w:p w14:paraId="5AAE8CC5" w14:textId="011C1368" w:rsidR="005B1232" w:rsidRPr="0098629B" w:rsidRDefault="00E5301A" w:rsidP="00C246BC">
      <w:pPr>
        <w:pStyle w:val="Titre2Niveau2"/>
      </w:pPr>
      <w:bookmarkStart w:id="18" w:name="_Toc138344580"/>
      <w:r w:rsidRPr="0098629B">
        <w:t>Le système national d’inventaire</w:t>
      </w:r>
      <w:bookmarkEnd w:id="18"/>
    </w:p>
    <w:p w14:paraId="7B26FECF" w14:textId="3432D478" w:rsidR="00E5301A" w:rsidRPr="0098629B" w:rsidRDefault="00E5301A" w:rsidP="00E5301A">
      <w:r w:rsidRPr="0098629B">
        <w:t>La France n’a pas modifié son système national d’inventaire depuis le dernier rapport bisannuel. Le système national d’inventaire est conforme à l’article 5.1 du protocole de Kyoto (pour plus de détails, se référer à la description dans les rapports nationaux d’inventaires soumis). Il est basé sur les dispositions réglementaires de l’arrêté SNIEBA du 24 août 2011.</w:t>
      </w:r>
      <w:r w:rsidR="007114CC">
        <w:t xml:space="preserve"> Le système national d’inventaire et les dispositions relatives au système national d’inventaire sont similaires.</w:t>
      </w:r>
    </w:p>
    <w:p w14:paraId="3FBACC0F" w14:textId="77777777" w:rsidR="00E5301A" w:rsidRPr="0098629B" w:rsidRDefault="00E5301A" w:rsidP="00E5301A"/>
    <w:p w14:paraId="1C3A7C44" w14:textId="4F467D63" w:rsidR="00E5301A" w:rsidRPr="0098629B" w:rsidRDefault="00E5301A" w:rsidP="00E5301A">
      <w:r w:rsidRPr="0098629B">
        <w:t>Concernant le registre national français, il n’y a pas eu de changement depuis le dernier rapport bisannuel. La Caisse des Dépôts a été désignée en 2004 par le décret n° 2004-1412 comme teneur du registre national, et a été chargée de développer des systèmes d’information destinés à exploiter le registre et assurer leur sécurisation.</w:t>
      </w:r>
      <w:r w:rsidR="00B47236" w:rsidRPr="0098629B">
        <w:t xml:space="preserve"> </w:t>
      </w:r>
      <w:r w:rsidRPr="0098629B">
        <w:t>Néanmoins, la traçabilité a été fortement améliorée en vue d’une meilleure transparence.</w:t>
      </w:r>
    </w:p>
    <w:p w14:paraId="277E5409" w14:textId="77777777" w:rsidR="00E5301A" w:rsidRPr="0098629B" w:rsidRDefault="00E5301A" w:rsidP="00E5301A"/>
    <w:p w14:paraId="3C755348" w14:textId="77777777" w:rsidR="005D35AC" w:rsidRPr="0098629B" w:rsidRDefault="00E5301A" w:rsidP="005D35AC">
      <w:r w:rsidRPr="0098629B">
        <w:t>Depuis la migration en juin 2012 vers le registre de l’Union européenne, c’est la Commission européenne qui assure la fourniture, la maintenance et la sécurisation du système d’information du registre national au titre des engagements des États-Membres européens en tant que Parties au protocole de Kyoto et à la Convention et en tant que participants au Système Communautaire d’Échange de Quotas d’Émissions de gaz à effet de serre du système européen (Registre EU-ETS).</w:t>
      </w:r>
    </w:p>
    <w:p w14:paraId="75722C0F" w14:textId="77777777" w:rsidR="005D35AC" w:rsidRPr="0098629B" w:rsidRDefault="005D35AC">
      <w:pPr>
        <w:spacing w:line="240" w:lineRule="atLeast"/>
        <w:jc w:val="left"/>
      </w:pPr>
      <w:r w:rsidRPr="0098629B">
        <w:br w:type="page"/>
      </w:r>
    </w:p>
    <w:p w14:paraId="40AB008A" w14:textId="77777777" w:rsidR="005D35AC" w:rsidRPr="0098629B" w:rsidRDefault="005D35AC" w:rsidP="007C589E">
      <w:pPr>
        <w:pStyle w:val="Titre1Niveau1"/>
      </w:pPr>
      <w:bookmarkStart w:id="19" w:name="ChapII"/>
      <w:bookmarkStart w:id="20" w:name="_Toc120883267"/>
      <w:bookmarkStart w:id="21" w:name="_Toc138344581"/>
      <w:bookmarkEnd w:id="19"/>
      <w:r w:rsidRPr="0098629B">
        <w:lastRenderedPageBreak/>
        <w:t>Chapitre II – Les objectifs chiffrés de réduction des émissions</w:t>
      </w:r>
      <w:bookmarkEnd w:id="20"/>
      <w:bookmarkEnd w:id="21"/>
    </w:p>
    <w:p w14:paraId="7B4096CE" w14:textId="77777777" w:rsidR="005D35AC" w:rsidRPr="0098629B" w:rsidRDefault="005D35AC" w:rsidP="00573042">
      <w:pPr>
        <w:pStyle w:val="Titre2Niveau2"/>
        <w:numPr>
          <w:ilvl w:val="0"/>
          <w:numId w:val="49"/>
        </w:numPr>
      </w:pPr>
      <w:bookmarkStart w:id="22" w:name="_Toc120883268"/>
      <w:bookmarkStart w:id="23" w:name="_Toc138344582"/>
      <w:r w:rsidRPr="0098629B">
        <w:t>Présentation de l’objectif, des gaz et secteurs couverts</w:t>
      </w:r>
      <w:bookmarkEnd w:id="22"/>
      <w:bookmarkEnd w:id="23"/>
    </w:p>
    <w:p w14:paraId="77E65385" w14:textId="77777777" w:rsidR="005D35AC" w:rsidRPr="0098629B" w:rsidRDefault="005D35AC" w:rsidP="00B04A7C">
      <w:pPr>
        <w:pStyle w:val="Titre3Niveau3"/>
      </w:pPr>
      <w:bookmarkStart w:id="24" w:name="_Toc120883269"/>
      <w:bookmarkStart w:id="25" w:name="_Toc138344583"/>
      <w:r w:rsidRPr="0098629B">
        <w:t>Au niveau européen</w:t>
      </w:r>
      <w:bookmarkEnd w:id="24"/>
      <w:bookmarkEnd w:id="25"/>
    </w:p>
    <w:p w14:paraId="5A1F0ABA" w14:textId="77777777" w:rsidR="005D35AC" w:rsidRPr="0098629B" w:rsidRDefault="005D35AC" w:rsidP="004D2261">
      <w:pPr>
        <w:pStyle w:val="Titre4niveau4"/>
        <w:numPr>
          <w:ilvl w:val="2"/>
          <w:numId w:val="5"/>
        </w:numPr>
      </w:pPr>
      <w:r w:rsidRPr="0098629B">
        <w:t>Engagement conjoint</w:t>
      </w:r>
    </w:p>
    <w:p w14:paraId="73EB73AF" w14:textId="577B82F4" w:rsidR="005D35AC" w:rsidRPr="0098629B" w:rsidRDefault="005D35AC" w:rsidP="005D35AC">
      <w:r w:rsidRPr="0098629B">
        <w:t>Dans le cadre de la CCNUCC, l'UE et ses États membres se sont engagés à atteindre, d'ici 2020, un objectif commun de réduction quantifiée des émissions de gaz à effet de serre dans l'ensemble de l'économie de 20 % par rapport au niveau de 1990 (« engagement de Cancún »). Il s'agit donc d'un engagement commun, sans objectifs distincts pour les États membres au titre de la convention. Le Royaume-Uni continue de faire partie de l'objectif commun de l'UE pour 2020 avec les 27 États membres de l'UE.</w:t>
      </w:r>
    </w:p>
    <w:p w14:paraId="2AC1F2EB" w14:textId="77777777" w:rsidR="005D35AC" w:rsidRPr="0098629B" w:rsidRDefault="005D35AC" w:rsidP="004D2261">
      <w:pPr>
        <w:pStyle w:val="Titre4niveau4"/>
        <w:numPr>
          <w:ilvl w:val="2"/>
          <w:numId w:val="5"/>
        </w:numPr>
      </w:pPr>
      <w:r w:rsidRPr="0098629B">
        <w:t>Organisation pour l’atteinte des objectifs européens</w:t>
      </w:r>
    </w:p>
    <w:p w14:paraId="6D90DC0A" w14:textId="77777777" w:rsidR="005D35AC" w:rsidRPr="0098629B" w:rsidRDefault="005D35AC" w:rsidP="005D35AC">
      <w:r w:rsidRPr="0098629B">
        <w:t>L'UE s'est engagée conjointement à atteindre son objectif au titre de la CCNUCC et l'a mis en œuvre en interne par le biais de la législation européenne dans le paquet climat et énergie 2020 de l'UE. Dans ce paquet, l'UE a introduit une approche claire pour atteindre la réduction de 20 % des émissions totales de GES par rapport aux niveaux de 1990, en répartissant l'effort entre les secteurs couverts par le système communautaire d'échange de quotas d'émission (SCEQE) et les secteurs relevant de la décision sur la répartition de l'effort (ESD). Des objectifs nationaux contraignants ont été fixés pour les États membres dans le cadre de la décision sur la répartition de l'effort. La réalisation de la conformité interne de l'UE dans le cadre du paquet climat-énergie 2020, y compris les objectifs nationaux au titre de la décision sur le partage de l'effort, n'est pas soumise à l'évaluation par la CCNUCC de l'engagement conjoint de l'UE au titre de la convention.</w:t>
      </w:r>
    </w:p>
    <w:p w14:paraId="576995A8" w14:textId="77777777" w:rsidR="00117FAB" w:rsidRPr="0098629B" w:rsidRDefault="00117FAB" w:rsidP="004D2261">
      <w:pPr>
        <w:pStyle w:val="titreencadre"/>
        <w:numPr>
          <w:ilvl w:val="3"/>
          <w:numId w:val="5"/>
        </w:numPr>
      </w:pPr>
    </w:p>
    <w:p w14:paraId="69564E16" w14:textId="6355389C" w:rsidR="005D35AC" w:rsidRPr="0098629B" w:rsidRDefault="005D35AC" w:rsidP="004D2261">
      <w:pPr>
        <w:pStyle w:val="titreencadre"/>
        <w:numPr>
          <w:ilvl w:val="3"/>
          <w:numId w:val="5"/>
        </w:numPr>
      </w:pPr>
      <w:r w:rsidRPr="0098629B">
        <w:t>Horizon 2020 : Le paquet Energie Climat</w:t>
      </w:r>
    </w:p>
    <w:p w14:paraId="2EFE95E8" w14:textId="489C466A" w:rsidR="005D35AC" w:rsidRPr="0098629B" w:rsidRDefault="00B47236" w:rsidP="005D35AC">
      <w:r w:rsidRPr="0098629B">
        <w:t>L’Union Européenne</w:t>
      </w:r>
      <w:r w:rsidR="005D35AC" w:rsidRPr="0098629B">
        <w:t xml:space="preserve"> a adopté en décembre 2008 le paquet législatif dit « paquet énergie-climat ». Cet ensemble de textes fixaient des objectifs contraignants pour l’horizon 2020 :</w:t>
      </w:r>
    </w:p>
    <w:p w14:paraId="77C9BF0B" w14:textId="77777777" w:rsidR="005D35AC" w:rsidRPr="0098629B" w:rsidRDefault="005D35AC" w:rsidP="004D2261">
      <w:pPr>
        <w:pStyle w:val="ListParagraph"/>
        <w:numPr>
          <w:ilvl w:val="0"/>
          <w:numId w:val="8"/>
        </w:numPr>
      </w:pPr>
      <w:r w:rsidRPr="0098629B">
        <w:t>Diminution de 20% des émissions de gaz à effet de serre des pays de l’UE en comparaison des niveaux de 1990 ;</w:t>
      </w:r>
    </w:p>
    <w:p w14:paraId="11B2FA11" w14:textId="77777777" w:rsidR="005D35AC" w:rsidRPr="0098629B" w:rsidRDefault="005D35AC" w:rsidP="004D2261">
      <w:pPr>
        <w:pStyle w:val="ListParagraph"/>
        <w:numPr>
          <w:ilvl w:val="0"/>
          <w:numId w:val="8"/>
        </w:numPr>
      </w:pPr>
      <w:r w:rsidRPr="0098629B">
        <w:t>Atteindre 20% d’énergies renouvelables dans le mix énergétique européen ;</w:t>
      </w:r>
    </w:p>
    <w:p w14:paraId="1A301567" w14:textId="77777777" w:rsidR="005D35AC" w:rsidRPr="0098629B" w:rsidRDefault="005D35AC" w:rsidP="004D2261">
      <w:pPr>
        <w:pStyle w:val="ListParagraph"/>
        <w:numPr>
          <w:ilvl w:val="0"/>
          <w:numId w:val="8"/>
        </w:numPr>
      </w:pPr>
      <w:r w:rsidRPr="0098629B">
        <w:t>Améliorer de 20% l’efficacité énergétique.</w:t>
      </w:r>
    </w:p>
    <w:p w14:paraId="41B1BEE0" w14:textId="425DE393" w:rsidR="005D35AC" w:rsidRPr="0098629B" w:rsidRDefault="005D35AC" w:rsidP="005D35AC">
      <w:r w:rsidRPr="0098629B">
        <w:t xml:space="preserve">Pour l’atteinte de ces objectifs plusieurs directives ont été votées visant à améliorer l’efficacité énergétique et à baisser les émissions de gaz à effet de serre (GES) dans différents secteurs (Directive sur le système d’échange de quotas d’émissions de </w:t>
      </w:r>
      <w:r w:rsidR="00811B0F" w:rsidRPr="0098629B">
        <w:t>CO</w:t>
      </w:r>
      <w:r w:rsidR="00811B0F" w:rsidRPr="0098629B">
        <w:rPr>
          <w:vertAlign w:val="subscript"/>
        </w:rPr>
        <w:t>2</w:t>
      </w:r>
      <w:r w:rsidRPr="0098629B">
        <w:t xml:space="preserve"> ; Directive qualité des carburants, Règlement sur la réduction des émissions de </w:t>
      </w:r>
      <w:r w:rsidR="00811B0F" w:rsidRPr="0098629B">
        <w:t>CO</w:t>
      </w:r>
      <w:r w:rsidR="00811B0F" w:rsidRPr="0098629B">
        <w:rPr>
          <w:vertAlign w:val="subscript"/>
        </w:rPr>
        <w:t>2</w:t>
      </w:r>
      <w:r w:rsidRPr="0098629B">
        <w:t xml:space="preserve"> des voitures neuves ; Directive énergies renouvelables ; Directive « partage de l’effort » ; Directive Capture et Stockage du Carbone, etc.)</w:t>
      </w:r>
    </w:p>
    <w:p w14:paraId="5AF46287" w14:textId="77777777" w:rsidR="005D35AC" w:rsidRPr="0098629B" w:rsidRDefault="005D35AC" w:rsidP="005D35AC"/>
    <w:p w14:paraId="6C74B5FF" w14:textId="77777777" w:rsidR="005D35AC" w:rsidRPr="0098629B" w:rsidRDefault="005D35AC" w:rsidP="005D35AC">
      <w:r w:rsidRPr="0098629B">
        <w:t>L’objectif de réduction des émissions de GES à 2020 constitue également l’engagement de l’UE sous la CCNUCC : c’est un objectif conjoint à l’ensemble des 28 (au moment de l’adoption des textes législatifs) Etats-Membres de l’UE. Ainsi, il n’y a pas d’objectif propre à chaque Etat-Membre sous la CCNUCC.</w:t>
      </w:r>
    </w:p>
    <w:p w14:paraId="5F2DAC23" w14:textId="77777777" w:rsidR="00117FAB" w:rsidRPr="0098629B" w:rsidRDefault="00117FAB" w:rsidP="005D35AC"/>
    <w:p w14:paraId="5476F97D" w14:textId="089F37D5" w:rsidR="005D35AC" w:rsidRPr="0098629B" w:rsidRDefault="005D35AC" w:rsidP="005D35AC">
      <w:r w:rsidRPr="0098629B">
        <w:t>L’objectif de réduction de 20% des émissions de GES s’appuie sur deux sous-objectifs :</w:t>
      </w:r>
    </w:p>
    <w:p w14:paraId="734E0201" w14:textId="77777777" w:rsidR="005D35AC" w:rsidRPr="0098629B" w:rsidRDefault="005D35AC" w:rsidP="004D2261">
      <w:pPr>
        <w:pStyle w:val="ListParagraph"/>
        <w:numPr>
          <w:ilvl w:val="0"/>
          <w:numId w:val="9"/>
        </w:numPr>
      </w:pPr>
      <w:r w:rsidRPr="0098629B">
        <w:t>Un pour les secteurs soumis au système d’échange de quotas d’émissions de l’UE (EU-ETS – EU Emissions Trading Scheme). La directive EU-ETS couvre les Etats-Membres de l’UE et trois Etats participants non Membres (Norvège, Islande et Liechtenstein). La directive fixe un plafond unique d’émissions, qui baisse de 1,74% par an entre 2013 et 2020.</w:t>
      </w:r>
    </w:p>
    <w:p w14:paraId="12AFD927" w14:textId="77777777" w:rsidR="005D35AC" w:rsidRPr="0098629B" w:rsidRDefault="005D35AC" w:rsidP="004D2261">
      <w:pPr>
        <w:pStyle w:val="ListParagraph"/>
        <w:numPr>
          <w:ilvl w:val="0"/>
          <w:numId w:val="9"/>
        </w:numPr>
      </w:pPr>
      <w:r w:rsidRPr="0098629B">
        <w:lastRenderedPageBreak/>
        <w:t>Un pour les émissions non-couvertes par l’EU-ETS, en dehors du transport maritime et du secteur des terres, qui rentrent dans le cadre du « partage de l’effort » (ESD – Effort Sharing Decision). Ces sources représentent de l’ordre de 60% des émissions de l’Union européenne. A la différence de l’objectif EU-ETS qui doit être réalisé par l’UE dans son ensemble, l’objectif ESD est différencié entre Etats-Membres.</w:t>
      </w:r>
    </w:p>
    <w:p w14:paraId="67BAF625" w14:textId="77777777" w:rsidR="00117FAB" w:rsidRPr="0098629B" w:rsidRDefault="00117FAB" w:rsidP="004D2261">
      <w:pPr>
        <w:pStyle w:val="titreencadre"/>
        <w:numPr>
          <w:ilvl w:val="3"/>
          <w:numId w:val="5"/>
        </w:numPr>
      </w:pPr>
    </w:p>
    <w:p w14:paraId="7F2A5926" w14:textId="763198AC" w:rsidR="005D35AC" w:rsidRPr="0098629B" w:rsidRDefault="005D35AC" w:rsidP="004D2261">
      <w:pPr>
        <w:pStyle w:val="titreencadre"/>
        <w:numPr>
          <w:ilvl w:val="3"/>
          <w:numId w:val="5"/>
        </w:numPr>
      </w:pPr>
      <w:r w:rsidRPr="0098629B">
        <w:t>Horizon 2030 : Le Pacte vert européen</w:t>
      </w:r>
    </w:p>
    <w:p w14:paraId="16AAF88C" w14:textId="0A81C66E" w:rsidR="005D35AC" w:rsidRPr="0098629B" w:rsidRDefault="005D35AC" w:rsidP="005D35AC">
      <w:r w:rsidRPr="0098629B">
        <w:t>En octobre 2014, le Conseil européen a adopté dans ses conclusions les principaux éléments cadres du cadre énergie-climat 2030. Ce cadre a été révisé en 2018 et fixe les objectifs suivant</w:t>
      </w:r>
      <w:r w:rsidR="00117FAB" w:rsidRPr="0098629B">
        <w:t>s</w:t>
      </w:r>
      <w:r w:rsidRPr="0098629B">
        <w:t xml:space="preserve"> : </w:t>
      </w:r>
    </w:p>
    <w:p w14:paraId="380DE282" w14:textId="77777777" w:rsidR="005D35AC" w:rsidRPr="0098629B" w:rsidRDefault="005D35AC" w:rsidP="004D2261">
      <w:pPr>
        <w:pStyle w:val="ListParagraph"/>
        <w:numPr>
          <w:ilvl w:val="0"/>
          <w:numId w:val="10"/>
        </w:numPr>
      </w:pPr>
      <w:r w:rsidRPr="0098629B">
        <w:t>Un objectif contraignant de réduction interne d’au moins 40% des émissions de GES d’ici à 2030 par rapport à 1990. C’est l’objectif qui a été communiqué à la CCNUCC comme Contribution déterminée au niveau nationale de l’UE. Il repose sur une réduction des émissions de l’EU-ETS de 43% par rapport à 2005, et sur une réduction des émissions des secteurs non-ETS de 30% par rapport à 2005.</w:t>
      </w:r>
    </w:p>
    <w:p w14:paraId="07B7724B" w14:textId="77777777" w:rsidR="005D35AC" w:rsidRPr="0098629B" w:rsidRDefault="005D35AC" w:rsidP="004D2261">
      <w:pPr>
        <w:pStyle w:val="ListParagraph"/>
        <w:numPr>
          <w:ilvl w:val="0"/>
          <w:numId w:val="10"/>
        </w:numPr>
      </w:pPr>
      <w:r w:rsidRPr="0098629B">
        <w:t>Un objectif contraignant d’au moins 32% d’énergies renouvelables dans le mix énergétique de l’UE d’ici à 2030.</w:t>
      </w:r>
    </w:p>
    <w:p w14:paraId="23A84B4A" w14:textId="77777777" w:rsidR="005D35AC" w:rsidRPr="0098629B" w:rsidRDefault="005D35AC" w:rsidP="004D2261">
      <w:pPr>
        <w:pStyle w:val="ListParagraph"/>
        <w:numPr>
          <w:ilvl w:val="0"/>
          <w:numId w:val="10"/>
        </w:numPr>
      </w:pPr>
      <w:r w:rsidRPr="0098629B">
        <w:t>Un objectif d’amélioration de l’efficacité énergétique indicatif d’au moins 32,5% pour 2030.</w:t>
      </w:r>
    </w:p>
    <w:p w14:paraId="0A5D1786" w14:textId="77777777" w:rsidR="005D35AC" w:rsidRPr="0098629B" w:rsidRDefault="005D35AC" w:rsidP="004D2261">
      <w:pPr>
        <w:pStyle w:val="ListParagraph"/>
        <w:numPr>
          <w:ilvl w:val="0"/>
          <w:numId w:val="10"/>
        </w:numPr>
      </w:pPr>
      <w:r w:rsidRPr="0098629B">
        <w:t>Une règle de « non débit » pour le puits de carbone du secteur des terres à l’horizon 2030, en comparaison à une période de référence.</w:t>
      </w:r>
    </w:p>
    <w:p w14:paraId="305C27A7" w14:textId="77777777" w:rsidR="005D35AC" w:rsidRPr="0098629B" w:rsidRDefault="005D35AC" w:rsidP="005D35AC"/>
    <w:p w14:paraId="5A69FF71" w14:textId="77777777" w:rsidR="005D35AC" w:rsidRPr="0098629B" w:rsidRDefault="005D35AC" w:rsidP="005D35AC">
      <w:r w:rsidRPr="0098629B">
        <w:rPr>
          <w:b/>
        </w:rPr>
        <w:t>En décembre 2019, la Commission a dévoilé une nouvelle feuille de route, « le Pacte vert européen » (Green new Deal) qui vise à atteindre la neutralité carbone en 2050 et prévoit de rehausser l’ambition de l’UE à l’horizon 2030. Cet objectif de neutralité est transformé en obligation par la loi européenne sur le climat, votée le 24 juin 2021. Cette loi fixe un nouvel objectif de moyen-terme de réduction des émissions d’au moins 55% d’ici à 2030 (en remplacement de l’objectif précédent de 40%).</w:t>
      </w:r>
      <w:r w:rsidRPr="0098629B">
        <w:t xml:space="preserve"> Ce nouveau cadre s’appuie sur différents piliers :</w:t>
      </w:r>
    </w:p>
    <w:p w14:paraId="2F7980B9" w14:textId="77777777" w:rsidR="005D35AC" w:rsidRPr="0098629B" w:rsidRDefault="005D35AC" w:rsidP="004D2261">
      <w:pPr>
        <w:pStyle w:val="ListParagraph"/>
        <w:numPr>
          <w:ilvl w:val="0"/>
          <w:numId w:val="11"/>
        </w:numPr>
        <w:rPr>
          <w:b/>
        </w:rPr>
      </w:pPr>
      <w:r w:rsidRPr="0098629B">
        <w:rPr>
          <w:b/>
        </w:rPr>
        <w:t>Un marché EU-ETS plus ambitieux</w:t>
      </w:r>
    </w:p>
    <w:p w14:paraId="634BF78C" w14:textId="77777777" w:rsidR="005D35AC" w:rsidRPr="0098629B" w:rsidRDefault="005D35AC" w:rsidP="004D2261">
      <w:pPr>
        <w:pStyle w:val="ListParagraph"/>
        <w:numPr>
          <w:ilvl w:val="1"/>
          <w:numId w:val="11"/>
        </w:numPr>
      </w:pPr>
      <w:r w:rsidRPr="0098629B">
        <w:t>Inclusion du maritime dès 2023</w:t>
      </w:r>
    </w:p>
    <w:p w14:paraId="7464947E" w14:textId="77777777" w:rsidR="005D35AC" w:rsidRPr="0098629B" w:rsidRDefault="005D35AC" w:rsidP="004D2261">
      <w:pPr>
        <w:pStyle w:val="ListParagraph"/>
        <w:numPr>
          <w:ilvl w:val="1"/>
          <w:numId w:val="11"/>
        </w:numPr>
      </w:pPr>
      <w:r w:rsidRPr="0098629B">
        <w:t>Réduction des émissions de GES de 61% d'ici 2030 par rapport à 2005.</w:t>
      </w:r>
    </w:p>
    <w:p w14:paraId="51A18F6C" w14:textId="77777777" w:rsidR="005D35AC" w:rsidRPr="0098629B" w:rsidRDefault="005D35AC" w:rsidP="004D2261">
      <w:pPr>
        <w:pStyle w:val="ListParagraph"/>
        <w:numPr>
          <w:ilvl w:val="0"/>
          <w:numId w:val="11"/>
        </w:numPr>
      </w:pPr>
      <w:r w:rsidRPr="0098629B">
        <w:t xml:space="preserve">Un règlement actualisé sur la </w:t>
      </w:r>
      <w:r w:rsidRPr="0098629B">
        <w:rPr>
          <w:b/>
        </w:rPr>
        <w:t>répartition de l'effort</w:t>
      </w:r>
      <w:r w:rsidRPr="0098629B">
        <w:t xml:space="preserve"> (émissions non incluses dans l'ETS)</w:t>
      </w:r>
    </w:p>
    <w:p w14:paraId="3E080092" w14:textId="77777777" w:rsidR="005D35AC" w:rsidRPr="0098629B" w:rsidRDefault="005D35AC" w:rsidP="004D2261">
      <w:pPr>
        <w:pStyle w:val="ListParagraph"/>
        <w:numPr>
          <w:ilvl w:val="1"/>
          <w:numId w:val="11"/>
        </w:numPr>
      </w:pPr>
      <w:r w:rsidRPr="0098629B">
        <w:t>Réduction de ces émissions d'au moins 40% en 2030 par rapport à 2005.</w:t>
      </w:r>
    </w:p>
    <w:p w14:paraId="540AAED0" w14:textId="77777777" w:rsidR="005D35AC" w:rsidRPr="0098629B" w:rsidRDefault="005D35AC" w:rsidP="004D2261">
      <w:pPr>
        <w:pStyle w:val="ListParagraph"/>
        <w:numPr>
          <w:ilvl w:val="0"/>
          <w:numId w:val="11"/>
        </w:numPr>
      </w:pPr>
      <w:r w:rsidRPr="0098629B">
        <w:t xml:space="preserve">Un </w:t>
      </w:r>
      <w:r w:rsidRPr="0098629B">
        <w:rPr>
          <w:b/>
        </w:rPr>
        <w:t>marché EU-ETS distinct pour le transport et le bâtiment</w:t>
      </w:r>
    </w:p>
    <w:p w14:paraId="38E1503B" w14:textId="77777777" w:rsidR="005D35AC" w:rsidRPr="0098629B" w:rsidRDefault="005D35AC" w:rsidP="004D2261">
      <w:pPr>
        <w:pStyle w:val="ListParagraph"/>
        <w:numPr>
          <w:ilvl w:val="1"/>
          <w:numId w:val="11"/>
        </w:numPr>
      </w:pPr>
      <w:r w:rsidRPr="0098629B">
        <w:t>Nouveau système s'appliquant aux distributeurs qui fournissent des carburants destinés à la consommation dans les secteurs du bâtiment et du transport routier</w:t>
      </w:r>
    </w:p>
    <w:p w14:paraId="36CFCC23" w14:textId="77777777" w:rsidR="005D35AC" w:rsidRPr="0098629B" w:rsidRDefault="005D35AC" w:rsidP="004D2261">
      <w:pPr>
        <w:pStyle w:val="ListParagraph"/>
        <w:numPr>
          <w:ilvl w:val="1"/>
          <w:numId w:val="11"/>
        </w:numPr>
      </w:pPr>
      <w:r w:rsidRPr="0098629B">
        <w:t>Mise aux enchères des quotas à partir de 2027 et leur restitution à partir de 2028</w:t>
      </w:r>
    </w:p>
    <w:p w14:paraId="5CD73959" w14:textId="6DC3B0B3" w:rsidR="005D35AC" w:rsidRPr="0098629B" w:rsidRDefault="005D35AC" w:rsidP="004D2261">
      <w:pPr>
        <w:pStyle w:val="ListParagraph"/>
        <w:numPr>
          <w:ilvl w:val="0"/>
          <w:numId w:val="11"/>
        </w:numPr>
      </w:pPr>
      <w:r w:rsidRPr="0098629B">
        <w:t xml:space="preserve">Un </w:t>
      </w:r>
      <w:r w:rsidRPr="0098629B">
        <w:rPr>
          <w:b/>
        </w:rPr>
        <w:t>renforcement des puits de carbone par le secteur de terres</w:t>
      </w:r>
      <w:r w:rsidRPr="0098629B">
        <w:t xml:space="preserve"> : au moins 310 Mt</w:t>
      </w:r>
      <w:r w:rsidR="00811B0F" w:rsidRPr="0098629B">
        <w:t>CO</w:t>
      </w:r>
      <w:r w:rsidR="00811B0F" w:rsidRPr="0098629B">
        <w:rPr>
          <w:vertAlign w:val="subscript"/>
        </w:rPr>
        <w:t>2</w:t>
      </w:r>
      <w:r w:rsidR="00891B49" w:rsidRPr="0098629B">
        <w:rPr>
          <w:vertAlign w:val="subscript"/>
        </w:rPr>
        <w:t>e</w:t>
      </w:r>
      <w:r w:rsidRPr="0098629B">
        <w:t xml:space="preserve"> d'ici à 2030.</w:t>
      </w:r>
    </w:p>
    <w:p w14:paraId="47BFF4FB" w14:textId="77777777" w:rsidR="005D35AC" w:rsidRPr="0098629B" w:rsidRDefault="005D35AC" w:rsidP="004D2261">
      <w:pPr>
        <w:pStyle w:val="ListParagraph"/>
        <w:numPr>
          <w:ilvl w:val="0"/>
          <w:numId w:val="11"/>
        </w:numPr>
      </w:pPr>
      <w:r w:rsidRPr="0098629B">
        <w:t xml:space="preserve">Un </w:t>
      </w:r>
      <w:r w:rsidRPr="0098629B">
        <w:rPr>
          <w:b/>
        </w:rPr>
        <w:t>mécanisme d'ajustement carbone aux frontières de l'UE</w:t>
      </w:r>
      <w:r w:rsidRPr="0098629B">
        <w:t xml:space="preserve"> pour réduire les risques de fuites carbone.</w:t>
      </w:r>
    </w:p>
    <w:p w14:paraId="2A261F5F" w14:textId="77777777" w:rsidR="005D35AC" w:rsidRPr="0098629B" w:rsidRDefault="005D35AC" w:rsidP="005D35AC"/>
    <w:p w14:paraId="138E3F5B" w14:textId="77777777" w:rsidR="005D35AC" w:rsidRPr="0098629B" w:rsidRDefault="005D35AC" w:rsidP="005D35AC">
      <w:r w:rsidRPr="0098629B">
        <w:t>Les nouveaux règlements pour la mise en œuvre du pacte vert européen viendront compléter le règlement déjà adopté en 2018 relatifs à la gouvernance de l’Union de l’énergie (règlement 2018/1999) qui prévoit différents mécanismes de gouvernance interne à l’UE pour articuler les politiques européennes et nationales. Ainsi dans le cadre de ce règlement, les Etats-Membres doivent établir des Plans Intégrés Nationaux Energie Climat (PNIEC) à 10 ans, qui doivent permettre à l’UE d’atteindre collectivement les objectifs énergétiques et climatiques fixés.</w:t>
      </w:r>
    </w:p>
    <w:p w14:paraId="5321303E" w14:textId="77777777" w:rsidR="005D35AC" w:rsidRPr="0098629B" w:rsidRDefault="005D35AC" w:rsidP="005D35AC"/>
    <w:p w14:paraId="3B449E7A" w14:textId="2AAB2E80" w:rsidR="005D35AC" w:rsidRPr="0098629B" w:rsidRDefault="005D35AC" w:rsidP="005D35AC">
      <w:r w:rsidRPr="0098629B">
        <w:t>Dans le cadre de l</w:t>
      </w:r>
      <w:r w:rsidR="00B47236" w:rsidRPr="0098629B">
        <w:t>’accord de Paris</w:t>
      </w:r>
      <w:r w:rsidRPr="0098629B">
        <w:t>, l'UE et ses États membres se sont engagés à atteindre, d'ici 20</w:t>
      </w:r>
      <w:r w:rsidR="00B47236" w:rsidRPr="0098629B">
        <w:t>3</w:t>
      </w:r>
      <w:r w:rsidRPr="0098629B">
        <w:t xml:space="preserve">0, un objectif commun de réduction quantifiée des émissions de gaz à effet de serre dans l'ensemble de l'économie de </w:t>
      </w:r>
      <w:r w:rsidR="00B47236" w:rsidRPr="0098629B">
        <w:t>55</w:t>
      </w:r>
      <w:r w:rsidRPr="0098629B">
        <w:t xml:space="preserve"> </w:t>
      </w:r>
      <w:r w:rsidR="00B47236" w:rsidRPr="0098629B">
        <w:t xml:space="preserve">% par rapport au niveau de 1990 (voir la soumission mise à jour le 17 décembre 2020 de la CDN de l’UE). </w:t>
      </w:r>
    </w:p>
    <w:p w14:paraId="0423B80D" w14:textId="77777777" w:rsidR="00B47236" w:rsidRPr="0098629B" w:rsidRDefault="00B47236" w:rsidP="005D35AC"/>
    <w:p w14:paraId="528093FF" w14:textId="77777777" w:rsidR="005D35AC" w:rsidRPr="0098629B" w:rsidRDefault="005D35AC" w:rsidP="00B04A7C">
      <w:pPr>
        <w:pStyle w:val="Titre3Niveau3"/>
      </w:pPr>
      <w:bookmarkStart w:id="26" w:name="_Toc120883270"/>
      <w:bookmarkStart w:id="27" w:name="_Toc138344584"/>
      <w:r w:rsidRPr="0098629B">
        <w:t>Au niveau national</w:t>
      </w:r>
      <w:bookmarkEnd w:id="26"/>
      <w:bookmarkEnd w:id="27"/>
    </w:p>
    <w:p w14:paraId="7E3F9494" w14:textId="77777777" w:rsidR="006E0C3B" w:rsidRPr="0098629B" w:rsidRDefault="006E0C3B" w:rsidP="006E0C3B">
      <w:pPr>
        <w:spacing w:before="240" w:after="240"/>
        <w:rPr>
          <w:lang w:eastAsia="en-US"/>
        </w:rPr>
      </w:pPr>
      <w:r w:rsidRPr="0098629B">
        <w:rPr>
          <w:lang w:eastAsia="en-US"/>
        </w:rPr>
        <w:t>La politique en matière de réduction des émissions de gaz à effet de serre de la France s’est renforcée au cours des dernières années.</w:t>
      </w:r>
    </w:p>
    <w:p w14:paraId="6833E288" w14:textId="77777777" w:rsidR="006E0C3B" w:rsidRPr="0098629B" w:rsidRDefault="006E0C3B" w:rsidP="006E0C3B">
      <w:pPr>
        <w:spacing w:before="240" w:after="240"/>
        <w:rPr>
          <w:lang w:eastAsia="en-US"/>
        </w:rPr>
      </w:pPr>
      <w:r w:rsidRPr="0098629B">
        <w:rPr>
          <w:lang w:eastAsia="en-US"/>
        </w:rPr>
        <w:t>Au cours des années 2000, la définition des politiques de lutte contre le changement climatique s’est appuyée sur des Plans Climats successifs.</w:t>
      </w:r>
    </w:p>
    <w:p w14:paraId="2986637C" w14:textId="77777777" w:rsidR="006E0C3B" w:rsidRPr="0098629B" w:rsidRDefault="006E0C3B" w:rsidP="006E0C3B">
      <w:pPr>
        <w:spacing w:before="240" w:after="240"/>
        <w:rPr>
          <w:lang w:eastAsia="en-US"/>
        </w:rPr>
      </w:pPr>
      <w:r w:rsidRPr="0098629B">
        <w:rPr>
          <w:lang w:eastAsia="en-US"/>
        </w:rPr>
        <w:lastRenderedPageBreak/>
        <w:t>En 2009 et 2010, via les lois Grenelle I et II, la France s’est engagée à diviser par quatre ses émissions de gaz à effet de serre en 2050 par rapport à leur niveau de 1990 (facteur 4).</w:t>
      </w:r>
    </w:p>
    <w:p w14:paraId="23A34AFD" w14:textId="77777777" w:rsidR="006E0C3B" w:rsidRPr="0098629B" w:rsidRDefault="006E0C3B" w:rsidP="006E0C3B">
      <w:pPr>
        <w:spacing w:before="240" w:after="240"/>
        <w:rPr>
          <w:lang w:eastAsia="en-US"/>
        </w:rPr>
      </w:pPr>
      <w:r w:rsidRPr="0098629B">
        <w:rPr>
          <w:lang w:eastAsia="en-US"/>
        </w:rPr>
        <w:t>En 2015, la loi sur la transition énergétique pour la croissance verte (LTECV) a défini un objectif de réduction de 40 % des émissions de gaz à effet de serre à horizon 2030 par rapport à 1990 et confirmé le « facteur 4 ». La LTECV a par ailleurs instauré la première Stratégie Nationale Bas-Carbone (SNBC) qui définit les orientations en matière de lutte contre le changement climatique ainsi que des budgets carbone, plafonds d’émission à ne pas dépasser, définis sur des périodes de cinq ans par décret. La première SNBC a été publiée en 2015.</w:t>
      </w:r>
    </w:p>
    <w:p w14:paraId="4A809590" w14:textId="77777777" w:rsidR="006E0C3B" w:rsidRPr="0098629B" w:rsidRDefault="006E0C3B" w:rsidP="006E0C3B">
      <w:pPr>
        <w:spacing w:before="240" w:after="240"/>
        <w:rPr>
          <w:lang w:eastAsia="en-US"/>
        </w:rPr>
      </w:pPr>
      <w:r w:rsidRPr="0098629B">
        <w:rPr>
          <w:lang w:eastAsia="en-US"/>
        </w:rPr>
        <w:t>La</w:t>
      </w:r>
      <w:r w:rsidRPr="0098629B">
        <w:rPr>
          <w:b/>
          <w:lang w:eastAsia="en-US"/>
        </w:rPr>
        <w:t xml:space="preserve"> loi du 8 novembre 2019 relative à l’énergie et au climat (LEC</w:t>
      </w:r>
      <w:r w:rsidRPr="0098629B">
        <w:rPr>
          <w:lang w:eastAsia="en-US"/>
        </w:rPr>
        <w:t xml:space="preserve">) </w:t>
      </w:r>
      <w:r w:rsidRPr="0098629B">
        <w:rPr>
          <w:lang w:val="fr" w:eastAsia="en-US"/>
        </w:rPr>
        <w:t>a inscrit dans la loi l’objectif de neutralité carbone à horizon 2050 en précisant que les émissions d’origine anthropique doivent être divisées par un facteur d’au moins 6, les émissions résiduelles devant être compensées par des absorptions d’origine anthropique. Elle confirme l’objectif de réduction des émissions de 40 % d’ici à 2030. Elle instaure par ailleurs un ensemble de mesures couvrant différents domaines de la transition énergétique, notamment concernant la lutte contre les passoires thermiques dans le bâtiment mais aussi la création ou la révision d’outils de pilotage, de gouvernance et d’évaluation de la politique nationale sur le climat.</w:t>
      </w:r>
    </w:p>
    <w:p w14:paraId="41F6A45B" w14:textId="77777777" w:rsidR="006E0C3B" w:rsidRPr="0098629B" w:rsidRDefault="006E0C3B" w:rsidP="006E0C3B">
      <w:pPr>
        <w:spacing w:before="240" w:after="240"/>
        <w:rPr>
          <w:lang w:eastAsia="en-US"/>
        </w:rPr>
      </w:pPr>
      <w:r w:rsidRPr="0098629B">
        <w:rPr>
          <w:lang w:eastAsia="en-US"/>
        </w:rPr>
        <w:t xml:space="preserve">La deuxième </w:t>
      </w:r>
      <w:r w:rsidRPr="0098629B">
        <w:rPr>
          <w:b/>
          <w:lang w:eastAsia="en-US"/>
        </w:rPr>
        <w:t>Stratégie Nationale Bas-Carbone (SNBC)</w:t>
      </w:r>
      <w:r w:rsidRPr="0098629B">
        <w:rPr>
          <w:lang w:eastAsia="en-US"/>
        </w:rPr>
        <w:t xml:space="preserve"> a été adoptée par le décret n° 2020-457 du 21 avril 2020. Cette 2ème SNBC vise l’atteinte de la neutralité carbone en 2050 en conservant le point de passage intermédiaire de 40 % en 2030 par rapport à 1990. </w:t>
      </w:r>
    </w:p>
    <w:p w14:paraId="2E0C183E" w14:textId="77777777" w:rsidR="006E0C3B" w:rsidRPr="0098629B" w:rsidRDefault="006E0C3B" w:rsidP="006E0C3B">
      <w:pPr>
        <w:spacing w:before="240" w:after="240"/>
        <w:rPr>
          <w:lang w:eastAsia="en-US"/>
        </w:rPr>
      </w:pPr>
      <w:r w:rsidRPr="0098629B">
        <w:rPr>
          <w:lang w:eastAsia="en-US"/>
        </w:rPr>
        <w:t>Les orientations sectorielles de la SNBC-2 ont été depuis, traduites au niveau législatif par des textes structurants, engageant des évolutions de long terme dans chaque secteur émetteur de GES en France</w:t>
      </w:r>
      <w:r w:rsidRPr="0098629B">
        <w:rPr>
          <w:rFonts w:ascii="Calibri" w:hAnsi="Calibri" w:cs="Calibri"/>
          <w:lang w:eastAsia="en-US"/>
        </w:rPr>
        <w:t> </w:t>
      </w:r>
      <w:r w:rsidRPr="0098629B">
        <w:rPr>
          <w:lang w:val="fr" w:eastAsia="en-US"/>
        </w:rPr>
        <w:t>: loi d’orientation des mobilités, loi relative à la lutte contre le gaspillage et à l’économie circulaire)</w:t>
      </w:r>
      <w:r w:rsidRPr="0098629B">
        <w:rPr>
          <w:lang w:eastAsia="en-US"/>
        </w:rPr>
        <w:t xml:space="preserve">, loi climat et résilience (cf. Chapitre 1 – A.2 Evolutions récentes). </w:t>
      </w:r>
    </w:p>
    <w:p w14:paraId="210ACC8E" w14:textId="77777777" w:rsidR="006E0C3B" w:rsidRPr="0098629B" w:rsidRDefault="006E0C3B" w:rsidP="006E0C3B">
      <w:pPr>
        <w:spacing w:before="240" w:after="240"/>
        <w:rPr>
          <w:lang w:eastAsia="en-US"/>
        </w:rPr>
      </w:pPr>
    </w:p>
    <w:tbl>
      <w:tblPr>
        <w:tblStyle w:val="GridTable5Dark-Accent4"/>
        <w:tblW w:w="9854" w:type="dxa"/>
        <w:tblLook w:val="04A0" w:firstRow="1" w:lastRow="0" w:firstColumn="1" w:lastColumn="0" w:noHBand="0" w:noVBand="1"/>
      </w:tblPr>
      <w:tblGrid>
        <w:gridCol w:w="2292"/>
        <w:gridCol w:w="1701"/>
        <w:gridCol w:w="1953"/>
        <w:gridCol w:w="1954"/>
        <w:gridCol w:w="1954"/>
      </w:tblGrid>
      <w:tr w:rsidR="00B47236" w:rsidRPr="0098629B" w14:paraId="262B1DD8" w14:textId="77777777" w:rsidTr="00776ED7">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292" w:type="dxa"/>
          </w:tcPr>
          <w:p w14:paraId="365628BF" w14:textId="59F5DA49" w:rsidR="00B47236" w:rsidRPr="0098629B" w:rsidRDefault="00B47236" w:rsidP="00811B0F">
            <w:pPr>
              <w:jc w:val="center"/>
              <w:rPr>
                <w:lang w:eastAsia="en-US"/>
              </w:rPr>
            </w:pPr>
            <w:r w:rsidRPr="0098629B">
              <w:rPr>
                <w:lang w:eastAsia="en-US"/>
              </w:rPr>
              <w:t xml:space="preserve">Émissions annuelles moyennes (en Mt </w:t>
            </w:r>
            <w:r w:rsidRPr="0098629B">
              <w:t>CO</w:t>
            </w:r>
            <w:r w:rsidRPr="0098629B">
              <w:rPr>
                <w:vertAlign w:val="subscript"/>
              </w:rPr>
              <w:t>2</w:t>
            </w:r>
            <w:r w:rsidRPr="0098629B">
              <w:rPr>
                <w:vertAlign w:val="subscript"/>
                <w:lang w:eastAsia="en-US"/>
              </w:rPr>
              <w:t>e</w:t>
            </w:r>
            <w:r w:rsidRPr="0098629B">
              <w:rPr>
                <w:lang w:eastAsia="en-US"/>
              </w:rPr>
              <w:t>)</w:t>
            </w:r>
          </w:p>
        </w:tc>
        <w:tc>
          <w:tcPr>
            <w:tcW w:w="1701" w:type="dxa"/>
            <w:shd w:val="clear" w:color="auto" w:fill="A6A6A6" w:themeFill="background1" w:themeFillShade="A6"/>
          </w:tcPr>
          <w:p w14:paraId="25574DE0" w14:textId="2579F12B" w:rsidR="00B47236" w:rsidRPr="0098629B" w:rsidRDefault="00B47236" w:rsidP="00811B0F">
            <w:pPr>
              <w:jc w:val="center"/>
              <w:cnfStyle w:val="100000000000" w:firstRow="1" w:lastRow="0" w:firstColumn="0" w:lastColumn="0" w:oddVBand="0" w:evenVBand="0" w:oddHBand="0" w:evenHBand="0" w:firstRowFirstColumn="0" w:firstRowLastColumn="0" w:lastRowFirstColumn="0" w:lastRowLastColumn="0"/>
              <w:rPr>
                <w:lang w:eastAsia="en-US"/>
              </w:rPr>
            </w:pPr>
            <w:r w:rsidRPr="0098629B">
              <w:rPr>
                <w:lang w:eastAsia="en-US"/>
              </w:rPr>
              <w:t>1</w:t>
            </w:r>
            <w:r w:rsidRPr="0098629B">
              <w:rPr>
                <w:vertAlign w:val="superscript"/>
                <w:lang w:eastAsia="en-US"/>
              </w:rPr>
              <w:t>er</w:t>
            </w:r>
            <w:r w:rsidRPr="0098629B">
              <w:rPr>
                <w:lang w:eastAsia="en-US"/>
              </w:rPr>
              <w:t xml:space="preserve"> budget carbone</w:t>
            </w:r>
            <w:r w:rsidR="00776ED7" w:rsidRPr="0098629B">
              <w:rPr>
                <w:lang w:eastAsia="en-US"/>
              </w:rPr>
              <w:t xml:space="preserve"> (clôturé)</w:t>
            </w:r>
          </w:p>
        </w:tc>
        <w:tc>
          <w:tcPr>
            <w:tcW w:w="1953" w:type="dxa"/>
          </w:tcPr>
          <w:p w14:paraId="2265F3F7" w14:textId="2F60883D" w:rsidR="00B47236" w:rsidRPr="0098629B" w:rsidRDefault="00B47236" w:rsidP="00811B0F">
            <w:pPr>
              <w:jc w:val="center"/>
              <w:cnfStyle w:val="100000000000" w:firstRow="1" w:lastRow="0" w:firstColumn="0" w:lastColumn="0" w:oddVBand="0" w:evenVBand="0" w:oddHBand="0" w:evenHBand="0" w:firstRowFirstColumn="0" w:firstRowLastColumn="0" w:lastRowFirstColumn="0" w:lastRowLastColumn="0"/>
              <w:rPr>
                <w:lang w:eastAsia="en-US"/>
              </w:rPr>
            </w:pPr>
            <w:r w:rsidRPr="0098629B">
              <w:rPr>
                <w:lang w:eastAsia="en-US"/>
              </w:rPr>
              <w:t>2</w:t>
            </w:r>
            <w:r w:rsidRPr="0098629B">
              <w:rPr>
                <w:vertAlign w:val="superscript"/>
                <w:lang w:eastAsia="en-US"/>
              </w:rPr>
              <w:t>ème</w:t>
            </w:r>
            <w:r w:rsidRPr="0098629B">
              <w:rPr>
                <w:lang w:eastAsia="en-US"/>
              </w:rPr>
              <w:t xml:space="preserve"> budget carbone</w:t>
            </w:r>
          </w:p>
        </w:tc>
        <w:tc>
          <w:tcPr>
            <w:tcW w:w="1954" w:type="dxa"/>
          </w:tcPr>
          <w:p w14:paraId="3C4D16A2" w14:textId="77777777" w:rsidR="00B47236" w:rsidRPr="0098629B" w:rsidRDefault="00B47236" w:rsidP="00811B0F">
            <w:pPr>
              <w:jc w:val="center"/>
              <w:cnfStyle w:val="100000000000" w:firstRow="1" w:lastRow="0" w:firstColumn="0" w:lastColumn="0" w:oddVBand="0" w:evenVBand="0" w:oddHBand="0" w:evenHBand="0" w:firstRowFirstColumn="0" w:firstRowLastColumn="0" w:lastRowFirstColumn="0" w:lastRowLastColumn="0"/>
              <w:rPr>
                <w:lang w:eastAsia="en-US"/>
              </w:rPr>
            </w:pPr>
            <w:r w:rsidRPr="0098629B">
              <w:rPr>
                <w:lang w:eastAsia="en-US"/>
              </w:rPr>
              <w:t>3</w:t>
            </w:r>
            <w:r w:rsidRPr="0098629B">
              <w:rPr>
                <w:vertAlign w:val="superscript"/>
                <w:lang w:eastAsia="en-US"/>
              </w:rPr>
              <w:t>ème</w:t>
            </w:r>
            <w:r w:rsidRPr="0098629B">
              <w:rPr>
                <w:lang w:eastAsia="en-US"/>
              </w:rPr>
              <w:t xml:space="preserve"> budget carbone</w:t>
            </w:r>
          </w:p>
        </w:tc>
        <w:tc>
          <w:tcPr>
            <w:tcW w:w="1954" w:type="dxa"/>
          </w:tcPr>
          <w:p w14:paraId="746A1EC3" w14:textId="77777777" w:rsidR="00B47236" w:rsidRPr="0098629B" w:rsidRDefault="00B47236" w:rsidP="00811B0F">
            <w:pPr>
              <w:jc w:val="center"/>
              <w:cnfStyle w:val="100000000000" w:firstRow="1" w:lastRow="0" w:firstColumn="0" w:lastColumn="0" w:oddVBand="0" w:evenVBand="0" w:oddHBand="0" w:evenHBand="0" w:firstRowFirstColumn="0" w:firstRowLastColumn="0" w:lastRowFirstColumn="0" w:lastRowLastColumn="0"/>
              <w:rPr>
                <w:lang w:eastAsia="en-US"/>
              </w:rPr>
            </w:pPr>
            <w:r w:rsidRPr="0098629B">
              <w:rPr>
                <w:lang w:eastAsia="en-US"/>
              </w:rPr>
              <w:t>4</w:t>
            </w:r>
            <w:r w:rsidRPr="0098629B">
              <w:rPr>
                <w:vertAlign w:val="superscript"/>
                <w:lang w:eastAsia="en-US"/>
              </w:rPr>
              <w:t>ème</w:t>
            </w:r>
            <w:r w:rsidRPr="0098629B">
              <w:rPr>
                <w:lang w:eastAsia="en-US"/>
              </w:rPr>
              <w:t xml:space="preserve"> budget carbone</w:t>
            </w:r>
          </w:p>
        </w:tc>
      </w:tr>
      <w:tr w:rsidR="00B47236" w:rsidRPr="0098629B" w14:paraId="42CA6F0E" w14:textId="77777777" w:rsidTr="00776ED7">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92" w:type="dxa"/>
          </w:tcPr>
          <w:p w14:paraId="5F24BCCF" w14:textId="77777777" w:rsidR="00B47236" w:rsidRPr="0098629B" w:rsidRDefault="00B47236" w:rsidP="00811B0F">
            <w:pPr>
              <w:jc w:val="center"/>
              <w:rPr>
                <w:lang w:eastAsia="en-US"/>
              </w:rPr>
            </w:pPr>
            <w:r w:rsidRPr="0098629B">
              <w:rPr>
                <w:lang w:eastAsia="en-US"/>
              </w:rPr>
              <w:t>Période</w:t>
            </w:r>
          </w:p>
        </w:tc>
        <w:tc>
          <w:tcPr>
            <w:tcW w:w="1701" w:type="dxa"/>
            <w:shd w:val="clear" w:color="auto" w:fill="A6A6A6" w:themeFill="background1" w:themeFillShade="A6"/>
          </w:tcPr>
          <w:p w14:paraId="13307215" w14:textId="489A354E" w:rsidR="00B47236" w:rsidRPr="0098629B" w:rsidRDefault="00B47236" w:rsidP="00811B0F">
            <w:pPr>
              <w:jc w:val="center"/>
              <w:cnfStyle w:val="000000100000" w:firstRow="0" w:lastRow="0" w:firstColumn="0" w:lastColumn="0" w:oddVBand="0" w:evenVBand="0" w:oddHBand="1" w:evenHBand="0" w:firstRowFirstColumn="0" w:firstRowLastColumn="0" w:lastRowFirstColumn="0" w:lastRowLastColumn="0"/>
              <w:rPr>
                <w:lang w:eastAsia="en-US"/>
              </w:rPr>
            </w:pPr>
            <w:r w:rsidRPr="0098629B">
              <w:rPr>
                <w:lang w:eastAsia="en-US"/>
              </w:rPr>
              <w:t>2015-2018</w:t>
            </w:r>
          </w:p>
        </w:tc>
        <w:tc>
          <w:tcPr>
            <w:tcW w:w="1953" w:type="dxa"/>
          </w:tcPr>
          <w:p w14:paraId="1F6C4D22" w14:textId="21534951" w:rsidR="00B47236" w:rsidRPr="0098629B" w:rsidRDefault="00B47236" w:rsidP="00811B0F">
            <w:pPr>
              <w:jc w:val="center"/>
              <w:cnfStyle w:val="000000100000" w:firstRow="0" w:lastRow="0" w:firstColumn="0" w:lastColumn="0" w:oddVBand="0" w:evenVBand="0" w:oddHBand="1" w:evenHBand="0" w:firstRowFirstColumn="0" w:firstRowLastColumn="0" w:lastRowFirstColumn="0" w:lastRowLastColumn="0"/>
              <w:rPr>
                <w:lang w:eastAsia="en-US"/>
              </w:rPr>
            </w:pPr>
            <w:r w:rsidRPr="0098629B">
              <w:rPr>
                <w:lang w:eastAsia="en-US"/>
              </w:rPr>
              <w:t>2019-2023</w:t>
            </w:r>
          </w:p>
        </w:tc>
        <w:tc>
          <w:tcPr>
            <w:tcW w:w="1954" w:type="dxa"/>
          </w:tcPr>
          <w:p w14:paraId="18D7D577" w14:textId="77777777" w:rsidR="00B47236" w:rsidRPr="0098629B" w:rsidRDefault="00B47236" w:rsidP="00811B0F">
            <w:pPr>
              <w:jc w:val="center"/>
              <w:cnfStyle w:val="000000100000" w:firstRow="0" w:lastRow="0" w:firstColumn="0" w:lastColumn="0" w:oddVBand="0" w:evenVBand="0" w:oddHBand="1" w:evenHBand="0" w:firstRowFirstColumn="0" w:firstRowLastColumn="0" w:lastRowFirstColumn="0" w:lastRowLastColumn="0"/>
              <w:rPr>
                <w:lang w:eastAsia="en-US"/>
              </w:rPr>
            </w:pPr>
            <w:r w:rsidRPr="0098629B">
              <w:rPr>
                <w:lang w:eastAsia="en-US"/>
              </w:rPr>
              <w:t>2024-2028</w:t>
            </w:r>
          </w:p>
        </w:tc>
        <w:tc>
          <w:tcPr>
            <w:tcW w:w="1954" w:type="dxa"/>
          </w:tcPr>
          <w:p w14:paraId="2B24EDFB" w14:textId="77777777" w:rsidR="00B47236" w:rsidRPr="0098629B" w:rsidRDefault="00B47236" w:rsidP="00811B0F">
            <w:pPr>
              <w:jc w:val="center"/>
              <w:cnfStyle w:val="000000100000" w:firstRow="0" w:lastRow="0" w:firstColumn="0" w:lastColumn="0" w:oddVBand="0" w:evenVBand="0" w:oddHBand="1" w:evenHBand="0" w:firstRowFirstColumn="0" w:firstRowLastColumn="0" w:lastRowFirstColumn="0" w:lastRowLastColumn="0"/>
              <w:rPr>
                <w:lang w:eastAsia="en-US"/>
              </w:rPr>
            </w:pPr>
            <w:r w:rsidRPr="0098629B">
              <w:rPr>
                <w:lang w:eastAsia="en-US"/>
              </w:rPr>
              <w:t>2029-2033</w:t>
            </w:r>
          </w:p>
        </w:tc>
      </w:tr>
      <w:tr w:rsidR="00B47236" w:rsidRPr="0098629B" w14:paraId="5D3F1D9D" w14:textId="77777777" w:rsidTr="00776ED7">
        <w:trPr>
          <w:trHeight w:val="199"/>
        </w:trPr>
        <w:tc>
          <w:tcPr>
            <w:cnfStyle w:val="001000000000" w:firstRow="0" w:lastRow="0" w:firstColumn="1" w:lastColumn="0" w:oddVBand="0" w:evenVBand="0" w:oddHBand="0" w:evenHBand="0" w:firstRowFirstColumn="0" w:firstRowLastColumn="0" w:lastRowFirstColumn="0" w:lastRowLastColumn="0"/>
            <w:tcW w:w="2292" w:type="dxa"/>
          </w:tcPr>
          <w:p w14:paraId="6B1340C1" w14:textId="77777777" w:rsidR="00B47236" w:rsidRPr="0098629B" w:rsidRDefault="00B47236" w:rsidP="00811B0F">
            <w:pPr>
              <w:jc w:val="center"/>
              <w:rPr>
                <w:lang w:eastAsia="en-US"/>
              </w:rPr>
            </w:pPr>
            <w:r w:rsidRPr="0098629B">
              <w:rPr>
                <w:lang w:eastAsia="en-US"/>
              </w:rPr>
              <w:t>Total hors UTCATF</w:t>
            </w:r>
          </w:p>
        </w:tc>
        <w:tc>
          <w:tcPr>
            <w:tcW w:w="1701" w:type="dxa"/>
            <w:shd w:val="clear" w:color="auto" w:fill="A6A6A6" w:themeFill="background1" w:themeFillShade="A6"/>
          </w:tcPr>
          <w:p w14:paraId="3069AFE2" w14:textId="398A0766" w:rsidR="00B47236" w:rsidRPr="0098629B" w:rsidRDefault="00776ED7" w:rsidP="00811B0F">
            <w:pPr>
              <w:jc w:val="center"/>
              <w:cnfStyle w:val="000000000000" w:firstRow="0" w:lastRow="0" w:firstColumn="0" w:lastColumn="0" w:oddVBand="0" w:evenVBand="0" w:oddHBand="0" w:evenHBand="0" w:firstRowFirstColumn="0" w:firstRowLastColumn="0" w:lastRowFirstColumn="0" w:lastRowLastColumn="0"/>
              <w:rPr>
                <w:lang w:eastAsia="en-US"/>
              </w:rPr>
            </w:pPr>
            <w:r w:rsidRPr="0098629B">
              <w:rPr>
                <w:lang w:eastAsia="en-US"/>
              </w:rPr>
              <w:t>441</w:t>
            </w:r>
          </w:p>
        </w:tc>
        <w:tc>
          <w:tcPr>
            <w:tcW w:w="1953" w:type="dxa"/>
            <w:vAlign w:val="center"/>
          </w:tcPr>
          <w:p w14:paraId="5CA80FB1" w14:textId="4495584F" w:rsidR="00B47236" w:rsidRPr="0098629B" w:rsidRDefault="00B47236" w:rsidP="00811B0F">
            <w:pPr>
              <w:jc w:val="center"/>
              <w:cnfStyle w:val="000000000000" w:firstRow="0" w:lastRow="0" w:firstColumn="0" w:lastColumn="0" w:oddVBand="0" w:evenVBand="0" w:oddHBand="0" w:evenHBand="0" w:firstRowFirstColumn="0" w:firstRowLastColumn="0" w:lastRowFirstColumn="0" w:lastRowLastColumn="0"/>
              <w:rPr>
                <w:lang w:eastAsia="en-US"/>
              </w:rPr>
            </w:pPr>
            <w:r w:rsidRPr="0098629B">
              <w:rPr>
                <w:lang w:eastAsia="en-US"/>
              </w:rPr>
              <w:t>421</w:t>
            </w:r>
          </w:p>
        </w:tc>
        <w:tc>
          <w:tcPr>
            <w:tcW w:w="1954" w:type="dxa"/>
            <w:vAlign w:val="center"/>
          </w:tcPr>
          <w:p w14:paraId="366EE293" w14:textId="77777777" w:rsidR="00B47236" w:rsidRPr="0098629B" w:rsidRDefault="00B47236" w:rsidP="00811B0F">
            <w:pPr>
              <w:jc w:val="center"/>
              <w:cnfStyle w:val="000000000000" w:firstRow="0" w:lastRow="0" w:firstColumn="0" w:lastColumn="0" w:oddVBand="0" w:evenVBand="0" w:oddHBand="0" w:evenHBand="0" w:firstRowFirstColumn="0" w:firstRowLastColumn="0" w:lastRowFirstColumn="0" w:lastRowLastColumn="0"/>
              <w:rPr>
                <w:lang w:eastAsia="en-US"/>
              </w:rPr>
            </w:pPr>
            <w:r w:rsidRPr="0098629B">
              <w:rPr>
                <w:lang w:eastAsia="en-US"/>
              </w:rPr>
              <w:t>358</w:t>
            </w:r>
          </w:p>
        </w:tc>
        <w:tc>
          <w:tcPr>
            <w:tcW w:w="1954" w:type="dxa"/>
            <w:vAlign w:val="center"/>
          </w:tcPr>
          <w:p w14:paraId="56F7031C" w14:textId="77777777" w:rsidR="00B47236" w:rsidRPr="0098629B" w:rsidRDefault="00B47236" w:rsidP="00811B0F">
            <w:pPr>
              <w:jc w:val="center"/>
              <w:cnfStyle w:val="000000000000" w:firstRow="0" w:lastRow="0" w:firstColumn="0" w:lastColumn="0" w:oddVBand="0" w:evenVBand="0" w:oddHBand="0" w:evenHBand="0" w:firstRowFirstColumn="0" w:firstRowLastColumn="0" w:lastRowFirstColumn="0" w:lastRowLastColumn="0"/>
              <w:rPr>
                <w:lang w:eastAsia="en-US"/>
              </w:rPr>
            </w:pPr>
            <w:r w:rsidRPr="0098629B">
              <w:rPr>
                <w:lang w:eastAsia="en-US"/>
              </w:rPr>
              <w:t>299</w:t>
            </w:r>
          </w:p>
        </w:tc>
      </w:tr>
    </w:tbl>
    <w:p w14:paraId="59600512" w14:textId="5EC0880D" w:rsidR="006E0C3B" w:rsidRPr="0098629B" w:rsidRDefault="006E0C3B" w:rsidP="006E0C3B">
      <w:pPr>
        <w:pStyle w:val="Caption"/>
      </w:pPr>
      <w:bookmarkStart w:id="28" w:name="_Toc123916636"/>
      <w:r w:rsidRPr="0098629B">
        <w:t xml:space="preserve">Tableau </w:t>
      </w:r>
      <w:fldSimple w:instr=" SEQ Tableau \* ARABIC ">
        <w:r w:rsidR="00677B3C">
          <w:rPr>
            <w:noProof/>
          </w:rPr>
          <w:t>1</w:t>
        </w:r>
      </w:fldSimple>
      <w:r w:rsidRPr="0098629B">
        <w:t xml:space="preserve"> : </w:t>
      </w:r>
      <w:r w:rsidR="00776ED7" w:rsidRPr="0098629B">
        <w:t>1</w:t>
      </w:r>
      <w:r w:rsidR="00776ED7" w:rsidRPr="0098629B">
        <w:rPr>
          <w:vertAlign w:val="superscript"/>
        </w:rPr>
        <w:t>er</w:t>
      </w:r>
      <w:r w:rsidR="00776ED7" w:rsidRPr="0098629B">
        <w:t xml:space="preserve"> (2015-2018), </w:t>
      </w:r>
      <w:r w:rsidRPr="0098629B">
        <w:t>2</w:t>
      </w:r>
      <w:r w:rsidRPr="0098629B">
        <w:rPr>
          <w:vertAlign w:val="superscript"/>
        </w:rPr>
        <w:t>e</w:t>
      </w:r>
      <w:r w:rsidRPr="0098629B">
        <w:t xml:space="preserve"> (2019-2023), 3</w:t>
      </w:r>
      <w:r w:rsidRPr="0098629B">
        <w:rPr>
          <w:vertAlign w:val="superscript"/>
        </w:rPr>
        <w:t>e</w:t>
      </w:r>
      <w:r w:rsidRPr="0098629B">
        <w:t xml:space="preserve"> (2024-2028) et 4</w:t>
      </w:r>
      <w:r w:rsidRPr="0098629B">
        <w:rPr>
          <w:vertAlign w:val="superscript"/>
        </w:rPr>
        <w:t>e</w:t>
      </w:r>
      <w:r w:rsidRPr="0098629B">
        <w:t xml:space="preserve"> (2029-2033) budgets carbone</w:t>
      </w:r>
      <w:bookmarkEnd w:id="28"/>
    </w:p>
    <w:p w14:paraId="53AF791A" w14:textId="77777777" w:rsidR="006E0C3B" w:rsidRPr="0098629B" w:rsidRDefault="006E0C3B" w:rsidP="006E0C3B">
      <w:pPr>
        <w:pStyle w:val="Caption"/>
      </w:pPr>
      <w:r w:rsidRPr="0098629B">
        <w:t>Source : MTE-DGEC</w:t>
      </w:r>
    </w:p>
    <w:p w14:paraId="0DC5B410" w14:textId="2E89C96B" w:rsidR="006E0C3B" w:rsidRPr="0098629B" w:rsidRDefault="006E0C3B" w:rsidP="006E0C3B">
      <w:pPr>
        <w:pStyle w:val="NormalWeb"/>
        <w:rPr>
          <w:lang w:eastAsia="en-US"/>
        </w:rPr>
      </w:pPr>
      <w:r w:rsidRPr="0098629B">
        <w:rPr>
          <w:rFonts w:ascii="Marianne" w:hAnsi="Marianne"/>
          <w:lang w:eastAsia="en-US"/>
        </w:rPr>
        <w:t>Pour mémoire</w:t>
      </w:r>
      <w:r w:rsidRPr="0098629B">
        <w:rPr>
          <w:rFonts w:ascii="Calibri" w:hAnsi="Calibri" w:cs="Calibri"/>
          <w:lang w:eastAsia="en-US"/>
        </w:rPr>
        <w:t> </w:t>
      </w:r>
      <w:r w:rsidRPr="0098629B">
        <w:rPr>
          <w:rFonts w:ascii="Marianne" w:hAnsi="Marianne"/>
          <w:lang w:eastAsia="en-US"/>
        </w:rPr>
        <w:t xml:space="preserve">: Le premier budget carbone de la SNBC-1 adopté par décret en 2015, portait sur la période 2015-2018. Il a fait l’objet d’ajustements techniques en 2019 à la suite des évolutions dans la méthodologie de comptabilité des émissions de GES. Le budget ajusté figure dans la SNBC2. Le premier budget carbone ajusté s’élevait en moyenne à 442 Mt </w:t>
      </w:r>
      <w:r w:rsidR="00811B0F" w:rsidRPr="0098629B">
        <w:t>CO</w:t>
      </w:r>
      <w:r w:rsidR="00811B0F" w:rsidRPr="0098629B">
        <w:rPr>
          <w:vertAlign w:val="subscript"/>
        </w:rPr>
        <w:t>2</w:t>
      </w:r>
      <w:r w:rsidRPr="0098629B">
        <w:rPr>
          <w:rFonts w:ascii="Marianne" w:hAnsi="Marianne"/>
          <w:lang w:eastAsia="en-US"/>
        </w:rPr>
        <w:t xml:space="preserve"> eq par an, hors émissions et absorptions associées à l'usage des terres et à la foresterie. Le premier budget carbone a été dépassé de 61 Mt éq</w:t>
      </w:r>
      <w:r w:rsidR="00811B0F" w:rsidRPr="0098629B">
        <w:t>CO</w:t>
      </w:r>
      <w:r w:rsidR="00811B0F" w:rsidRPr="0098629B">
        <w:rPr>
          <w:vertAlign w:val="subscript"/>
        </w:rPr>
        <w:t>2</w:t>
      </w:r>
      <w:r w:rsidRPr="0098629B">
        <w:rPr>
          <w:rFonts w:ascii="Marianne" w:hAnsi="Marianne"/>
          <w:lang w:eastAsia="en-US"/>
        </w:rPr>
        <w:t xml:space="preserve"> cumulés sur la période 2015-2018 (soit +3,4% sur l’ensemble de la période), avec un écart annuel moyen de +14%. Hors UTCATF, les émissions ont diminué de 1,1% par an en moyenne entre 2015 et 2018 (par rapport à la période 2011- 2014), ce qui est inférieur à la décroissance visée par la SNBC-1 de 1,9 % par an. Les budgets sectoriels indicatifs ont été dépassés sur la période du premier budget carbone pour le transport, les bâtiments, l’agriculture et l’industrie. Ils ont été respectés pour la transformation d’énergie et les déchets. </w:t>
      </w:r>
    </w:p>
    <w:p w14:paraId="74998694" w14:textId="77777777" w:rsidR="006E0C3B" w:rsidRPr="0098629B" w:rsidRDefault="006E0C3B" w:rsidP="006E0C3B">
      <w:pPr>
        <w:spacing w:before="240" w:after="240"/>
        <w:jc w:val="center"/>
        <w:rPr>
          <w:lang w:eastAsia="en-US"/>
        </w:rPr>
      </w:pPr>
      <w:r w:rsidRPr="0098629B">
        <w:rPr>
          <w:noProof/>
        </w:rPr>
        <w:lastRenderedPageBreak/>
        <w:drawing>
          <wp:inline distT="0" distB="0" distL="0" distR="0" wp14:anchorId="1C4569DE" wp14:editId="2DFB3314">
            <wp:extent cx="6318250" cy="2910205"/>
            <wp:effectExtent l="0" t="0" r="635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8250" cy="2910205"/>
                    </a:xfrm>
                    <a:prstGeom prst="rect">
                      <a:avLst/>
                    </a:prstGeom>
                  </pic:spPr>
                </pic:pic>
              </a:graphicData>
            </a:graphic>
          </wp:inline>
        </w:drawing>
      </w:r>
    </w:p>
    <w:p w14:paraId="40CCC185" w14:textId="62678493" w:rsidR="006E0C3B" w:rsidRPr="0098629B" w:rsidRDefault="006E0C3B" w:rsidP="006E0C3B">
      <w:pPr>
        <w:pStyle w:val="Caption"/>
      </w:pPr>
      <w:bookmarkStart w:id="29" w:name="_Toc123916617"/>
      <w:r w:rsidRPr="0098629B">
        <w:t xml:space="preserve">Figure </w:t>
      </w:r>
      <w:fldSimple w:instr=" SEQ Figure \* ARABIC ">
        <w:r w:rsidR="006B0E73">
          <w:rPr>
            <w:noProof/>
          </w:rPr>
          <w:t>9</w:t>
        </w:r>
      </w:fldSimple>
      <w:r w:rsidRPr="0098629B">
        <w:t> : Evolution historique des émissions de GES hors secteur des terres et budgets carbone jusqu’à 2033</w:t>
      </w:r>
      <w:bookmarkEnd w:id="29"/>
    </w:p>
    <w:p w14:paraId="0A28D892" w14:textId="77777777" w:rsidR="006E0C3B" w:rsidRPr="0098629B" w:rsidRDefault="006E0C3B" w:rsidP="006E0C3B">
      <w:pPr>
        <w:pStyle w:val="Caption"/>
      </w:pPr>
      <w:r w:rsidRPr="0098629B">
        <w:t>Source : MTE-DGEC</w:t>
      </w:r>
    </w:p>
    <w:p w14:paraId="5C0916EE" w14:textId="77777777" w:rsidR="006E0C3B" w:rsidRPr="0098629B" w:rsidRDefault="006E0C3B" w:rsidP="006E0C3B">
      <w:pPr>
        <w:jc w:val="center"/>
      </w:pPr>
      <w:r w:rsidRPr="0098629B">
        <w:rPr>
          <w:noProof/>
        </w:rPr>
        <w:drawing>
          <wp:inline distT="0" distB="0" distL="0" distR="0" wp14:anchorId="18E36068" wp14:editId="65F63CF6">
            <wp:extent cx="6318250" cy="3915693"/>
            <wp:effectExtent l="0" t="0" r="6350" b="8890"/>
            <wp:docPr id="8" name="Image 8" descr="https://www.ecologie.gouv.fr/sites/default/files/Trajectoire%20et%20budgets%20car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logie.gouv.fr/sites/default/files/Trajectoire%20et%20budgets%20carbo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8250" cy="3915693"/>
                    </a:xfrm>
                    <a:prstGeom prst="rect">
                      <a:avLst/>
                    </a:prstGeom>
                    <a:noFill/>
                    <a:ln>
                      <a:noFill/>
                    </a:ln>
                  </pic:spPr>
                </pic:pic>
              </a:graphicData>
            </a:graphic>
          </wp:inline>
        </w:drawing>
      </w:r>
    </w:p>
    <w:p w14:paraId="63C183A6" w14:textId="7EC1FA53" w:rsidR="006E0C3B" w:rsidRPr="0098629B" w:rsidRDefault="006E0C3B" w:rsidP="006E0C3B">
      <w:pPr>
        <w:pStyle w:val="Caption"/>
        <w:rPr>
          <w:noProof/>
        </w:rPr>
      </w:pPr>
      <w:bookmarkStart w:id="30" w:name="_Toc123916618"/>
      <w:r w:rsidRPr="0098629B">
        <w:t xml:space="preserve">Figure </w:t>
      </w:r>
      <w:fldSimple w:instr=" SEQ Figure \* ARABIC ">
        <w:r w:rsidR="006B0E73">
          <w:rPr>
            <w:noProof/>
          </w:rPr>
          <w:t>10</w:t>
        </w:r>
      </w:fldSimple>
      <w:r w:rsidRPr="0098629B">
        <w:rPr>
          <w:noProof/>
        </w:rPr>
        <w:t xml:space="preserve"> </w:t>
      </w:r>
      <w:r w:rsidRPr="0098629B">
        <w:t>: Trajectoire linéaire de réduction d’émissions pour atteindre la neutralité en 2050 et budgets carbone associés</w:t>
      </w:r>
      <w:bookmarkEnd w:id="30"/>
    </w:p>
    <w:p w14:paraId="11E45352" w14:textId="77777777" w:rsidR="006E0C3B" w:rsidRPr="0098629B" w:rsidRDefault="006E0C3B" w:rsidP="006E0C3B">
      <w:pPr>
        <w:pStyle w:val="Caption"/>
        <w:rPr>
          <w:lang w:eastAsia="en-US"/>
        </w:rPr>
      </w:pPr>
      <w:r w:rsidRPr="0098629B">
        <w:t>Source : MTE-DGEC</w:t>
      </w:r>
    </w:p>
    <w:p w14:paraId="7F5D265C" w14:textId="77777777" w:rsidR="006E0C3B" w:rsidRPr="0098629B" w:rsidRDefault="006E0C3B" w:rsidP="006E0C3B">
      <w:pPr>
        <w:spacing w:before="240" w:after="240"/>
        <w:rPr>
          <w:lang w:eastAsia="en-US"/>
        </w:rPr>
      </w:pPr>
      <w:r w:rsidRPr="0098629B">
        <w:rPr>
          <w:lang w:eastAsia="en-US"/>
        </w:rPr>
        <w:t>La SNBC est conforme à la décision 1/COP16 de Cancun qui a incité, en 2010, chaque pays développé Partie à la CCNUCC à se doter d'une stratégie de développement à faible intensité de carbone (ou stratégie bas-carbone) devant présenter et évaluer les orientations et mesures contribuant à l'atteinte des objectifs nationaux de long terme en matière d’atténuation du changement climatique et aux dispositions de l’article 4, paragraphe 19 de l’Accord de Paris.</w:t>
      </w:r>
    </w:p>
    <w:p w14:paraId="339592C1" w14:textId="77777777" w:rsidR="006E0C3B" w:rsidRPr="0098629B" w:rsidRDefault="006E0C3B" w:rsidP="006E0C3B">
      <w:pPr>
        <w:spacing w:before="240" w:after="240"/>
        <w:rPr>
          <w:lang w:eastAsia="en-US"/>
        </w:rPr>
      </w:pPr>
      <w:r w:rsidRPr="0098629B">
        <w:rPr>
          <w:lang w:eastAsia="en-US"/>
        </w:rPr>
        <w:lastRenderedPageBreak/>
        <w:t>La SNBC est révisée tous les 5 ans, après examen des résultats obtenus durant la période couverte par le budget carbone venant de s’achever. Ces révisions sont l’occasion d’ajuster la trajectoire et de définir un nouveau budget carbone, intégrant les nouvelles possibilités pour rehausser l’ambition et répondant au renforcement de l’ambition décidé lors de la COP21, en décembre 2015, et inscrit dans l’Accord de Paris.</w:t>
      </w:r>
    </w:p>
    <w:p w14:paraId="0C2BCF5B" w14:textId="77777777" w:rsidR="006E0C3B" w:rsidRPr="0098629B" w:rsidRDefault="006E0C3B" w:rsidP="006E0C3B">
      <w:pPr>
        <w:spacing w:before="240" w:after="240"/>
        <w:rPr>
          <w:lang w:eastAsia="en-US"/>
        </w:rPr>
      </w:pPr>
      <w:r w:rsidRPr="0098629B">
        <w:rPr>
          <w:lang w:eastAsia="en-US"/>
        </w:rPr>
        <w:t xml:space="preserve">En application de la loi climat et énergie de 2019, la prochaine révision de la SNBC doit être précédée de l’adoption d’une </w:t>
      </w:r>
      <w:r w:rsidRPr="0098629B">
        <w:rPr>
          <w:b/>
          <w:lang w:eastAsia="en-US"/>
        </w:rPr>
        <w:t>loi de programmation énergie climat (LPEC)</w:t>
      </w:r>
      <w:r w:rsidRPr="0098629B">
        <w:rPr>
          <w:lang w:eastAsia="en-US"/>
        </w:rPr>
        <w:t xml:space="preserve"> qui fixera les priorités d’action de la politique climat et énergétique de la France (I de l’article L. 100-1 A). Elle doit être adoptée en 2023. Elle devra préciser:</w:t>
      </w:r>
    </w:p>
    <w:p w14:paraId="07BE965A" w14:textId="77777777" w:rsidR="006E0C3B" w:rsidRPr="0098629B" w:rsidRDefault="006E0C3B" w:rsidP="00573042">
      <w:pPr>
        <w:numPr>
          <w:ilvl w:val="0"/>
          <w:numId w:val="17"/>
        </w:numPr>
        <w:spacing w:before="240" w:after="240"/>
      </w:pPr>
      <w:r w:rsidRPr="0098629B">
        <w:rPr>
          <w:lang w:eastAsia="en-US"/>
        </w:rPr>
        <w:t xml:space="preserve">Pour </w:t>
      </w:r>
      <w:r w:rsidRPr="0098629B">
        <w:t>trois périodes successives de 5 ans, les objectifs de réduction des émissions de gaz à effet de serre;</w:t>
      </w:r>
    </w:p>
    <w:p w14:paraId="359AA854" w14:textId="77777777" w:rsidR="006E0C3B" w:rsidRPr="0098629B" w:rsidRDefault="006E0C3B" w:rsidP="00573042">
      <w:pPr>
        <w:numPr>
          <w:ilvl w:val="0"/>
          <w:numId w:val="17"/>
        </w:numPr>
        <w:spacing w:before="240" w:after="240"/>
        <w:rPr>
          <w:lang w:eastAsia="en-US"/>
        </w:rPr>
      </w:pPr>
      <w:r w:rsidRPr="0098629B">
        <w:t>Pour deux</w:t>
      </w:r>
      <w:r w:rsidRPr="0098629B">
        <w:rPr>
          <w:lang w:eastAsia="en-US"/>
        </w:rPr>
        <w:t xml:space="preserve"> périodes successives de 5 ans les objectifs:</w:t>
      </w:r>
    </w:p>
    <w:p w14:paraId="093869BF" w14:textId="77777777" w:rsidR="006E0C3B" w:rsidRPr="0098629B" w:rsidRDefault="006E0C3B" w:rsidP="00573042">
      <w:pPr>
        <w:pStyle w:val="ListParagraph"/>
        <w:numPr>
          <w:ilvl w:val="1"/>
          <w:numId w:val="16"/>
        </w:numPr>
        <w:rPr>
          <w:lang w:eastAsia="en-US"/>
        </w:rPr>
      </w:pPr>
      <w:r w:rsidRPr="0098629B">
        <w:rPr>
          <w:lang w:eastAsia="en-US"/>
        </w:rPr>
        <w:t>De réduction de la consommation énergétique finale et de réduction de la consommation énergétique primaire fossile, par énergie fossile, et les niveaux minimal et maximal des obligations de certificats d’économies d’énergie;</w:t>
      </w:r>
    </w:p>
    <w:p w14:paraId="543D85F3" w14:textId="77777777" w:rsidR="006E0C3B" w:rsidRPr="0098629B" w:rsidRDefault="006E0C3B" w:rsidP="00573042">
      <w:pPr>
        <w:pStyle w:val="ListParagraph"/>
        <w:numPr>
          <w:ilvl w:val="1"/>
          <w:numId w:val="16"/>
        </w:numPr>
        <w:rPr>
          <w:lang w:eastAsia="en-US"/>
        </w:rPr>
      </w:pPr>
      <w:r w:rsidRPr="0098629B">
        <w:rPr>
          <w:lang w:eastAsia="en-US"/>
        </w:rPr>
        <w:t>De développement des énergies renouvelables pour l’électricité, la chaleur, le carburant et le gaz ainsi que l'hydrogène renouvelable et bas-carbone;</w:t>
      </w:r>
    </w:p>
    <w:p w14:paraId="574892A5" w14:textId="77777777" w:rsidR="006E0C3B" w:rsidRPr="0098629B" w:rsidRDefault="006E0C3B" w:rsidP="00573042">
      <w:pPr>
        <w:pStyle w:val="ListParagraph"/>
        <w:numPr>
          <w:ilvl w:val="1"/>
          <w:numId w:val="16"/>
        </w:numPr>
        <w:rPr>
          <w:lang w:eastAsia="en-US"/>
        </w:rPr>
      </w:pPr>
      <w:r w:rsidRPr="0098629B">
        <w:rPr>
          <w:lang w:eastAsia="en-US"/>
        </w:rPr>
        <w:t>De diversification du mix de production d’électricité;</w:t>
      </w:r>
    </w:p>
    <w:p w14:paraId="162E95D7" w14:textId="77777777" w:rsidR="006E0C3B" w:rsidRPr="0098629B" w:rsidRDefault="006E0C3B" w:rsidP="00573042">
      <w:pPr>
        <w:pStyle w:val="ListParagraph"/>
        <w:numPr>
          <w:ilvl w:val="1"/>
          <w:numId w:val="16"/>
        </w:numPr>
        <w:rPr>
          <w:lang w:eastAsia="en-US"/>
        </w:rPr>
      </w:pPr>
      <w:r w:rsidRPr="0098629B">
        <w:rPr>
          <w:lang w:eastAsia="en-US"/>
        </w:rPr>
        <w:t>De rénovation énergétique dans le secteur du bâtiment;</w:t>
      </w:r>
    </w:p>
    <w:p w14:paraId="1437210A" w14:textId="77777777" w:rsidR="006E0C3B" w:rsidRPr="0098629B" w:rsidRDefault="006E0C3B" w:rsidP="00573042">
      <w:pPr>
        <w:pStyle w:val="ListParagraph"/>
        <w:numPr>
          <w:ilvl w:val="1"/>
          <w:numId w:val="16"/>
        </w:numPr>
        <w:rPr>
          <w:lang w:eastAsia="en-US"/>
        </w:rPr>
      </w:pPr>
      <w:r w:rsidRPr="0098629B">
        <w:rPr>
          <w:lang w:eastAsia="en-US"/>
        </w:rPr>
        <w:t>Permettant d’atteindre ou de maintenir l’autonomie énergétique des départements d’outre-mer.</w:t>
      </w:r>
    </w:p>
    <w:p w14:paraId="21FB3E7F" w14:textId="77777777" w:rsidR="006E0C3B" w:rsidRPr="0098629B" w:rsidRDefault="006E0C3B" w:rsidP="006E0C3B">
      <w:pPr>
        <w:spacing w:before="240" w:after="240"/>
        <w:rPr>
          <w:lang w:eastAsia="en-US"/>
        </w:rPr>
      </w:pPr>
      <w:r w:rsidRPr="0098629B">
        <w:rPr>
          <w:lang w:eastAsia="en-US"/>
        </w:rPr>
        <w:t xml:space="preserve">Les documents de planification en matière d’énergie et de climat (PPE </w:t>
      </w:r>
      <w:r w:rsidRPr="0098629B">
        <w:rPr>
          <w:rFonts w:eastAsiaTheme="minorHAnsi"/>
          <w:lang w:eastAsia="en-US"/>
        </w:rPr>
        <w:t>(programmation pluriannuelle de l’énergie)</w:t>
      </w:r>
      <w:r w:rsidRPr="0098629B">
        <w:rPr>
          <w:lang w:eastAsia="en-US"/>
        </w:rPr>
        <w:t xml:space="preserve"> et SNBC) devront être mis en conformité avec les objectifs inscrits dans cette loi dans un délai d’un an. </w:t>
      </w:r>
    </w:p>
    <w:p w14:paraId="662F8F4F" w14:textId="3E995B03" w:rsidR="002F2FFD" w:rsidRPr="0098629B" w:rsidRDefault="006E0C3B" w:rsidP="006E0C3B">
      <w:pPr>
        <w:rPr>
          <w:rFonts w:eastAsiaTheme="majorEastAsia"/>
        </w:rPr>
      </w:pPr>
      <w:r w:rsidRPr="0098629B">
        <w:rPr>
          <w:lang w:eastAsia="en-US"/>
        </w:rPr>
        <w:t xml:space="preserve">Dans ce contexte, le gouvernement Français a </w:t>
      </w:r>
      <w:r w:rsidRPr="0098629B">
        <w:rPr>
          <w:rFonts w:eastAsiaTheme="minorHAnsi"/>
          <w:lang w:eastAsia="en-US"/>
        </w:rPr>
        <w:t xml:space="preserve">pris le parti de </w:t>
      </w:r>
      <w:r w:rsidRPr="0098629B">
        <w:rPr>
          <w:rFonts w:eastAsiaTheme="minorHAnsi"/>
          <w:u w:val="single"/>
          <w:lang w:eastAsia="en-US"/>
        </w:rPr>
        <w:t>regrouper cette loi et les documents de planification, qui seront adoptés à son issue</w:t>
      </w:r>
      <w:r w:rsidRPr="0098629B">
        <w:rPr>
          <w:rFonts w:eastAsiaTheme="minorHAnsi"/>
          <w:lang w:eastAsia="en-US"/>
        </w:rPr>
        <w:t xml:space="preserve"> (en matière d’atténuation</w:t>
      </w:r>
      <w:r w:rsidRPr="0098629B">
        <w:rPr>
          <w:rFonts w:ascii="Calibri" w:eastAsiaTheme="minorHAnsi" w:hAnsi="Calibri" w:cs="Calibri"/>
          <w:lang w:eastAsia="en-US"/>
        </w:rPr>
        <w:t> </w:t>
      </w:r>
      <w:r w:rsidRPr="0098629B">
        <w:rPr>
          <w:rFonts w:eastAsiaTheme="minorHAnsi"/>
          <w:lang w:eastAsia="en-US"/>
        </w:rPr>
        <w:t>: la SNBC, d’énergie</w:t>
      </w:r>
      <w:r w:rsidRPr="0098629B">
        <w:rPr>
          <w:rFonts w:ascii="Calibri" w:eastAsiaTheme="minorHAnsi" w:hAnsi="Calibri" w:cs="Calibri"/>
          <w:lang w:eastAsia="en-US"/>
        </w:rPr>
        <w:t> </w:t>
      </w:r>
      <w:r w:rsidRPr="0098629B">
        <w:rPr>
          <w:rFonts w:eastAsiaTheme="minorHAnsi"/>
          <w:lang w:eastAsia="en-US"/>
        </w:rPr>
        <w:t>: la PPE, et d’adaptation</w:t>
      </w:r>
      <w:r w:rsidRPr="0098629B">
        <w:rPr>
          <w:rFonts w:ascii="Calibri" w:eastAsiaTheme="minorHAnsi" w:hAnsi="Calibri" w:cs="Calibri"/>
          <w:lang w:eastAsia="en-US"/>
        </w:rPr>
        <w:t> </w:t>
      </w:r>
      <w:r w:rsidRPr="0098629B">
        <w:rPr>
          <w:rFonts w:eastAsiaTheme="minorHAnsi"/>
          <w:lang w:eastAsia="en-US"/>
        </w:rPr>
        <w:t xml:space="preserve">: le PNACC (plan national d’adaptation au changement climatique) </w:t>
      </w:r>
      <w:r w:rsidRPr="0098629B">
        <w:rPr>
          <w:rFonts w:eastAsiaTheme="minorHAnsi"/>
          <w:u w:val="single"/>
          <w:lang w:eastAsia="en-US"/>
        </w:rPr>
        <w:t>sous un unique vocable, la Stratégie Française Energie Climat (SFEC)</w:t>
      </w:r>
      <w:r w:rsidRPr="0098629B">
        <w:rPr>
          <w:rFonts w:eastAsiaTheme="minorHAnsi"/>
          <w:lang w:eastAsia="en-US"/>
        </w:rPr>
        <w:t>, plus visible du grand public, et permettant de traiter de manière cohérente les enjeux de la décarbonation et de renforcer l’articulation nécessaire entre les politiques d’atténuation et d’adaptation au changement climatique</w:t>
      </w:r>
      <w:r w:rsidR="002F2FFD" w:rsidRPr="0098629B">
        <w:rPr>
          <w:rFonts w:eastAsiaTheme="majorEastAsia"/>
        </w:rPr>
        <w:t>.</w:t>
      </w:r>
    </w:p>
    <w:p w14:paraId="69E4A994" w14:textId="77777777" w:rsidR="005D35AC" w:rsidRPr="0098629B" w:rsidRDefault="005D35AC" w:rsidP="005D35AC">
      <w:pPr>
        <w:rPr>
          <w:rFonts w:eastAsiaTheme="majorEastAsia"/>
        </w:rPr>
      </w:pPr>
    </w:p>
    <w:p w14:paraId="044A74ED" w14:textId="77777777" w:rsidR="005D35AC" w:rsidRPr="0098629B" w:rsidRDefault="005D35AC" w:rsidP="00B04A7C">
      <w:pPr>
        <w:pStyle w:val="Titre3Niveau3"/>
      </w:pPr>
      <w:bookmarkStart w:id="31" w:name="_Toc120883271"/>
      <w:bookmarkStart w:id="32" w:name="_Toc138344585"/>
      <w:r w:rsidRPr="0098629B">
        <w:t>Point sur l’atteinte des objectifs de la France pour 2020</w:t>
      </w:r>
      <w:bookmarkEnd w:id="31"/>
      <w:bookmarkEnd w:id="32"/>
    </w:p>
    <w:p w14:paraId="05F7A46D" w14:textId="5605AC97" w:rsidR="00CC34FC" w:rsidRDefault="00CC34FC" w:rsidP="005D35AC">
      <w:pPr>
        <w:rPr>
          <w:rFonts w:eastAsiaTheme="majorEastAsia"/>
        </w:rPr>
      </w:pPr>
      <w:r>
        <w:rPr>
          <w:rFonts w:eastAsiaTheme="majorEastAsia"/>
        </w:rPr>
        <w:t>Au niveau de l’Union européenne, les émissions totales hors UTCATF, hors NF</w:t>
      </w:r>
      <w:r w:rsidRPr="00573042">
        <w:rPr>
          <w:rFonts w:eastAsiaTheme="majorEastAsia"/>
          <w:vertAlign w:val="subscript"/>
        </w:rPr>
        <w:t>3</w:t>
      </w:r>
      <w:r>
        <w:rPr>
          <w:rFonts w:eastAsiaTheme="majorEastAsia"/>
        </w:rPr>
        <w:t xml:space="preserve"> et incluant l’aviation internationale ont atteint 3 771 MtCO</w:t>
      </w:r>
      <w:r w:rsidRPr="00573042">
        <w:rPr>
          <w:rFonts w:eastAsiaTheme="majorEastAsia"/>
          <w:vertAlign w:val="subscript"/>
        </w:rPr>
        <w:t>2</w:t>
      </w:r>
      <w:r>
        <w:rPr>
          <w:rFonts w:eastAsiaTheme="majorEastAsia"/>
        </w:rPr>
        <w:t xml:space="preserve">e en 2020, soit une baisse de 34% par rapport à l’année de référence 1990. </w:t>
      </w:r>
      <w:r w:rsidRPr="00573042">
        <w:rPr>
          <w:rFonts w:eastAsiaTheme="majorEastAsia"/>
          <w:b/>
          <w:u w:val="single"/>
        </w:rPr>
        <w:t>L’objectif collectif a donc été atteint</w:t>
      </w:r>
      <w:r>
        <w:rPr>
          <w:rFonts w:eastAsiaTheme="majorEastAsia"/>
        </w:rPr>
        <w:t>, et même largement dépassé par l’Union Européenne, ses Etats-Membres et le Royaume-Uni (voir le 5</w:t>
      </w:r>
      <w:r w:rsidRPr="00573042">
        <w:rPr>
          <w:rFonts w:eastAsiaTheme="majorEastAsia"/>
          <w:vertAlign w:val="superscript"/>
        </w:rPr>
        <w:t>e</w:t>
      </w:r>
      <w:r>
        <w:rPr>
          <w:rFonts w:eastAsiaTheme="majorEastAsia"/>
        </w:rPr>
        <w:t xml:space="preserve"> rapport bisannuel de l’Union Européenne). </w:t>
      </w:r>
    </w:p>
    <w:p w14:paraId="196B8A88" w14:textId="77777777" w:rsidR="00CC34FC" w:rsidRDefault="00CC34FC" w:rsidP="00573042">
      <w:pPr>
        <w:keepNext/>
        <w:jc w:val="center"/>
      </w:pPr>
      <w:r>
        <w:rPr>
          <w:noProof/>
        </w:rPr>
        <w:lastRenderedPageBreak/>
        <w:drawing>
          <wp:inline distT="0" distB="0" distL="0" distR="0" wp14:anchorId="5B5A662A" wp14:editId="60D243F4">
            <wp:extent cx="6263640" cy="3872865"/>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3872865"/>
                    </a:xfrm>
                    <a:prstGeom prst="rect">
                      <a:avLst/>
                    </a:prstGeom>
                  </pic:spPr>
                </pic:pic>
              </a:graphicData>
            </a:graphic>
          </wp:inline>
        </w:drawing>
      </w:r>
    </w:p>
    <w:p w14:paraId="1A65BEA4" w14:textId="5034744D" w:rsidR="00CC34FC" w:rsidRDefault="00CC34FC" w:rsidP="00573042">
      <w:pPr>
        <w:pStyle w:val="Caption"/>
        <w:jc w:val="left"/>
      </w:pPr>
      <w:r>
        <w:t xml:space="preserve">Figure </w:t>
      </w:r>
      <w:r w:rsidR="00757301">
        <w:fldChar w:fldCharType="begin"/>
      </w:r>
      <w:r w:rsidR="00757301">
        <w:instrText xml:space="preserve"> SEQ Figure \* ARABIC </w:instrText>
      </w:r>
      <w:r w:rsidR="00757301">
        <w:fldChar w:fldCharType="separate"/>
      </w:r>
      <w:r w:rsidR="006B0E73">
        <w:rPr>
          <w:noProof/>
        </w:rPr>
        <w:t>11</w:t>
      </w:r>
      <w:r w:rsidR="00757301">
        <w:rPr>
          <w:noProof/>
        </w:rPr>
        <w:fldChar w:fldCharType="end"/>
      </w:r>
      <w:r>
        <w:t xml:space="preserve">. Atteinte de l'objectif de l'Union Européenne sous la Convention </w:t>
      </w:r>
    </w:p>
    <w:p w14:paraId="32BB0A67" w14:textId="649C45F2" w:rsidR="00CC34FC" w:rsidRDefault="00CC34FC" w:rsidP="00573042">
      <w:pPr>
        <w:pStyle w:val="Caption"/>
        <w:jc w:val="left"/>
        <w:rPr>
          <w:rFonts w:eastAsiaTheme="majorEastAsia"/>
        </w:rPr>
      </w:pPr>
      <w:r>
        <w:t>Source : BR5 de l’UE</w:t>
      </w:r>
    </w:p>
    <w:p w14:paraId="370A1B91" w14:textId="77777777" w:rsidR="00CC34FC" w:rsidRDefault="00CC34FC" w:rsidP="005D35AC">
      <w:pPr>
        <w:rPr>
          <w:rFonts w:eastAsiaTheme="majorEastAsia"/>
        </w:rPr>
      </w:pPr>
    </w:p>
    <w:p w14:paraId="377459A0" w14:textId="19058F2F" w:rsidR="005D35AC" w:rsidRPr="0098629B" w:rsidRDefault="005D35AC" w:rsidP="005D35AC">
      <w:pPr>
        <w:rPr>
          <w:rFonts w:eastAsiaTheme="majorEastAsia"/>
        </w:rPr>
      </w:pPr>
      <w:r w:rsidRPr="0098629B">
        <w:rPr>
          <w:rFonts w:eastAsiaTheme="majorEastAsia"/>
        </w:rPr>
        <w:t>Pour ce qui concerne l</w:t>
      </w:r>
      <w:r w:rsidR="00CC34FC">
        <w:rPr>
          <w:rFonts w:eastAsiaTheme="majorEastAsia"/>
        </w:rPr>
        <w:t>’objectif français, à savoir l</w:t>
      </w:r>
      <w:r w:rsidRPr="0098629B">
        <w:rPr>
          <w:rFonts w:eastAsiaTheme="majorEastAsia"/>
        </w:rPr>
        <w:t>es émissions non couvertes par le</w:t>
      </w:r>
      <w:r w:rsidR="002F2FFD" w:rsidRPr="0098629B">
        <w:rPr>
          <w:rFonts w:eastAsiaTheme="majorEastAsia"/>
        </w:rPr>
        <w:t xml:space="preserve"> système d’échange de quotas, la décision 2009/406/CE sur le partage de l’effort fixait à la </w:t>
      </w:r>
      <w:r w:rsidRPr="0098629B">
        <w:rPr>
          <w:rFonts w:eastAsiaTheme="majorEastAsia"/>
        </w:rPr>
        <w:t>France un objectif de - 14 % par rapport à 2005 (395,78 Mt</w:t>
      </w:r>
      <w:r w:rsidR="00811B0F" w:rsidRPr="0098629B">
        <w:t>CO</w:t>
      </w:r>
      <w:r w:rsidR="00811B0F" w:rsidRPr="0098629B">
        <w:rPr>
          <w:vertAlign w:val="subscript"/>
        </w:rPr>
        <w:t>2</w:t>
      </w:r>
      <w:r w:rsidR="00891B49" w:rsidRPr="0098629B">
        <w:rPr>
          <w:vertAlign w:val="subscript"/>
        </w:rPr>
        <w:t>e</w:t>
      </w:r>
      <w:r w:rsidRPr="0098629B">
        <w:rPr>
          <w:rFonts w:eastAsiaTheme="majorEastAsia"/>
        </w:rPr>
        <w:t>), ce qui correspond à des émissions de 342,4 Mt</w:t>
      </w:r>
      <w:r w:rsidR="00811B0F" w:rsidRPr="0098629B">
        <w:t>CO</w:t>
      </w:r>
      <w:r w:rsidR="00811B0F" w:rsidRPr="0098629B">
        <w:rPr>
          <w:vertAlign w:val="subscript"/>
        </w:rPr>
        <w:t>2</w:t>
      </w:r>
      <w:r w:rsidR="00891B49" w:rsidRPr="0098629B">
        <w:rPr>
          <w:vertAlign w:val="subscript"/>
        </w:rPr>
        <w:t>e</w:t>
      </w:r>
      <w:r w:rsidRPr="0098629B">
        <w:rPr>
          <w:rFonts w:eastAsiaTheme="majorEastAsia"/>
        </w:rPr>
        <w:t xml:space="preserve"> en 2020. Cet objectif a été atteint en 2019, avec un niveau d’émissions de 336</w:t>
      </w:r>
      <w:r w:rsidR="00776ED7" w:rsidRPr="0098629B">
        <w:rPr>
          <w:rFonts w:eastAsiaTheme="majorEastAsia"/>
        </w:rPr>
        <w:t>,4 Mt</w:t>
      </w:r>
      <w:r w:rsidR="00811B0F" w:rsidRPr="0098629B">
        <w:t>CO</w:t>
      </w:r>
      <w:r w:rsidR="00811B0F" w:rsidRPr="0098629B">
        <w:rPr>
          <w:vertAlign w:val="subscript"/>
        </w:rPr>
        <w:t>2</w:t>
      </w:r>
      <w:r w:rsidR="00891B49" w:rsidRPr="0098629B">
        <w:rPr>
          <w:vertAlign w:val="subscript"/>
        </w:rPr>
        <w:t>e</w:t>
      </w:r>
      <w:r w:rsidRPr="0098629B">
        <w:rPr>
          <w:rFonts w:eastAsiaTheme="majorEastAsia"/>
        </w:rPr>
        <w:t>, soit un dépassement de près de 6 Mt</w:t>
      </w:r>
      <w:r w:rsidR="00811B0F" w:rsidRPr="0098629B">
        <w:t>CO</w:t>
      </w:r>
      <w:r w:rsidR="00811B0F" w:rsidRPr="0098629B">
        <w:rPr>
          <w:vertAlign w:val="subscript"/>
        </w:rPr>
        <w:t>2</w:t>
      </w:r>
      <w:r w:rsidR="00891B49" w:rsidRPr="0098629B">
        <w:rPr>
          <w:vertAlign w:val="subscript"/>
        </w:rPr>
        <w:t>e</w:t>
      </w:r>
      <w:r w:rsidRPr="0098629B">
        <w:rPr>
          <w:rFonts w:eastAsiaTheme="majorEastAsia"/>
        </w:rPr>
        <w:t xml:space="preserve"> de l’objectif 2020. En 2020 les émissions ESD atteignent 307</w:t>
      </w:r>
      <w:r w:rsidR="00776ED7" w:rsidRPr="0098629B">
        <w:rPr>
          <w:rFonts w:eastAsiaTheme="majorEastAsia"/>
        </w:rPr>
        <w:t>,8</w:t>
      </w:r>
      <w:r w:rsidRPr="0098629B">
        <w:rPr>
          <w:rFonts w:eastAsiaTheme="majorEastAsia"/>
        </w:rPr>
        <w:t> </w:t>
      </w:r>
      <w:r w:rsidR="00776ED7" w:rsidRPr="0098629B">
        <w:rPr>
          <w:rFonts w:eastAsiaTheme="majorEastAsia"/>
        </w:rPr>
        <w:t>M</w:t>
      </w:r>
      <w:r w:rsidRPr="0098629B">
        <w:rPr>
          <w:rFonts w:eastAsiaTheme="majorEastAsia"/>
        </w:rPr>
        <w:t>t</w:t>
      </w:r>
      <w:r w:rsidR="00811B0F" w:rsidRPr="0098629B">
        <w:t>CO</w:t>
      </w:r>
      <w:r w:rsidR="00811B0F" w:rsidRPr="0098629B">
        <w:rPr>
          <w:vertAlign w:val="subscript"/>
        </w:rPr>
        <w:t>2</w:t>
      </w:r>
      <w:r w:rsidR="00891B49" w:rsidRPr="0098629B">
        <w:rPr>
          <w:vertAlign w:val="subscript"/>
        </w:rPr>
        <w:t>e</w:t>
      </w:r>
      <w:r w:rsidRPr="0098629B">
        <w:rPr>
          <w:rFonts w:eastAsiaTheme="majorEastAsia"/>
        </w:rPr>
        <w:t xml:space="preserve"> : </w:t>
      </w:r>
      <w:r w:rsidRPr="00573042">
        <w:rPr>
          <w:rFonts w:eastAsiaTheme="majorEastAsia"/>
          <w:b/>
          <w:u w:val="single"/>
        </w:rPr>
        <w:t>l’objectif est donc largement dépassé avec une marge supérieure à 34 Mt</w:t>
      </w:r>
      <w:r w:rsidR="00811B0F" w:rsidRPr="00573042">
        <w:rPr>
          <w:b/>
          <w:u w:val="single"/>
        </w:rPr>
        <w:t>CO</w:t>
      </w:r>
      <w:r w:rsidR="00811B0F" w:rsidRPr="00573042">
        <w:rPr>
          <w:b/>
          <w:u w:val="single"/>
          <w:vertAlign w:val="subscript"/>
        </w:rPr>
        <w:t>2</w:t>
      </w:r>
      <w:r w:rsidR="00891B49" w:rsidRPr="00573042">
        <w:rPr>
          <w:b/>
          <w:u w:val="single"/>
          <w:vertAlign w:val="subscript"/>
        </w:rPr>
        <w:t>e</w:t>
      </w:r>
      <w:r w:rsidRPr="0098629B">
        <w:rPr>
          <w:rFonts w:eastAsiaTheme="majorEastAsia"/>
        </w:rPr>
        <w:t>.</w:t>
      </w:r>
      <w:r w:rsidR="006B0E73">
        <w:rPr>
          <w:rFonts w:eastAsiaTheme="majorEastAsia"/>
        </w:rPr>
        <w:t xml:space="preserve"> Le surplus cumulé sur la période 2012-2020 atteint 185 Mt CO</w:t>
      </w:r>
      <w:r w:rsidR="006B0E73" w:rsidRPr="00573042">
        <w:rPr>
          <w:rFonts w:eastAsiaTheme="majorEastAsia"/>
          <w:vertAlign w:val="subscript"/>
        </w:rPr>
        <w:t>2</w:t>
      </w:r>
      <w:r w:rsidR="006B0E73">
        <w:rPr>
          <w:rFonts w:eastAsiaTheme="majorEastAsia"/>
        </w:rPr>
        <w:t xml:space="preserve">e. </w:t>
      </w:r>
    </w:p>
    <w:p w14:paraId="059F2B71" w14:textId="3CB1020E" w:rsidR="005D35AC" w:rsidRDefault="005D35AC" w:rsidP="005D35AC">
      <w:pPr>
        <w:rPr>
          <w:rFonts w:eastAsiaTheme="majorEastAsia"/>
        </w:rPr>
      </w:pPr>
    </w:p>
    <w:p w14:paraId="044C8F02" w14:textId="77777777" w:rsidR="006B0E73" w:rsidRDefault="006B0E73" w:rsidP="00573042">
      <w:pPr>
        <w:keepNext/>
      </w:pPr>
      <w:r w:rsidRPr="006B0E73">
        <w:rPr>
          <w:rFonts w:eastAsiaTheme="majorEastAsia"/>
          <w:noProof/>
        </w:rPr>
        <w:drawing>
          <wp:inline distT="0" distB="0" distL="0" distR="0" wp14:anchorId="01DF324A" wp14:editId="48DD3C65">
            <wp:extent cx="6048375" cy="2918460"/>
            <wp:effectExtent l="0" t="0" r="9525" b="1524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A8A7D4" w14:textId="5E0F8AE2" w:rsidR="00CC34FC" w:rsidRDefault="006B0E73" w:rsidP="00573042">
      <w:pPr>
        <w:pStyle w:val="Caption"/>
        <w:rPr>
          <w:noProof/>
        </w:rPr>
      </w:pPr>
      <w:r>
        <w:t xml:space="preserve">Figure </w:t>
      </w:r>
      <w:r w:rsidR="00757301">
        <w:fldChar w:fldCharType="begin"/>
      </w:r>
      <w:r w:rsidR="00757301">
        <w:instrText xml:space="preserve"> SEQ Figure \* ARABIC </w:instrText>
      </w:r>
      <w:r w:rsidR="00757301">
        <w:fldChar w:fldCharType="separate"/>
      </w:r>
      <w:r>
        <w:rPr>
          <w:noProof/>
        </w:rPr>
        <w:t>12</w:t>
      </w:r>
      <w:r w:rsidR="00757301">
        <w:rPr>
          <w:noProof/>
        </w:rPr>
        <w:fldChar w:fldCharType="end"/>
      </w:r>
      <w:r>
        <w:t xml:space="preserve">. </w:t>
      </w:r>
      <w:r>
        <w:rPr>
          <w:noProof/>
        </w:rPr>
        <w:t>Emissions historiques de la France au périmètre ESD, et objectifs annuels de la France sous l'ESD (Source : MTE-DGEC)</w:t>
      </w:r>
    </w:p>
    <w:p w14:paraId="5BC4E559" w14:textId="4D6EDD74" w:rsidR="006B0E73" w:rsidRPr="006B0E73" w:rsidRDefault="006B0E73">
      <w:pPr>
        <w:rPr>
          <w:rFonts w:eastAsiaTheme="majorEastAsia"/>
        </w:rPr>
      </w:pPr>
    </w:p>
    <w:p w14:paraId="3A8F3020" w14:textId="77777777" w:rsidR="00CC34FC" w:rsidRPr="0098629B" w:rsidRDefault="00CC34FC" w:rsidP="005D35AC">
      <w:pPr>
        <w:rPr>
          <w:rFonts w:eastAsiaTheme="majorEastAsia"/>
        </w:rPr>
      </w:pPr>
    </w:p>
    <w:p w14:paraId="46523922" w14:textId="77777777" w:rsidR="005D35AC" w:rsidRPr="0098629B" w:rsidRDefault="005D35AC" w:rsidP="005D35AC">
      <w:pPr>
        <w:rPr>
          <w:rFonts w:eastAsiaTheme="majorEastAsia"/>
        </w:rPr>
      </w:pPr>
      <w:r w:rsidRPr="0098629B">
        <w:rPr>
          <w:rFonts w:eastAsiaTheme="majorEastAsia"/>
        </w:rPr>
        <w:lastRenderedPageBreak/>
        <w:t>Le processus de suivi est harmonisé pour tous les États-Membres européens par le biais du règlement instaurant un mécanisme de surveillance des émissions de gaz à effet de serre. L'utilisation des mécanismes de flexibilité est possible dans le cadre de l’EU-ETS et l'ESD (pour l'utilisation des Unités de réduction des émissions (URE) et des Unités de réduction certifiée des émissions (URCE) dans le cadre de l’ETS, voir le rapport bisannuel de l’Union européenne).</w:t>
      </w:r>
    </w:p>
    <w:p w14:paraId="5B66B833" w14:textId="77777777" w:rsidR="005D35AC" w:rsidRPr="0098629B" w:rsidRDefault="005D35AC" w:rsidP="005D35AC">
      <w:pPr>
        <w:rPr>
          <w:rFonts w:eastAsiaTheme="majorEastAsia"/>
        </w:rPr>
      </w:pPr>
      <w:r w:rsidRPr="0098629B">
        <w:rPr>
          <w:rFonts w:eastAsiaTheme="majorEastAsia"/>
        </w:rPr>
        <w:t xml:space="preserve">L'ESD permet aux États-Membres de faire usage de clauses de flexibilité pour répondre à leurs obligations annuelles avec une limite de 3 % pour l'utilisation des crédits fondés sur des projets pour chaque États-Membres. La France ayant également dépassé ses objectifs au titre de l’EU-ETS, aucune flexibilité n’a eu à être mise en œuvre. </w:t>
      </w:r>
    </w:p>
    <w:p w14:paraId="0EB5571E" w14:textId="77777777" w:rsidR="005D35AC" w:rsidRPr="0098629B" w:rsidRDefault="005D35AC" w:rsidP="005D35AC">
      <w:pPr>
        <w:rPr>
          <w:rFonts w:eastAsiaTheme="majorEastAsia"/>
        </w:rPr>
      </w:pPr>
      <w:r w:rsidRPr="0098629B">
        <w:rPr>
          <w:rFonts w:eastAsiaTheme="majorEastAsia"/>
        </w:rPr>
        <w:t>Si ces crédits ne sont pas utilisés, la partie non utilisée pour cette année peut être transférée à d'autres États-Membres ou être mis en réserve pour les besoins de l’Etat Membre jusqu'en 2020.</w:t>
      </w:r>
    </w:p>
    <w:p w14:paraId="5DDBE487" w14:textId="77777777" w:rsidR="005D35AC" w:rsidRPr="0098629B" w:rsidRDefault="005D35AC" w:rsidP="005D35AC">
      <w:pPr>
        <w:rPr>
          <w:rFonts w:eastAsiaTheme="majorEastAsia"/>
        </w:rPr>
      </w:pPr>
    </w:p>
    <w:p w14:paraId="57DAE596" w14:textId="77777777" w:rsidR="005D35AC" w:rsidRPr="0098629B" w:rsidRDefault="005D35AC" w:rsidP="005D35AC">
      <w:pPr>
        <w:rPr>
          <w:rFonts w:eastAsiaTheme="majorEastAsia"/>
        </w:rPr>
      </w:pPr>
      <w:r w:rsidRPr="0098629B">
        <w:rPr>
          <w:rFonts w:eastAsiaTheme="majorEastAsia"/>
        </w:rPr>
        <w:t>Les tables de rapportage relatives aux objectifs de réduction d’émissions sont reprises ci-dessous.</w:t>
      </w:r>
    </w:p>
    <w:p w14:paraId="03A67D78" w14:textId="77777777" w:rsidR="005D35AC" w:rsidRPr="0098629B" w:rsidRDefault="005D35AC" w:rsidP="005D35AC">
      <w:pPr>
        <w:rPr>
          <w:rFonts w:eastAsiaTheme="majorEastAsia"/>
        </w:rPr>
      </w:pPr>
    </w:p>
    <w:tbl>
      <w:tblPr>
        <w:tblW w:w="5000" w:type="pct"/>
        <w:tblInd w:w="-140" w:type="dxa"/>
        <w:tblCellMar>
          <w:left w:w="70" w:type="dxa"/>
          <w:right w:w="70" w:type="dxa"/>
        </w:tblCellMar>
        <w:tblLook w:val="00A0" w:firstRow="1" w:lastRow="0" w:firstColumn="1" w:lastColumn="0" w:noHBand="0" w:noVBand="0"/>
      </w:tblPr>
      <w:tblGrid>
        <w:gridCol w:w="5478"/>
        <w:gridCol w:w="2657"/>
        <w:gridCol w:w="159"/>
        <w:gridCol w:w="1570"/>
      </w:tblGrid>
      <w:tr w:rsidR="005D35AC" w:rsidRPr="0098629B" w14:paraId="30140659" w14:textId="77777777" w:rsidTr="005D35AC">
        <w:trPr>
          <w:trHeight w:val="300"/>
        </w:trPr>
        <w:tc>
          <w:tcPr>
            <w:tcW w:w="5478" w:type="dxa"/>
            <w:shd w:val="clear" w:color="auto" w:fill="auto"/>
            <w:vAlign w:val="center"/>
          </w:tcPr>
          <w:p w14:paraId="25280D22" w14:textId="77777777" w:rsidR="005D35AC" w:rsidRPr="0098629B" w:rsidRDefault="005D35AC" w:rsidP="005D35AC">
            <w:pPr>
              <w:pageBreakBefore/>
              <w:suppressAutoHyphens/>
            </w:pPr>
            <w:r w:rsidRPr="0098629B">
              <w:rPr>
                <w:color w:val="000000"/>
                <w:sz w:val="18"/>
                <w:szCs w:val="18"/>
              </w:rPr>
              <w:lastRenderedPageBreak/>
              <w:t xml:space="preserve">Table 2(a) </w:t>
            </w:r>
          </w:p>
        </w:tc>
        <w:tc>
          <w:tcPr>
            <w:tcW w:w="2657" w:type="dxa"/>
            <w:shd w:val="clear" w:color="auto" w:fill="auto"/>
            <w:vAlign w:val="center"/>
          </w:tcPr>
          <w:p w14:paraId="0C8C8F19" w14:textId="77777777" w:rsidR="005D35AC" w:rsidRPr="0098629B" w:rsidRDefault="005D35AC" w:rsidP="005D35AC">
            <w:pPr>
              <w:suppressAutoHyphens/>
              <w:rPr>
                <w:color w:val="000000"/>
                <w:sz w:val="18"/>
                <w:szCs w:val="18"/>
              </w:rPr>
            </w:pPr>
          </w:p>
        </w:tc>
        <w:tc>
          <w:tcPr>
            <w:tcW w:w="1729" w:type="dxa"/>
            <w:gridSpan w:val="2"/>
            <w:shd w:val="clear" w:color="auto" w:fill="auto"/>
            <w:vAlign w:val="center"/>
          </w:tcPr>
          <w:p w14:paraId="075A58F9" w14:textId="2DA0D51C" w:rsidR="005D35AC" w:rsidRPr="0098629B" w:rsidRDefault="005D35AC" w:rsidP="005D35AC">
            <w:pPr>
              <w:suppressAutoHyphens/>
              <w:rPr>
                <w:color w:val="000000"/>
                <w:sz w:val="18"/>
                <w:szCs w:val="18"/>
              </w:rPr>
            </w:pPr>
          </w:p>
        </w:tc>
      </w:tr>
      <w:tr w:rsidR="005D35AC" w:rsidRPr="00757301" w14:paraId="59114D54" w14:textId="77777777" w:rsidTr="005D35AC">
        <w:trPr>
          <w:trHeight w:val="360"/>
        </w:trPr>
        <w:tc>
          <w:tcPr>
            <w:tcW w:w="9864" w:type="dxa"/>
            <w:gridSpan w:val="4"/>
            <w:shd w:val="clear" w:color="auto" w:fill="auto"/>
            <w:vAlign w:val="center"/>
          </w:tcPr>
          <w:p w14:paraId="0B445F86" w14:textId="77777777" w:rsidR="005D35AC" w:rsidRPr="0098629B" w:rsidRDefault="005D35AC" w:rsidP="005D35AC">
            <w:pPr>
              <w:suppressAutoHyphens/>
              <w:spacing w:before="120"/>
              <w:rPr>
                <w:b/>
                <w:bCs/>
                <w:color w:val="000000"/>
                <w:sz w:val="18"/>
                <w:szCs w:val="18"/>
                <w:lang w:val="en-US"/>
              </w:rPr>
            </w:pPr>
            <w:r w:rsidRPr="0098629B">
              <w:rPr>
                <w:b/>
                <w:bCs/>
                <w:color w:val="000000"/>
                <w:sz w:val="18"/>
                <w:szCs w:val="18"/>
                <w:lang w:val="en-US"/>
              </w:rPr>
              <w:t>Description of quantified economy-wide emission reduction target: base year</w:t>
            </w:r>
            <w:r w:rsidRPr="0098629B">
              <w:rPr>
                <w:i/>
                <w:iCs/>
                <w:color w:val="000000"/>
                <w:sz w:val="18"/>
                <w:szCs w:val="18"/>
                <w:vertAlign w:val="superscript"/>
                <w:lang w:val="en-US"/>
              </w:rPr>
              <w:t>a</w:t>
            </w:r>
            <w:r w:rsidRPr="0098629B">
              <w:rPr>
                <w:color w:val="000000"/>
                <w:sz w:val="18"/>
                <w:szCs w:val="18"/>
                <w:lang w:val="en-US"/>
              </w:rPr>
              <w:t> </w:t>
            </w:r>
          </w:p>
        </w:tc>
      </w:tr>
      <w:tr w:rsidR="005D35AC" w:rsidRPr="00757301" w14:paraId="45E8280E" w14:textId="77777777" w:rsidTr="005D35AC">
        <w:trPr>
          <w:trHeight w:val="300"/>
        </w:trPr>
        <w:tc>
          <w:tcPr>
            <w:tcW w:w="5478" w:type="dxa"/>
            <w:shd w:val="clear" w:color="auto" w:fill="auto"/>
            <w:vAlign w:val="center"/>
          </w:tcPr>
          <w:p w14:paraId="07D06B75" w14:textId="77777777" w:rsidR="005D35AC" w:rsidRPr="0098629B" w:rsidRDefault="005D35AC" w:rsidP="005D35AC">
            <w:pPr>
              <w:suppressAutoHyphens/>
              <w:rPr>
                <w:b/>
                <w:bCs/>
                <w:color w:val="000000"/>
                <w:sz w:val="18"/>
                <w:szCs w:val="18"/>
                <w:lang w:val="en-US"/>
              </w:rPr>
            </w:pPr>
          </w:p>
        </w:tc>
        <w:tc>
          <w:tcPr>
            <w:tcW w:w="2816" w:type="dxa"/>
            <w:gridSpan w:val="2"/>
            <w:shd w:val="clear" w:color="auto" w:fill="auto"/>
            <w:vAlign w:val="center"/>
          </w:tcPr>
          <w:p w14:paraId="61B7161C" w14:textId="77777777" w:rsidR="005D35AC" w:rsidRPr="0098629B" w:rsidRDefault="005D35AC" w:rsidP="005D35AC">
            <w:pPr>
              <w:suppressAutoHyphens/>
              <w:rPr>
                <w:color w:val="000000"/>
                <w:sz w:val="18"/>
                <w:szCs w:val="18"/>
                <w:lang w:val="en-US"/>
              </w:rPr>
            </w:pPr>
          </w:p>
        </w:tc>
        <w:tc>
          <w:tcPr>
            <w:tcW w:w="1570" w:type="dxa"/>
            <w:shd w:val="clear" w:color="auto" w:fill="auto"/>
            <w:vAlign w:val="center"/>
          </w:tcPr>
          <w:p w14:paraId="47D80943" w14:textId="77777777" w:rsidR="005D35AC" w:rsidRPr="0098629B" w:rsidRDefault="005D35AC" w:rsidP="005D35AC">
            <w:pPr>
              <w:suppressAutoHyphens/>
              <w:ind w:left="101" w:hanging="101"/>
              <w:rPr>
                <w:color w:val="000000"/>
                <w:sz w:val="18"/>
                <w:szCs w:val="18"/>
                <w:lang w:val="en-US"/>
              </w:rPr>
            </w:pPr>
          </w:p>
        </w:tc>
      </w:tr>
      <w:tr w:rsidR="005D35AC" w:rsidRPr="0098629B" w14:paraId="7B53469B" w14:textId="77777777" w:rsidTr="005D35AC">
        <w:trPr>
          <w:trHeight w:val="300"/>
        </w:trPr>
        <w:tc>
          <w:tcPr>
            <w:tcW w:w="5478"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76557D52" w14:textId="77777777" w:rsidR="005D35AC" w:rsidRPr="0098629B" w:rsidRDefault="005D35AC" w:rsidP="005D35AC">
            <w:pPr>
              <w:suppressAutoHyphens/>
              <w:jc w:val="left"/>
              <w:rPr>
                <w:i/>
                <w:iCs/>
                <w:color w:val="000000"/>
                <w:sz w:val="18"/>
                <w:szCs w:val="18"/>
              </w:rPr>
            </w:pPr>
            <w:r w:rsidRPr="0098629B">
              <w:rPr>
                <w:i/>
                <w:iCs/>
                <w:color w:val="000000"/>
                <w:sz w:val="18"/>
                <w:szCs w:val="18"/>
              </w:rPr>
              <w:t>Party</w:t>
            </w:r>
          </w:p>
        </w:tc>
        <w:tc>
          <w:tcPr>
            <w:tcW w:w="4386" w:type="dxa"/>
            <w:gridSpan w:val="3"/>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48B5A3A2" w14:textId="77777777" w:rsidR="005D35AC" w:rsidRPr="0098629B" w:rsidRDefault="005D35AC" w:rsidP="005D35AC">
            <w:pPr>
              <w:suppressAutoHyphens/>
              <w:ind w:left="101" w:hanging="101"/>
              <w:jc w:val="left"/>
              <w:rPr>
                <w:i/>
                <w:iCs/>
                <w:color w:val="000000"/>
                <w:sz w:val="18"/>
                <w:szCs w:val="18"/>
              </w:rPr>
            </w:pPr>
            <w:r w:rsidRPr="0098629B">
              <w:rPr>
                <w:i/>
                <w:iCs/>
                <w:sz w:val="18"/>
                <w:szCs w:val="18"/>
              </w:rPr>
              <w:t>France</w:t>
            </w:r>
          </w:p>
        </w:tc>
      </w:tr>
      <w:tr w:rsidR="005D35AC" w:rsidRPr="0098629B" w14:paraId="7E418B90" w14:textId="77777777" w:rsidTr="005D35AC">
        <w:trPr>
          <w:trHeight w:val="300"/>
        </w:trPr>
        <w:tc>
          <w:tcPr>
            <w:tcW w:w="5478" w:type="dxa"/>
            <w:tcBorders>
              <w:left w:val="single" w:sz="4" w:space="0" w:color="D8D8D8"/>
              <w:right w:val="single" w:sz="4" w:space="0" w:color="D8D8D8"/>
            </w:tcBorders>
            <w:shd w:val="clear" w:color="auto" w:fill="auto"/>
            <w:tcMar>
              <w:left w:w="0" w:type="dxa"/>
            </w:tcMar>
            <w:vAlign w:val="center"/>
          </w:tcPr>
          <w:p w14:paraId="44C89075" w14:textId="77777777" w:rsidR="005D35AC" w:rsidRPr="0098629B" w:rsidRDefault="005D35AC" w:rsidP="005D35AC">
            <w:pPr>
              <w:suppressAutoHyphens/>
              <w:jc w:val="left"/>
              <w:rPr>
                <w:color w:val="000000"/>
                <w:sz w:val="18"/>
                <w:szCs w:val="18"/>
                <w:lang w:val="en-US"/>
              </w:rPr>
            </w:pPr>
            <w:r w:rsidRPr="0098629B">
              <w:rPr>
                <w:color w:val="000000"/>
                <w:sz w:val="18"/>
                <w:szCs w:val="18"/>
                <w:lang w:val="en-US"/>
              </w:rPr>
              <w:t>Base year / base period</w:t>
            </w:r>
          </w:p>
        </w:tc>
        <w:tc>
          <w:tcPr>
            <w:tcW w:w="4386" w:type="dxa"/>
            <w:gridSpan w:val="3"/>
            <w:tcBorders>
              <w:top w:val="single" w:sz="4" w:space="0" w:color="00000A"/>
              <w:left w:val="single" w:sz="4" w:space="0" w:color="D8D8D8"/>
              <w:right w:val="single" w:sz="4" w:space="0" w:color="D8D8D8"/>
            </w:tcBorders>
            <w:shd w:val="clear" w:color="auto" w:fill="auto"/>
            <w:tcMar>
              <w:left w:w="0" w:type="dxa"/>
            </w:tcMar>
            <w:vAlign w:val="center"/>
          </w:tcPr>
          <w:p w14:paraId="5D5AC4EC" w14:textId="77777777" w:rsidR="005D35AC" w:rsidRPr="0098629B" w:rsidRDefault="005D35AC" w:rsidP="005D35AC">
            <w:pPr>
              <w:suppressAutoHyphens/>
              <w:ind w:left="101" w:hanging="101"/>
              <w:jc w:val="left"/>
              <w:rPr>
                <w:color w:val="000000"/>
                <w:sz w:val="18"/>
                <w:szCs w:val="18"/>
                <w:lang w:val="en-US"/>
              </w:rPr>
            </w:pPr>
            <w:r w:rsidRPr="0098629B">
              <w:rPr>
                <w:sz w:val="18"/>
                <w:szCs w:val="18"/>
                <w:lang w:val="en-US"/>
              </w:rPr>
              <w:t>1990</w:t>
            </w:r>
          </w:p>
        </w:tc>
      </w:tr>
      <w:tr w:rsidR="005D35AC" w:rsidRPr="0098629B" w14:paraId="0672EB2A" w14:textId="77777777" w:rsidTr="005D35AC">
        <w:trPr>
          <w:cantSplit/>
          <w:trHeight w:val="360"/>
        </w:trPr>
        <w:tc>
          <w:tcPr>
            <w:tcW w:w="5478" w:type="dxa"/>
            <w:vMerge w:val="restart"/>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339420DA" w14:textId="77777777" w:rsidR="005D35AC" w:rsidRPr="0098629B" w:rsidRDefault="005D35AC" w:rsidP="005D35AC">
            <w:pPr>
              <w:suppressAutoHyphens/>
              <w:jc w:val="left"/>
              <w:rPr>
                <w:color w:val="000000"/>
                <w:sz w:val="18"/>
                <w:szCs w:val="18"/>
                <w:lang w:val="en-US"/>
              </w:rPr>
            </w:pPr>
            <w:r w:rsidRPr="0098629B">
              <w:rPr>
                <w:color w:val="000000"/>
                <w:sz w:val="18"/>
                <w:szCs w:val="18"/>
                <w:lang w:val="en-US"/>
              </w:rPr>
              <w:t xml:space="preserve">Emission reduction target </w:t>
            </w:r>
          </w:p>
        </w:tc>
        <w:tc>
          <w:tcPr>
            <w:tcW w:w="2816" w:type="dxa"/>
            <w:gridSpan w:val="2"/>
            <w:tcBorders>
              <w:top w:val="single" w:sz="4" w:space="0" w:color="00000A"/>
              <w:left w:val="single" w:sz="4" w:space="0" w:color="D8D8D8"/>
              <w:right w:val="single" w:sz="4" w:space="0" w:color="D8D8D8"/>
            </w:tcBorders>
            <w:shd w:val="clear" w:color="auto" w:fill="auto"/>
            <w:tcMar>
              <w:left w:w="0" w:type="dxa"/>
            </w:tcMar>
            <w:vAlign w:val="center"/>
          </w:tcPr>
          <w:p w14:paraId="54BD29AE" w14:textId="77777777" w:rsidR="005D35AC" w:rsidRPr="0098629B" w:rsidRDefault="005D35AC" w:rsidP="005D35AC">
            <w:pPr>
              <w:suppressAutoHyphens/>
              <w:jc w:val="left"/>
              <w:rPr>
                <w:color w:val="000000"/>
                <w:sz w:val="18"/>
                <w:szCs w:val="18"/>
                <w:lang w:val="en-US"/>
              </w:rPr>
            </w:pPr>
            <w:r w:rsidRPr="0098629B">
              <w:rPr>
                <w:color w:val="000000"/>
                <w:sz w:val="18"/>
                <w:szCs w:val="18"/>
                <w:lang w:val="en-US"/>
              </w:rPr>
              <w:t xml:space="preserve">% of base year/base period </w:t>
            </w:r>
          </w:p>
        </w:tc>
        <w:tc>
          <w:tcPr>
            <w:tcW w:w="1570" w:type="dxa"/>
            <w:tcBorders>
              <w:top w:val="single" w:sz="4" w:space="0" w:color="00000A"/>
              <w:left w:val="single" w:sz="4" w:space="0" w:color="D8D8D8"/>
              <w:right w:val="single" w:sz="4" w:space="0" w:color="D8D8D8"/>
            </w:tcBorders>
            <w:shd w:val="clear" w:color="auto" w:fill="auto"/>
            <w:tcMar>
              <w:left w:w="0" w:type="dxa"/>
            </w:tcMar>
            <w:vAlign w:val="center"/>
          </w:tcPr>
          <w:p w14:paraId="77F4D3EC" w14:textId="77777777" w:rsidR="005D35AC" w:rsidRPr="0098629B" w:rsidRDefault="005D35AC" w:rsidP="005D35AC">
            <w:pPr>
              <w:suppressAutoHyphens/>
              <w:ind w:left="101" w:hanging="101"/>
              <w:jc w:val="left"/>
              <w:rPr>
                <w:color w:val="000000"/>
                <w:sz w:val="18"/>
                <w:szCs w:val="18"/>
                <w:lang w:val="en-US"/>
              </w:rPr>
            </w:pPr>
            <w:r w:rsidRPr="0098629B">
              <w:rPr>
                <w:color w:val="000000"/>
                <w:sz w:val="18"/>
                <w:szCs w:val="18"/>
                <w:lang w:val="en-US"/>
              </w:rPr>
              <w:t xml:space="preserve">% of 1990 </w:t>
            </w:r>
            <w:r w:rsidRPr="0098629B">
              <w:rPr>
                <w:color w:val="000000"/>
                <w:sz w:val="18"/>
                <w:szCs w:val="18"/>
                <w:vertAlign w:val="superscript"/>
                <w:lang w:val="en-US"/>
              </w:rPr>
              <w:t>b</w:t>
            </w:r>
          </w:p>
        </w:tc>
      </w:tr>
      <w:tr w:rsidR="005D35AC" w:rsidRPr="0098629B" w14:paraId="5C62E6E6" w14:textId="77777777" w:rsidTr="005D35AC">
        <w:trPr>
          <w:cantSplit/>
          <w:trHeight w:val="300"/>
        </w:trPr>
        <w:tc>
          <w:tcPr>
            <w:tcW w:w="5478" w:type="dxa"/>
            <w:vMerge/>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01B4696D" w14:textId="77777777" w:rsidR="005D35AC" w:rsidRPr="0098629B" w:rsidRDefault="005D35AC" w:rsidP="005D35AC">
            <w:pPr>
              <w:suppressAutoHyphens/>
              <w:jc w:val="left"/>
              <w:rPr>
                <w:color w:val="000000"/>
                <w:sz w:val="18"/>
                <w:szCs w:val="18"/>
                <w:lang w:val="en-US"/>
              </w:rPr>
            </w:pPr>
          </w:p>
        </w:tc>
        <w:tc>
          <w:tcPr>
            <w:tcW w:w="2816" w:type="dxa"/>
            <w:gridSpan w:val="2"/>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013D32CC" w14:textId="77777777" w:rsidR="005D35AC" w:rsidRPr="0098629B" w:rsidRDefault="005D35AC" w:rsidP="005D35AC">
            <w:pPr>
              <w:suppressAutoHyphens/>
              <w:jc w:val="left"/>
              <w:rPr>
                <w:color w:val="000000"/>
                <w:sz w:val="18"/>
                <w:szCs w:val="18"/>
                <w:lang w:val="en-US"/>
              </w:rPr>
            </w:pPr>
            <w:r w:rsidRPr="0098629B">
              <w:rPr>
                <w:sz w:val="18"/>
                <w:szCs w:val="18"/>
                <w:lang w:val="en-US"/>
              </w:rPr>
              <w:t>20.00</w:t>
            </w:r>
          </w:p>
        </w:tc>
        <w:tc>
          <w:tcPr>
            <w:tcW w:w="1570"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23D2786E" w14:textId="77777777" w:rsidR="005D35AC" w:rsidRPr="0098629B" w:rsidRDefault="005D35AC" w:rsidP="005D35AC">
            <w:pPr>
              <w:suppressAutoHyphens/>
              <w:ind w:left="101" w:hanging="101"/>
              <w:jc w:val="left"/>
              <w:rPr>
                <w:color w:val="000000"/>
                <w:sz w:val="18"/>
                <w:szCs w:val="18"/>
                <w:lang w:val="en-US"/>
              </w:rPr>
            </w:pPr>
            <w:r w:rsidRPr="0098629B">
              <w:rPr>
                <w:sz w:val="18"/>
                <w:szCs w:val="18"/>
                <w:lang w:val="en-US"/>
              </w:rPr>
              <w:t>20.00</w:t>
            </w:r>
          </w:p>
        </w:tc>
      </w:tr>
      <w:tr w:rsidR="005D35AC" w:rsidRPr="0098629B" w14:paraId="3E552ECD" w14:textId="77777777" w:rsidTr="005D35AC">
        <w:trPr>
          <w:trHeight w:val="300"/>
        </w:trPr>
        <w:tc>
          <w:tcPr>
            <w:tcW w:w="5478"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5940F589" w14:textId="77777777" w:rsidR="005D35AC" w:rsidRPr="0098629B" w:rsidRDefault="005D35AC" w:rsidP="005D35AC">
            <w:pPr>
              <w:suppressAutoHyphens/>
              <w:jc w:val="left"/>
              <w:rPr>
                <w:color w:val="000000"/>
                <w:sz w:val="18"/>
                <w:szCs w:val="18"/>
                <w:lang w:val="en-US"/>
              </w:rPr>
            </w:pPr>
            <w:r w:rsidRPr="0098629B">
              <w:rPr>
                <w:color w:val="000000"/>
                <w:sz w:val="18"/>
                <w:szCs w:val="18"/>
                <w:lang w:val="en-US"/>
              </w:rPr>
              <w:t xml:space="preserve">Period for reaching target </w:t>
            </w:r>
          </w:p>
        </w:tc>
        <w:tc>
          <w:tcPr>
            <w:tcW w:w="4386" w:type="dxa"/>
            <w:gridSpan w:val="3"/>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2C186130" w14:textId="77777777" w:rsidR="005D35AC" w:rsidRPr="0098629B" w:rsidRDefault="005D35AC" w:rsidP="005D35AC">
            <w:pPr>
              <w:suppressAutoHyphens/>
              <w:ind w:left="101" w:hanging="101"/>
              <w:jc w:val="left"/>
              <w:rPr>
                <w:color w:val="000000"/>
                <w:sz w:val="18"/>
                <w:szCs w:val="18"/>
                <w:lang w:val="en-US"/>
              </w:rPr>
            </w:pPr>
            <w:r w:rsidRPr="0098629B">
              <w:rPr>
                <w:sz w:val="18"/>
                <w:szCs w:val="18"/>
                <w:lang w:val="en-US"/>
              </w:rPr>
              <w:t>BY-2020</w:t>
            </w:r>
          </w:p>
        </w:tc>
      </w:tr>
      <w:tr w:rsidR="005D35AC" w:rsidRPr="00757301" w14:paraId="3379980C" w14:textId="77777777" w:rsidTr="005D35AC">
        <w:trPr>
          <w:trHeight w:val="300"/>
        </w:trPr>
        <w:tc>
          <w:tcPr>
            <w:tcW w:w="9864" w:type="dxa"/>
            <w:gridSpan w:val="4"/>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64F1496F" w14:textId="77777777" w:rsidR="005D35AC" w:rsidRPr="0098629B" w:rsidRDefault="005D35AC" w:rsidP="005D35AC">
            <w:pPr>
              <w:suppressAutoHyphens/>
              <w:rPr>
                <w:color w:val="000000"/>
                <w:sz w:val="18"/>
                <w:szCs w:val="18"/>
                <w:lang w:val="en-US"/>
              </w:rPr>
            </w:pPr>
            <w:r w:rsidRPr="0098629B">
              <w:rPr>
                <w:color w:val="000000"/>
                <w:sz w:val="18"/>
                <w:szCs w:val="18"/>
                <w:lang w:val="en-US"/>
              </w:rPr>
              <w:t>a   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14:paraId="179B14CC" w14:textId="77777777" w:rsidR="005D35AC" w:rsidRPr="0098629B" w:rsidRDefault="005D35AC" w:rsidP="005D35AC">
            <w:pPr>
              <w:suppressAutoHyphens/>
              <w:ind w:left="101" w:hanging="101"/>
              <w:jc w:val="left"/>
              <w:rPr>
                <w:sz w:val="18"/>
                <w:szCs w:val="18"/>
                <w:lang w:val="en-US"/>
              </w:rPr>
            </w:pPr>
          </w:p>
        </w:tc>
      </w:tr>
      <w:tr w:rsidR="005D35AC" w:rsidRPr="00757301" w14:paraId="74F6EDD0" w14:textId="77777777" w:rsidTr="005D35AC">
        <w:trPr>
          <w:trHeight w:val="300"/>
        </w:trPr>
        <w:tc>
          <w:tcPr>
            <w:tcW w:w="9864" w:type="dxa"/>
            <w:gridSpan w:val="4"/>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5ACAD834" w14:textId="77777777" w:rsidR="005D35AC" w:rsidRPr="0098629B" w:rsidRDefault="005D35AC" w:rsidP="005D35AC">
            <w:pPr>
              <w:suppressAutoHyphens/>
              <w:rPr>
                <w:color w:val="000000"/>
                <w:sz w:val="18"/>
                <w:szCs w:val="18"/>
                <w:lang w:val="en-US"/>
              </w:rPr>
            </w:pPr>
            <w:r w:rsidRPr="0098629B">
              <w:rPr>
                <w:color w:val="000000"/>
                <w:sz w:val="18"/>
                <w:szCs w:val="18"/>
                <w:lang w:val="en-US"/>
              </w:rPr>
              <w:t>b   Optional.</w:t>
            </w:r>
          </w:p>
          <w:p w14:paraId="32D5268C" w14:textId="77777777" w:rsidR="005D35AC" w:rsidRPr="0098629B" w:rsidRDefault="005D35AC" w:rsidP="005D35AC">
            <w:pPr>
              <w:suppressAutoHyphens/>
              <w:rPr>
                <w:color w:val="000000"/>
                <w:sz w:val="18"/>
                <w:szCs w:val="18"/>
                <w:lang w:val="en-US"/>
              </w:rPr>
            </w:pPr>
          </w:p>
          <w:p w14:paraId="363492AA" w14:textId="385BB138" w:rsidR="005D35AC" w:rsidRPr="0098629B" w:rsidRDefault="005D35AC" w:rsidP="005D35AC">
            <w:pPr>
              <w:suppressAutoHyphens/>
              <w:rPr>
                <w:color w:val="000000"/>
                <w:sz w:val="18"/>
                <w:szCs w:val="18"/>
                <w:lang w:val="en-US"/>
              </w:rPr>
            </w:pPr>
            <w:r w:rsidRPr="0098629B">
              <w:rPr>
                <w:color w:val="000000"/>
                <w:sz w:val="18"/>
                <w:szCs w:val="18"/>
                <w:lang w:val="en-US"/>
              </w:rPr>
              <w:t>Comments : ETS sectors targets (emissions from stationnary installations): Start in 2013 based on yearly reduction equal to 1.74% of the average allocation in the period 2008-2012, extrapolated starting in 2010 and leading to a -21% GHG reduction compared to 2005 in 2020</w:t>
            </w:r>
          </w:p>
          <w:p w14:paraId="19EB5A61" w14:textId="63392348" w:rsidR="005D35AC" w:rsidRPr="0098629B" w:rsidRDefault="000863E6" w:rsidP="005D35AC">
            <w:pPr>
              <w:suppressAutoHyphens/>
              <w:rPr>
                <w:sz w:val="18"/>
                <w:szCs w:val="18"/>
                <w:lang w:val="en-US"/>
              </w:rPr>
            </w:pPr>
            <w:r w:rsidRPr="0098629B">
              <w:rPr>
                <w:color w:val="000000"/>
                <w:sz w:val="18"/>
                <w:szCs w:val="18"/>
                <w:lang w:val="en-US"/>
              </w:rPr>
              <w:t>ESD sectors targets (</w:t>
            </w:r>
            <w:r w:rsidR="005D35AC" w:rsidRPr="0098629B">
              <w:rPr>
                <w:color w:val="000000"/>
                <w:sz w:val="18"/>
                <w:szCs w:val="18"/>
                <w:lang w:val="en-US"/>
              </w:rPr>
              <w:t>sectors not included in the EU ETS such as transports, buildings, services, agriculture and waste) : Members state specific targets start in 2013 based on average emissions 2008 to 2010 and lead to a collective reduction of around -10% compared to 2005 in 2020.</w:t>
            </w:r>
          </w:p>
        </w:tc>
      </w:tr>
      <w:tr w:rsidR="005D35AC" w:rsidRPr="00757301" w14:paraId="5C70B6FC" w14:textId="77777777" w:rsidTr="005D35AC">
        <w:trPr>
          <w:trHeight w:val="300"/>
        </w:trPr>
        <w:tc>
          <w:tcPr>
            <w:tcW w:w="5478" w:type="dxa"/>
            <w:shd w:val="clear" w:color="auto" w:fill="auto"/>
            <w:vAlign w:val="center"/>
          </w:tcPr>
          <w:tbl>
            <w:tblPr>
              <w:tblpPr w:leftFromText="141" w:rightFromText="141" w:vertAnchor="text" w:horzAnchor="page" w:tblpX="751" w:tblpY="1097"/>
              <w:tblOverlap w:val="never"/>
              <w:tblW w:w="4842" w:type="pct"/>
              <w:tblCellMar>
                <w:left w:w="70" w:type="dxa"/>
                <w:right w:w="70" w:type="dxa"/>
              </w:tblCellMar>
              <w:tblLook w:val="00A0" w:firstRow="1" w:lastRow="0" w:firstColumn="1" w:lastColumn="0" w:noHBand="0" w:noVBand="0"/>
            </w:tblPr>
            <w:tblGrid>
              <w:gridCol w:w="5169"/>
            </w:tblGrid>
            <w:tr w:rsidR="005D35AC" w:rsidRPr="00757301" w14:paraId="5F5B8E9A" w14:textId="77777777" w:rsidTr="005D35AC">
              <w:trPr>
                <w:trHeight w:val="1065"/>
              </w:trPr>
              <w:tc>
                <w:tcPr>
                  <w:tcW w:w="5169" w:type="dxa"/>
                  <w:shd w:val="clear" w:color="auto" w:fill="auto"/>
                  <w:vAlign w:val="center"/>
                </w:tcPr>
                <w:p w14:paraId="400E35B4" w14:textId="77777777" w:rsidR="005D35AC" w:rsidRPr="0098629B" w:rsidRDefault="005D35AC" w:rsidP="005D35AC">
                  <w:pPr>
                    <w:suppressAutoHyphens/>
                    <w:rPr>
                      <w:color w:val="000000"/>
                      <w:sz w:val="18"/>
                      <w:szCs w:val="18"/>
                      <w:lang w:val="en-US"/>
                    </w:rPr>
                  </w:pPr>
                </w:p>
                <w:p w14:paraId="7C2F1F04" w14:textId="77777777" w:rsidR="005D35AC" w:rsidRPr="0098629B" w:rsidRDefault="005D35AC" w:rsidP="005D35AC">
                  <w:pPr>
                    <w:suppressAutoHyphens/>
                    <w:rPr>
                      <w:color w:val="000000"/>
                      <w:sz w:val="18"/>
                      <w:szCs w:val="18"/>
                      <w:lang w:val="en-US"/>
                    </w:rPr>
                  </w:pPr>
                </w:p>
                <w:p w14:paraId="36C5DA7C" w14:textId="77777777" w:rsidR="005D35AC" w:rsidRPr="0098629B" w:rsidRDefault="005D35AC" w:rsidP="005D35AC">
                  <w:pPr>
                    <w:suppressAutoHyphens/>
                    <w:rPr>
                      <w:color w:val="000000"/>
                      <w:sz w:val="18"/>
                      <w:szCs w:val="18"/>
                      <w:lang w:val="en-US"/>
                    </w:rPr>
                  </w:pPr>
                </w:p>
              </w:tc>
            </w:tr>
          </w:tbl>
          <w:p w14:paraId="567A95B1" w14:textId="77777777" w:rsidR="005D35AC" w:rsidRPr="0098629B" w:rsidRDefault="005D35AC" w:rsidP="005D35AC">
            <w:pPr>
              <w:suppressAutoHyphens/>
              <w:rPr>
                <w:color w:val="000000"/>
                <w:sz w:val="18"/>
                <w:szCs w:val="18"/>
                <w:lang w:val="en-US"/>
              </w:rPr>
            </w:pPr>
          </w:p>
        </w:tc>
        <w:tc>
          <w:tcPr>
            <w:tcW w:w="2816" w:type="dxa"/>
            <w:gridSpan w:val="2"/>
            <w:shd w:val="clear" w:color="auto" w:fill="auto"/>
            <w:vAlign w:val="center"/>
          </w:tcPr>
          <w:p w14:paraId="37CD88C9" w14:textId="77777777" w:rsidR="005D35AC" w:rsidRPr="0098629B" w:rsidRDefault="005D35AC" w:rsidP="005D35AC">
            <w:pPr>
              <w:suppressAutoHyphens/>
              <w:rPr>
                <w:color w:val="000000"/>
                <w:sz w:val="18"/>
                <w:szCs w:val="18"/>
                <w:lang w:val="en-US"/>
              </w:rPr>
            </w:pPr>
          </w:p>
        </w:tc>
        <w:tc>
          <w:tcPr>
            <w:tcW w:w="1570" w:type="dxa"/>
            <w:shd w:val="clear" w:color="auto" w:fill="auto"/>
            <w:vAlign w:val="center"/>
          </w:tcPr>
          <w:p w14:paraId="6305468F" w14:textId="77777777" w:rsidR="005D35AC" w:rsidRPr="0098629B" w:rsidRDefault="005D35AC" w:rsidP="005D35AC">
            <w:pPr>
              <w:suppressAutoHyphens/>
              <w:ind w:left="101" w:hanging="101"/>
              <w:rPr>
                <w:color w:val="000000"/>
                <w:sz w:val="18"/>
                <w:szCs w:val="18"/>
                <w:lang w:val="en-US"/>
              </w:rPr>
            </w:pPr>
          </w:p>
        </w:tc>
      </w:tr>
    </w:tbl>
    <w:p w14:paraId="6B28D5FC" w14:textId="77777777" w:rsidR="005D35AC" w:rsidRPr="0098629B" w:rsidRDefault="005D35AC" w:rsidP="005D35AC">
      <w:pPr>
        <w:rPr>
          <w:lang w:val="en-GB"/>
        </w:rPr>
        <w:sectPr w:rsidR="005D35AC" w:rsidRPr="0098629B" w:rsidSect="005D35AC">
          <w:footerReference w:type="default" r:id="rId27"/>
          <w:pgSz w:w="11906" w:h="16838"/>
          <w:pgMar w:top="1985" w:right="1021" w:bottom="944" w:left="1021" w:header="0" w:footer="454" w:gutter="0"/>
          <w:cols w:space="720"/>
          <w:formProt w:val="0"/>
          <w:docGrid w:linePitch="312"/>
        </w:sectPr>
      </w:pPr>
    </w:p>
    <w:p w14:paraId="18A608BB" w14:textId="77777777" w:rsidR="005D35AC" w:rsidRPr="0098629B" w:rsidRDefault="005D35AC" w:rsidP="005D35AC">
      <w:pPr>
        <w:rPr>
          <w:lang w:val="en-GB"/>
        </w:rPr>
      </w:pPr>
    </w:p>
    <w:p w14:paraId="34A99BDE" w14:textId="77777777" w:rsidR="005D35AC" w:rsidRPr="0098629B" w:rsidRDefault="005D35AC" w:rsidP="005D35AC">
      <w:pPr>
        <w:pStyle w:val="Bullet0"/>
        <w:ind w:left="57"/>
        <w:rPr>
          <w:rStyle w:val="hps"/>
          <w:rFonts w:cs="Arial"/>
          <w:sz w:val="22"/>
          <w:szCs w:val="22"/>
          <w:lang w:val="en-US" w:eastAsia="zh-CN"/>
        </w:rPr>
      </w:pPr>
    </w:p>
    <w:p w14:paraId="69CD5462" w14:textId="77777777" w:rsidR="005D35AC" w:rsidRPr="0098629B" w:rsidRDefault="005D35AC" w:rsidP="005D35AC">
      <w:pPr>
        <w:pStyle w:val="Bullet0"/>
        <w:ind w:left="57"/>
        <w:rPr>
          <w:rStyle w:val="hps"/>
          <w:rFonts w:cs="Arial"/>
          <w:sz w:val="22"/>
          <w:szCs w:val="22"/>
          <w:lang w:val="en-US" w:eastAsia="zh-CN"/>
        </w:rPr>
      </w:pPr>
    </w:p>
    <w:tbl>
      <w:tblPr>
        <w:tblW w:w="4800" w:type="pct"/>
        <w:tblInd w:w="-140" w:type="dxa"/>
        <w:tblCellMar>
          <w:left w:w="70" w:type="dxa"/>
          <w:right w:w="70" w:type="dxa"/>
        </w:tblCellMar>
        <w:tblLook w:val="00A0" w:firstRow="1" w:lastRow="0" w:firstColumn="1" w:lastColumn="0" w:noHBand="0" w:noVBand="0"/>
      </w:tblPr>
      <w:tblGrid>
        <w:gridCol w:w="2424"/>
        <w:gridCol w:w="2484"/>
        <w:gridCol w:w="4644"/>
      </w:tblGrid>
      <w:tr w:rsidR="005D35AC" w:rsidRPr="0098629B" w14:paraId="21BE2823" w14:textId="77777777" w:rsidTr="005D35AC">
        <w:tc>
          <w:tcPr>
            <w:tcW w:w="2403" w:type="dxa"/>
            <w:shd w:val="clear" w:color="auto" w:fill="auto"/>
            <w:vAlign w:val="center"/>
          </w:tcPr>
          <w:p w14:paraId="052B3169" w14:textId="77777777" w:rsidR="005D35AC" w:rsidRPr="0098629B" w:rsidRDefault="005D35AC" w:rsidP="005D35AC">
            <w:pPr>
              <w:suppressAutoHyphens/>
              <w:rPr>
                <w:color w:val="000000"/>
                <w:sz w:val="18"/>
                <w:szCs w:val="18"/>
              </w:rPr>
            </w:pPr>
            <w:r w:rsidRPr="0098629B">
              <w:rPr>
                <w:color w:val="000000"/>
                <w:sz w:val="18"/>
                <w:szCs w:val="18"/>
              </w:rPr>
              <w:t xml:space="preserve">Table 2(b) </w:t>
            </w:r>
          </w:p>
        </w:tc>
        <w:tc>
          <w:tcPr>
            <w:tcW w:w="2462" w:type="dxa"/>
            <w:shd w:val="clear" w:color="auto" w:fill="auto"/>
            <w:vAlign w:val="center"/>
          </w:tcPr>
          <w:p w14:paraId="65133BA5" w14:textId="77777777" w:rsidR="005D35AC" w:rsidRPr="0098629B" w:rsidRDefault="005D35AC" w:rsidP="005D35AC">
            <w:pPr>
              <w:suppressAutoHyphens/>
              <w:rPr>
                <w:color w:val="000000"/>
                <w:sz w:val="18"/>
                <w:szCs w:val="18"/>
              </w:rPr>
            </w:pPr>
          </w:p>
        </w:tc>
        <w:tc>
          <w:tcPr>
            <w:tcW w:w="4604" w:type="dxa"/>
            <w:shd w:val="clear" w:color="auto" w:fill="auto"/>
            <w:vAlign w:val="center"/>
          </w:tcPr>
          <w:p w14:paraId="2DE4131E" w14:textId="4F8F6169" w:rsidR="005D35AC" w:rsidRPr="0098629B" w:rsidRDefault="005D35AC" w:rsidP="005D35AC">
            <w:pPr>
              <w:suppressAutoHyphens/>
              <w:jc w:val="right"/>
              <w:rPr>
                <w:color w:val="000000"/>
                <w:sz w:val="18"/>
                <w:szCs w:val="18"/>
              </w:rPr>
            </w:pPr>
          </w:p>
        </w:tc>
      </w:tr>
      <w:tr w:rsidR="005D35AC" w:rsidRPr="00757301" w14:paraId="57A1D5B5" w14:textId="77777777" w:rsidTr="005D35AC">
        <w:tc>
          <w:tcPr>
            <w:tcW w:w="9469" w:type="dxa"/>
            <w:gridSpan w:val="3"/>
            <w:shd w:val="clear" w:color="auto" w:fill="auto"/>
            <w:vAlign w:val="center"/>
          </w:tcPr>
          <w:p w14:paraId="17169013" w14:textId="77777777" w:rsidR="005D35AC" w:rsidRPr="0098629B" w:rsidRDefault="005D35AC" w:rsidP="005D35AC">
            <w:pPr>
              <w:suppressAutoHyphens/>
              <w:spacing w:before="120"/>
              <w:rPr>
                <w:b/>
                <w:bCs/>
                <w:color w:val="000000"/>
                <w:sz w:val="18"/>
                <w:szCs w:val="18"/>
                <w:lang w:val="en-US"/>
              </w:rPr>
            </w:pPr>
            <w:r w:rsidRPr="0098629B">
              <w:rPr>
                <w:b/>
                <w:bCs/>
                <w:color w:val="000000"/>
                <w:sz w:val="18"/>
                <w:szCs w:val="18"/>
                <w:lang w:val="en-US"/>
              </w:rPr>
              <w:t>Description of quantified economy-wide emission reduction target:  gases and sectors covered</w:t>
            </w:r>
            <w:r w:rsidRPr="0098629B">
              <w:rPr>
                <w:i/>
                <w:iCs/>
                <w:color w:val="000000"/>
                <w:sz w:val="18"/>
                <w:szCs w:val="18"/>
                <w:vertAlign w:val="superscript"/>
                <w:lang w:val="en-US"/>
              </w:rPr>
              <w:t>a</w:t>
            </w:r>
          </w:p>
        </w:tc>
      </w:tr>
      <w:tr w:rsidR="005D35AC" w:rsidRPr="00757301" w14:paraId="51D9610C" w14:textId="77777777" w:rsidTr="005D35AC">
        <w:trPr>
          <w:trHeight w:val="300"/>
        </w:trPr>
        <w:tc>
          <w:tcPr>
            <w:tcW w:w="2403" w:type="dxa"/>
            <w:shd w:val="clear" w:color="auto" w:fill="auto"/>
            <w:vAlign w:val="center"/>
          </w:tcPr>
          <w:p w14:paraId="7690726B" w14:textId="77777777" w:rsidR="005D35AC" w:rsidRPr="0098629B" w:rsidRDefault="005D35AC" w:rsidP="005D35AC">
            <w:pPr>
              <w:suppressAutoHyphens/>
              <w:rPr>
                <w:b/>
                <w:bCs/>
                <w:color w:val="000000"/>
                <w:sz w:val="18"/>
                <w:szCs w:val="18"/>
                <w:lang w:val="en-US"/>
              </w:rPr>
            </w:pPr>
          </w:p>
        </w:tc>
        <w:tc>
          <w:tcPr>
            <w:tcW w:w="2462" w:type="dxa"/>
            <w:shd w:val="clear" w:color="auto" w:fill="auto"/>
            <w:vAlign w:val="center"/>
          </w:tcPr>
          <w:p w14:paraId="1E8261C4" w14:textId="77777777" w:rsidR="005D35AC" w:rsidRPr="0098629B" w:rsidRDefault="005D35AC" w:rsidP="005D35AC">
            <w:pPr>
              <w:suppressAutoHyphens/>
              <w:rPr>
                <w:color w:val="000000"/>
                <w:sz w:val="18"/>
                <w:szCs w:val="18"/>
                <w:lang w:val="en-US"/>
              </w:rPr>
            </w:pPr>
          </w:p>
        </w:tc>
        <w:tc>
          <w:tcPr>
            <w:tcW w:w="4604" w:type="dxa"/>
            <w:shd w:val="clear" w:color="auto" w:fill="auto"/>
            <w:vAlign w:val="center"/>
          </w:tcPr>
          <w:p w14:paraId="0AED6F74" w14:textId="77777777" w:rsidR="005D35AC" w:rsidRPr="0098629B" w:rsidRDefault="005D35AC" w:rsidP="005D35AC">
            <w:pPr>
              <w:suppressAutoHyphens/>
              <w:rPr>
                <w:color w:val="000000"/>
                <w:sz w:val="18"/>
                <w:szCs w:val="18"/>
                <w:lang w:val="en-US"/>
              </w:rPr>
            </w:pPr>
          </w:p>
        </w:tc>
      </w:tr>
      <w:tr w:rsidR="005D35AC" w:rsidRPr="00757301" w14:paraId="1E461236" w14:textId="77777777" w:rsidTr="005D35AC">
        <w:trPr>
          <w:trHeight w:val="300"/>
        </w:trPr>
        <w:tc>
          <w:tcPr>
            <w:tcW w:w="4865" w:type="dxa"/>
            <w:gridSpan w:val="2"/>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1B6CF422" w14:textId="77777777" w:rsidR="005D35AC" w:rsidRPr="0098629B" w:rsidRDefault="005D35AC" w:rsidP="005D35AC">
            <w:pPr>
              <w:suppressAutoHyphens/>
              <w:jc w:val="center"/>
              <w:rPr>
                <w:i/>
                <w:iCs/>
                <w:color w:val="000000"/>
                <w:sz w:val="18"/>
                <w:szCs w:val="18"/>
                <w:lang w:val="en-GB"/>
              </w:rPr>
            </w:pPr>
          </w:p>
        </w:tc>
        <w:tc>
          <w:tcPr>
            <w:tcW w:w="4604"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3DDE8FF9" w14:textId="77777777" w:rsidR="005D35AC" w:rsidRPr="0098629B" w:rsidRDefault="005D35AC" w:rsidP="005D35AC">
            <w:pPr>
              <w:suppressAutoHyphens/>
              <w:jc w:val="center"/>
              <w:rPr>
                <w:i/>
                <w:iCs/>
                <w:color w:val="000000"/>
                <w:sz w:val="18"/>
                <w:szCs w:val="18"/>
                <w:lang w:val="en-US"/>
              </w:rPr>
            </w:pPr>
          </w:p>
        </w:tc>
      </w:tr>
      <w:tr w:rsidR="005D35AC" w:rsidRPr="00757301" w14:paraId="01F4D015" w14:textId="77777777" w:rsidTr="005D35AC">
        <w:trPr>
          <w:trHeight w:val="300"/>
        </w:trPr>
        <w:tc>
          <w:tcPr>
            <w:tcW w:w="4865" w:type="dxa"/>
            <w:gridSpan w:val="2"/>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0135516D" w14:textId="77777777" w:rsidR="005D35AC" w:rsidRPr="0098629B" w:rsidRDefault="005D35AC" w:rsidP="005D35AC">
            <w:pPr>
              <w:suppressAutoHyphens/>
              <w:jc w:val="center"/>
              <w:rPr>
                <w:i/>
                <w:iCs/>
                <w:color w:val="000000"/>
                <w:sz w:val="18"/>
                <w:szCs w:val="18"/>
              </w:rPr>
            </w:pPr>
            <w:r w:rsidRPr="0098629B">
              <w:rPr>
                <w:i/>
                <w:iCs/>
                <w:color w:val="000000"/>
                <w:sz w:val="18"/>
                <w:szCs w:val="18"/>
              </w:rPr>
              <w:t xml:space="preserve">Gases covered   </w:t>
            </w:r>
          </w:p>
        </w:tc>
        <w:tc>
          <w:tcPr>
            <w:tcW w:w="4604"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758171BA" w14:textId="77777777" w:rsidR="005D35AC" w:rsidRPr="0098629B" w:rsidRDefault="005D35AC" w:rsidP="005D35AC">
            <w:pPr>
              <w:suppressAutoHyphens/>
              <w:jc w:val="center"/>
              <w:rPr>
                <w:i/>
                <w:iCs/>
                <w:color w:val="000000"/>
                <w:sz w:val="18"/>
                <w:szCs w:val="18"/>
                <w:lang w:val="en-US"/>
              </w:rPr>
            </w:pPr>
            <w:r w:rsidRPr="0098629B">
              <w:rPr>
                <w:i/>
                <w:iCs/>
                <w:color w:val="000000"/>
                <w:sz w:val="18"/>
                <w:szCs w:val="18"/>
                <w:lang w:val="en-US"/>
              </w:rPr>
              <w:t xml:space="preserve">Base year for each gas (year): </w:t>
            </w:r>
          </w:p>
        </w:tc>
      </w:tr>
      <w:tr w:rsidR="005D35AC" w:rsidRPr="0098629B" w14:paraId="0F5257FA" w14:textId="77777777" w:rsidTr="005D35AC">
        <w:trPr>
          <w:trHeight w:val="300"/>
        </w:trPr>
        <w:tc>
          <w:tcPr>
            <w:tcW w:w="4865" w:type="dxa"/>
            <w:gridSpan w:val="2"/>
            <w:tcBorders>
              <w:top w:val="single" w:sz="4" w:space="0" w:color="00000A"/>
              <w:left w:val="single" w:sz="4" w:space="0" w:color="B8B8B8"/>
              <w:bottom w:val="single" w:sz="4" w:space="0" w:color="D8D8D8"/>
              <w:right w:val="single" w:sz="4" w:space="0" w:color="B8B8B8"/>
            </w:tcBorders>
            <w:shd w:val="clear" w:color="auto" w:fill="auto"/>
            <w:tcMar>
              <w:left w:w="0" w:type="dxa"/>
            </w:tcMar>
            <w:vAlign w:val="center"/>
          </w:tcPr>
          <w:p w14:paraId="27DF56AD" w14:textId="7D48186E" w:rsidR="005D35AC" w:rsidRPr="0098629B" w:rsidRDefault="00811B0F" w:rsidP="005D35AC">
            <w:pPr>
              <w:suppressAutoHyphens/>
              <w:rPr>
                <w:color w:val="000000"/>
                <w:sz w:val="18"/>
                <w:szCs w:val="18"/>
              </w:rPr>
            </w:pPr>
            <w:r w:rsidRPr="0098629B">
              <w:t>CO</w:t>
            </w:r>
            <w:r w:rsidRPr="0098629B">
              <w:rPr>
                <w:vertAlign w:val="subscript"/>
              </w:rPr>
              <w:t>2</w:t>
            </w:r>
          </w:p>
        </w:tc>
        <w:tc>
          <w:tcPr>
            <w:tcW w:w="4604"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3E0CE24C" w14:textId="77777777" w:rsidR="005D35AC" w:rsidRPr="0098629B" w:rsidRDefault="005D35AC" w:rsidP="005D35AC">
            <w:pPr>
              <w:suppressAutoHyphens/>
              <w:rPr>
                <w:color w:val="000000"/>
                <w:sz w:val="18"/>
                <w:szCs w:val="18"/>
              </w:rPr>
            </w:pPr>
            <w:r w:rsidRPr="0098629B">
              <w:rPr>
                <w:sz w:val="18"/>
                <w:szCs w:val="18"/>
              </w:rPr>
              <w:t>1990</w:t>
            </w:r>
          </w:p>
        </w:tc>
      </w:tr>
      <w:tr w:rsidR="005D35AC" w:rsidRPr="0098629B" w14:paraId="05F9FA45"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6505C78B" w14:textId="3D619907" w:rsidR="005D35AC" w:rsidRPr="0098629B" w:rsidRDefault="00891B49" w:rsidP="005D35AC">
            <w:pPr>
              <w:suppressAutoHyphens/>
              <w:rPr>
                <w:color w:val="000000"/>
                <w:sz w:val="18"/>
                <w:szCs w:val="18"/>
              </w:rPr>
            </w:pPr>
            <w:r w:rsidRPr="0098629B">
              <w:t>CH</w:t>
            </w:r>
            <w:r w:rsidRPr="0098629B">
              <w:rPr>
                <w:vertAlign w:val="subscript"/>
              </w:rPr>
              <w:t>4</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29C50267" w14:textId="77777777" w:rsidR="005D35AC" w:rsidRPr="0098629B" w:rsidRDefault="005D35AC" w:rsidP="005D35AC">
            <w:pPr>
              <w:suppressAutoHyphens/>
              <w:rPr>
                <w:color w:val="000000"/>
                <w:sz w:val="18"/>
                <w:szCs w:val="18"/>
              </w:rPr>
            </w:pPr>
            <w:r w:rsidRPr="0098629B">
              <w:rPr>
                <w:sz w:val="18"/>
                <w:szCs w:val="18"/>
              </w:rPr>
              <w:t>1990</w:t>
            </w:r>
          </w:p>
        </w:tc>
      </w:tr>
      <w:tr w:rsidR="005D35AC" w:rsidRPr="0098629B" w14:paraId="023B4390"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6202DC2A" w14:textId="361DF629" w:rsidR="005D35AC" w:rsidRPr="0098629B" w:rsidRDefault="00891B49" w:rsidP="005D35AC">
            <w:pPr>
              <w:suppressAutoHyphens/>
              <w:rPr>
                <w:color w:val="000000"/>
                <w:sz w:val="18"/>
                <w:szCs w:val="18"/>
              </w:rPr>
            </w:pPr>
            <w:r w:rsidRPr="0098629B">
              <w:t>N</w:t>
            </w:r>
            <w:r w:rsidRPr="0098629B">
              <w:rPr>
                <w:vertAlign w:val="subscript"/>
              </w:rPr>
              <w:t>2</w:t>
            </w:r>
            <w:r w:rsidRPr="0098629B">
              <w:t>O</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22C532D1" w14:textId="77777777" w:rsidR="005D35AC" w:rsidRPr="0098629B" w:rsidRDefault="005D35AC" w:rsidP="005D35AC">
            <w:pPr>
              <w:suppressAutoHyphens/>
              <w:rPr>
                <w:color w:val="000000"/>
                <w:sz w:val="18"/>
                <w:szCs w:val="18"/>
              </w:rPr>
            </w:pPr>
            <w:r w:rsidRPr="0098629B">
              <w:rPr>
                <w:sz w:val="18"/>
                <w:szCs w:val="18"/>
              </w:rPr>
              <w:t>1990</w:t>
            </w:r>
          </w:p>
        </w:tc>
      </w:tr>
      <w:tr w:rsidR="005D35AC" w:rsidRPr="0098629B" w14:paraId="7B72FE28"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69B914D" w14:textId="77777777" w:rsidR="005D35AC" w:rsidRPr="0098629B" w:rsidRDefault="005D35AC" w:rsidP="005D35AC">
            <w:pPr>
              <w:suppressAutoHyphens/>
              <w:rPr>
                <w:color w:val="000000"/>
                <w:sz w:val="18"/>
                <w:szCs w:val="18"/>
              </w:rPr>
            </w:pPr>
            <w:r w:rsidRPr="0098629B">
              <w:rPr>
                <w:sz w:val="18"/>
                <w:szCs w:val="18"/>
              </w:rPr>
              <w:t>HFCs</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09221457" w14:textId="77777777" w:rsidR="005D35AC" w:rsidRPr="0098629B" w:rsidRDefault="005D35AC" w:rsidP="005D35AC">
            <w:pPr>
              <w:suppressAutoHyphens/>
              <w:rPr>
                <w:color w:val="000000"/>
                <w:sz w:val="18"/>
                <w:szCs w:val="18"/>
              </w:rPr>
            </w:pPr>
            <w:r w:rsidRPr="0098629B">
              <w:rPr>
                <w:sz w:val="18"/>
                <w:szCs w:val="18"/>
              </w:rPr>
              <w:t>1990</w:t>
            </w:r>
          </w:p>
        </w:tc>
      </w:tr>
      <w:tr w:rsidR="005D35AC" w:rsidRPr="0098629B" w14:paraId="77F650F8"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058D3959" w14:textId="77777777" w:rsidR="005D35AC" w:rsidRPr="0098629B" w:rsidRDefault="005D35AC" w:rsidP="005D35AC">
            <w:pPr>
              <w:suppressAutoHyphens/>
              <w:rPr>
                <w:color w:val="000000"/>
                <w:sz w:val="18"/>
                <w:szCs w:val="18"/>
              </w:rPr>
            </w:pPr>
            <w:r w:rsidRPr="0098629B">
              <w:rPr>
                <w:sz w:val="18"/>
                <w:szCs w:val="18"/>
              </w:rPr>
              <w:t>PFCs</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15DDC5B4" w14:textId="77777777" w:rsidR="005D35AC" w:rsidRPr="0098629B" w:rsidRDefault="005D35AC" w:rsidP="005D35AC">
            <w:pPr>
              <w:suppressAutoHyphens/>
              <w:rPr>
                <w:color w:val="000000"/>
                <w:sz w:val="18"/>
                <w:szCs w:val="18"/>
              </w:rPr>
            </w:pPr>
            <w:r w:rsidRPr="0098629B">
              <w:rPr>
                <w:sz w:val="18"/>
                <w:szCs w:val="18"/>
              </w:rPr>
              <w:t>1990</w:t>
            </w:r>
          </w:p>
        </w:tc>
      </w:tr>
      <w:tr w:rsidR="005D35AC" w:rsidRPr="0098629B" w14:paraId="3D52A483"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F8D3E58" w14:textId="64D0C0A7" w:rsidR="005D35AC" w:rsidRPr="0098629B" w:rsidRDefault="002F2FFD" w:rsidP="005D35AC">
            <w:pPr>
              <w:suppressAutoHyphens/>
              <w:rPr>
                <w:color w:val="000000"/>
                <w:sz w:val="18"/>
                <w:szCs w:val="18"/>
              </w:rPr>
            </w:pPr>
            <w:r w:rsidRPr="0098629B">
              <w:t>SF</w:t>
            </w:r>
            <w:r w:rsidRPr="0098629B">
              <w:rPr>
                <w:vertAlign w:val="subscript"/>
              </w:rPr>
              <w:t>6</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289D8060" w14:textId="77777777" w:rsidR="005D35AC" w:rsidRPr="0098629B" w:rsidRDefault="005D35AC" w:rsidP="005D35AC">
            <w:pPr>
              <w:suppressAutoHyphens/>
              <w:rPr>
                <w:color w:val="000000"/>
                <w:sz w:val="18"/>
                <w:szCs w:val="18"/>
              </w:rPr>
            </w:pPr>
            <w:r w:rsidRPr="0098629B">
              <w:rPr>
                <w:sz w:val="18"/>
                <w:szCs w:val="18"/>
              </w:rPr>
              <w:t>1990</w:t>
            </w:r>
          </w:p>
        </w:tc>
      </w:tr>
      <w:tr w:rsidR="005D35AC" w:rsidRPr="0098629B" w14:paraId="21C5B1AF" w14:textId="77777777" w:rsidTr="00573042">
        <w:trPr>
          <w:trHeight w:val="300"/>
        </w:trPr>
        <w:tc>
          <w:tcPr>
            <w:tcW w:w="4865" w:type="dxa"/>
            <w:gridSpan w:val="2"/>
            <w:tcBorders>
              <w:top w:val="single" w:sz="4" w:space="0" w:color="D9D9D9"/>
              <w:left w:val="single" w:sz="4" w:space="0" w:color="D9D9D9"/>
              <w:right w:val="single" w:sz="4" w:space="0" w:color="D9D9D9"/>
            </w:tcBorders>
            <w:shd w:val="clear" w:color="auto" w:fill="EEECE1" w:themeFill="background2"/>
            <w:tcMar>
              <w:left w:w="0" w:type="dxa"/>
            </w:tcMar>
            <w:vAlign w:val="center"/>
          </w:tcPr>
          <w:p w14:paraId="267E13ED" w14:textId="1A6F8A68" w:rsidR="005D35AC" w:rsidRPr="0098629B" w:rsidRDefault="002F2FFD" w:rsidP="005D35AC">
            <w:pPr>
              <w:suppressAutoHyphens/>
              <w:rPr>
                <w:color w:val="000000"/>
                <w:sz w:val="18"/>
                <w:szCs w:val="18"/>
              </w:rPr>
            </w:pPr>
            <w:r w:rsidRPr="0098629B">
              <w:t>NF</w:t>
            </w:r>
            <w:r w:rsidRPr="0098629B">
              <w:rPr>
                <w:vertAlign w:val="subscript"/>
              </w:rPr>
              <w:t>3</w:t>
            </w:r>
          </w:p>
        </w:tc>
        <w:tc>
          <w:tcPr>
            <w:tcW w:w="4604" w:type="dxa"/>
            <w:tcBorders>
              <w:top w:val="single" w:sz="4" w:space="0" w:color="D9D9D9"/>
              <w:left w:val="single" w:sz="4" w:space="0" w:color="D9D9D9"/>
              <w:right w:val="single" w:sz="4" w:space="0" w:color="D9D9D9"/>
            </w:tcBorders>
            <w:shd w:val="clear" w:color="auto" w:fill="EEECE1" w:themeFill="background2"/>
            <w:tcMar>
              <w:left w:w="0" w:type="dxa"/>
            </w:tcMar>
            <w:vAlign w:val="center"/>
          </w:tcPr>
          <w:p w14:paraId="4DCF38DF" w14:textId="6B1D205F" w:rsidR="005D35AC" w:rsidRPr="0098629B" w:rsidRDefault="005D35AC" w:rsidP="005D35AC">
            <w:pPr>
              <w:suppressAutoHyphens/>
              <w:rPr>
                <w:color w:val="000000"/>
                <w:sz w:val="18"/>
                <w:szCs w:val="18"/>
              </w:rPr>
            </w:pPr>
          </w:p>
        </w:tc>
      </w:tr>
      <w:tr w:rsidR="005D35AC" w:rsidRPr="0098629B" w14:paraId="7620B439" w14:textId="77777777" w:rsidTr="00573042">
        <w:trPr>
          <w:trHeight w:val="300"/>
        </w:trPr>
        <w:tc>
          <w:tcPr>
            <w:tcW w:w="4865" w:type="dxa"/>
            <w:gridSpan w:val="2"/>
            <w:tcBorders>
              <w:top w:val="single" w:sz="4" w:space="0" w:color="B8B8B8"/>
              <w:left w:val="single" w:sz="4" w:space="0" w:color="B8B8B8"/>
              <w:bottom w:val="single" w:sz="4" w:space="0" w:color="00000A"/>
              <w:right w:val="single" w:sz="4" w:space="0" w:color="B8B8B8"/>
            </w:tcBorders>
            <w:shd w:val="clear" w:color="auto" w:fill="EEECE1" w:themeFill="background2"/>
            <w:tcMar>
              <w:left w:w="0" w:type="dxa"/>
            </w:tcMar>
            <w:vAlign w:val="center"/>
          </w:tcPr>
          <w:p w14:paraId="383E44EA" w14:textId="77777777" w:rsidR="005D35AC" w:rsidRPr="0098629B" w:rsidRDefault="005D35AC" w:rsidP="005D35AC">
            <w:pPr>
              <w:suppressAutoHyphens/>
              <w:rPr>
                <w:color w:val="000000"/>
                <w:sz w:val="18"/>
                <w:szCs w:val="18"/>
              </w:rPr>
            </w:pPr>
            <w:r w:rsidRPr="0098629B">
              <w:rPr>
                <w:sz w:val="18"/>
                <w:szCs w:val="18"/>
              </w:rPr>
              <w:t>Other Gases (specify)</w:t>
            </w:r>
          </w:p>
        </w:tc>
        <w:tc>
          <w:tcPr>
            <w:tcW w:w="4604" w:type="dxa"/>
            <w:tcBorders>
              <w:top w:val="single" w:sz="4" w:space="0" w:color="D9D9D9"/>
              <w:left w:val="single" w:sz="4" w:space="0" w:color="B8B8B8"/>
              <w:bottom w:val="single" w:sz="4" w:space="0" w:color="D8D8D8"/>
              <w:right w:val="single" w:sz="4" w:space="0" w:color="B8B8B8"/>
            </w:tcBorders>
            <w:shd w:val="clear" w:color="auto" w:fill="EEECE1" w:themeFill="background2"/>
            <w:tcMar>
              <w:left w:w="0" w:type="dxa"/>
            </w:tcMar>
            <w:vAlign w:val="center"/>
          </w:tcPr>
          <w:p w14:paraId="47E6A3A4" w14:textId="77777777" w:rsidR="005D35AC" w:rsidRPr="0098629B" w:rsidRDefault="005D35AC" w:rsidP="005D35AC">
            <w:pPr>
              <w:suppressAutoHyphens/>
              <w:jc w:val="center"/>
              <w:rPr>
                <w:color w:val="000000"/>
                <w:sz w:val="18"/>
                <w:szCs w:val="18"/>
              </w:rPr>
            </w:pPr>
            <w:r w:rsidRPr="0098629B">
              <w:rPr>
                <w:color w:val="000000"/>
                <w:sz w:val="18"/>
                <w:szCs w:val="18"/>
              </w:rPr>
              <w:t> </w:t>
            </w:r>
          </w:p>
        </w:tc>
      </w:tr>
      <w:tr w:rsidR="005D35AC" w:rsidRPr="0098629B" w14:paraId="62D983CD" w14:textId="77777777" w:rsidTr="005D35AC">
        <w:trPr>
          <w:cantSplit/>
          <w:trHeight w:val="300"/>
        </w:trPr>
        <w:tc>
          <w:tcPr>
            <w:tcW w:w="2403" w:type="dxa"/>
            <w:vMerge w:val="restart"/>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5FAEF341" w14:textId="77777777" w:rsidR="005D35AC" w:rsidRPr="0098629B" w:rsidRDefault="005D35AC" w:rsidP="005D35AC">
            <w:pPr>
              <w:suppressAutoHyphens/>
              <w:rPr>
                <w:color w:val="000000"/>
                <w:sz w:val="18"/>
                <w:szCs w:val="18"/>
              </w:rPr>
            </w:pPr>
            <w:r w:rsidRPr="0098629B">
              <w:rPr>
                <w:color w:val="000000"/>
                <w:sz w:val="18"/>
                <w:szCs w:val="18"/>
              </w:rPr>
              <w:t>Sectors covered</w:t>
            </w:r>
            <w:r w:rsidRPr="0098629B">
              <w:rPr>
                <w:i/>
                <w:iCs/>
                <w:color w:val="000000"/>
                <w:sz w:val="18"/>
                <w:szCs w:val="18"/>
                <w:vertAlign w:val="superscript"/>
              </w:rPr>
              <w:t>b</w:t>
            </w:r>
          </w:p>
        </w:tc>
        <w:tc>
          <w:tcPr>
            <w:tcW w:w="2462" w:type="dxa"/>
            <w:tcBorders>
              <w:top w:val="single" w:sz="4" w:space="0" w:color="D8D8D8"/>
              <w:left w:val="single" w:sz="4" w:space="0" w:color="B8B8B8"/>
              <w:bottom w:val="single" w:sz="4" w:space="0" w:color="D8D8D8"/>
              <w:right w:val="single" w:sz="4" w:space="0" w:color="D9D9D9"/>
            </w:tcBorders>
            <w:shd w:val="clear" w:color="auto" w:fill="auto"/>
            <w:tcMar>
              <w:left w:w="0" w:type="dxa"/>
            </w:tcMar>
            <w:vAlign w:val="center"/>
          </w:tcPr>
          <w:p w14:paraId="55B6EAE4" w14:textId="77777777" w:rsidR="005D35AC" w:rsidRPr="0098629B" w:rsidRDefault="005D35AC" w:rsidP="005D35AC">
            <w:pPr>
              <w:suppressAutoHyphens/>
              <w:rPr>
                <w:color w:val="000000"/>
                <w:sz w:val="18"/>
                <w:szCs w:val="18"/>
              </w:rPr>
            </w:pPr>
            <w:r w:rsidRPr="0098629B">
              <w:rPr>
                <w:sz w:val="18"/>
                <w:szCs w:val="18"/>
              </w:rPr>
              <w:t>Energy</w:t>
            </w:r>
          </w:p>
        </w:tc>
        <w:tc>
          <w:tcPr>
            <w:tcW w:w="4604" w:type="dxa"/>
            <w:tcBorders>
              <w:top w:val="single" w:sz="4" w:space="0" w:color="00000A"/>
              <w:left w:val="single" w:sz="4" w:space="0" w:color="B8B8B8"/>
              <w:bottom w:val="single" w:sz="4" w:space="0" w:color="D8D8D8"/>
              <w:right w:val="single" w:sz="4" w:space="0" w:color="B8B8B8"/>
            </w:tcBorders>
            <w:shd w:val="clear" w:color="auto" w:fill="auto"/>
            <w:tcMar>
              <w:left w:w="0" w:type="dxa"/>
            </w:tcMar>
            <w:vAlign w:val="center"/>
          </w:tcPr>
          <w:p w14:paraId="655E0458" w14:textId="77777777" w:rsidR="005D35AC" w:rsidRPr="0098629B" w:rsidRDefault="005D35AC" w:rsidP="005D35AC">
            <w:pPr>
              <w:suppressAutoHyphens/>
              <w:rPr>
                <w:color w:val="000000"/>
                <w:sz w:val="18"/>
                <w:szCs w:val="18"/>
              </w:rPr>
            </w:pPr>
            <w:r w:rsidRPr="0098629B">
              <w:rPr>
                <w:sz w:val="18"/>
                <w:szCs w:val="18"/>
              </w:rPr>
              <w:t>Yes</w:t>
            </w:r>
          </w:p>
        </w:tc>
      </w:tr>
      <w:tr w:rsidR="005D35AC" w:rsidRPr="0098629B" w14:paraId="71259B36"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4DA23586" w14:textId="77777777" w:rsidR="005D35AC" w:rsidRPr="0098629B"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62EC3EA7" w14:textId="77777777" w:rsidR="005D35AC" w:rsidRPr="0098629B" w:rsidRDefault="005D35AC" w:rsidP="005D35AC">
            <w:pPr>
              <w:suppressAutoHyphens/>
              <w:rPr>
                <w:color w:val="000000"/>
                <w:sz w:val="18"/>
                <w:szCs w:val="18"/>
              </w:rPr>
            </w:pPr>
            <w:r w:rsidRPr="0098629B">
              <w:rPr>
                <w:sz w:val="18"/>
                <w:szCs w:val="18"/>
              </w:rPr>
              <w:t>Transport</w:t>
            </w:r>
            <w:r w:rsidRPr="0098629B">
              <w:rPr>
                <w:color w:val="000000"/>
                <w:sz w:val="18"/>
                <w:szCs w:val="18"/>
                <w:vertAlign w:val="superscript"/>
              </w:rPr>
              <w:t>f</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1C2C78DE" w14:textId="77777777" w:rsidR="005D35AC" w:rsidRPr="0098629B" w:rsidRDefault="005D35AC" w:rsidP="005D35AC">
            <w:pPr>
              <w:suppressAutoHyphens/>
              <w:rPr>
                <w:color w:val="000000"/>
                <w:sz w:val="18"/>
                <w:szCs w:val="18"/>
              </w:rPr>
            </w:pPr>
            <w:r w:rsidRPr="0098629B">
              <w:rPr>
                <w:sz w:val="18"/>
                <w:szCs w:val="18"/>
              </w:rPr>
              <w:t>Yes</w:t>
            </w:r>
          </w:p>
        </w:tc>
      </w:tr>
      <w:tr w:rsidR="005D35AC" w:rsidRPr="0098629B" w14:paraId="62852F37"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4AC05A28" w14:textId="77777777" w:rsidR="005D35AC" w:rsidRPr="0098629B"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504F8DF7" w14:textId="77777777" w:rsidR="005D35AC" w:rsidRPr="0098629B" w:rsidRDefault="005D35AC" w:rsidP="005D35AC">
            <w:pPr>
              <w:suppressAutoHyphens/>
              <w:rPr>
                <w:color w:val="000000"/>
                <w:sz w:val="18"/>
                <w:szCs w:val="18"/>
              </w:rPr>
            </w:pPr>
            <w:r w:rsidRPr="0098629B">
              <w:rPr>
                <w:sz w:val="18"/>
                <w:szCs w:val="18"/>
              </w:rPr>
              <w:t>Industrial processes</w:t>
            </w:r>
            <w:r w:rsidRPr="0098629B">
              <w:rPr>
                <w:color w:val="000000"/>
                <w:sz w:val="18"/>
                <w:szCs w:val="18"/>
                <w:vertAlign w:val="superscript"/>
              </w:rPr>
              <w:t>g</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170629FB" w14:textId="77777777" w:rsidR="005D35AC" w:rsidRPr="0098629B" w:rsidRDefault="005D35AC" w:rsidP="005D35AC">
            <w:pPr>
              <w:suppressAutoHyphens/>
              <w:rPr>
                <w:color w:val="000000"/>
                <w:sz w:val="18"/>
                <w:szCs w:val="18"/>
              </w:rPr>
            </w:pPr>
            <w:r w:rsidRPr="0098629B">
              <w:rPr>
                <w:sz w:val="18"/>
                <w:szCs w:val="18"/>
              </w:rPr>
              <w:t>Yes</w:t>
            </w:r>
          </w:p>
        </w:tc>
      </w:tr>
      <w:tr w:rsidR="005D35AC" w:rsidRPr="0098629B" w14:paraId="4F43C2F0"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2A713131" w14:textId="77777777" w:rsidR="005D35AC" w:rsidRPr="0098629B"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5378E0F8" w14:textId="77777777" w:rsidR="005D35AC" w:rsidRPr="0098629B" w:rsidRDefault="005D35AC" w:rsidP="005D35AC">
            <w:pPr>
              <w:suppressAutoHyphens/>
              <w:rPr>
                <w:color w:val="000000"/>
                <w:sz w:val="18"/>
                <w:szCs w:val="18"/>
              </w:rPr>
            </w:pPr>
            <w:r w:rsidRPr="0098629B">
              <w:rPr>
                <w:sz w:val="18"/>
                <w:szCs w:val="18"/>
              </w:rPr>
              <w:t>Agriculture</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5F5B5E76" w14:textId="77777777" w:rsidR="005D35AC" w:rsidRPr="0098629B" w:rsidRDefault="005D35AC" w:rsidP="005D35AC">
            <w:pPr>
              <w:suppressAutoHyphens/>
              <w:rPr>
                <w:color w:val="000000"/>
                <w:sz w:val="18"/>
                <w:szCs w:val="18"/>
              </w:rPr>
            </w:pPr>
            <w:r w:rsidRPr="0098629B">
              <w:rPr>
                <w:sz w:val="18"/>
                <w:szCs w:val="18"/>
              </w:rPr>
              <w:t>Yes</w:t>
            </w:r>
          </w:p>
        </w:tc>
      </w:tr>
      <w:tr w:rsidR="005D35AC" w:rsidRPr="0098629B" w14:paraId="38A6C8F8"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759A4481" w14:textId="77777777" w:rsidR="005D35AC" w:rsidRPr="0098629B"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3A430878" w14:textId="77777777" w:rsidR="005D35AC" w:rsidRPr="0098629B" w:rsidRDefault="005D35AC" w:rsidP="005D35AC">
            <w:pPr>
              <w:suppressAutoHyphens/>
              <w:rPr>
                <w:color w:val="000000"/>
                <w:sz w:val="18"/>
                <w:szCs w:val="18"/>
              </w:rPr>
            </w:pPr>
            <w:r w:rsidRPr="0098629B">
              <w:rPr>
                <w:sz w:val="18"/>
                <w:szCs w:val="18"/>
              </w:rPr>
              <w:t>LULUCF</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38A8A3F5" w14:textId="77777777" w:rsidR="005D35AC" w:rsidRPr="0098629B" w:rsidRDefault="005D35AC" w:rsidP="005D35AC">
            <w:pPr>
              <w:suppressAutoHyphens/>
              <w:rPr>
                <w:color w:val="000000"/>
                <w:sz w:val="18"/>
                <w:szCs w:val="18"/>
              </w:rPr>
            </w:pPr>
            <w:r w:rsidRPr="0098629B">
              <w:rPr>
                <w:sz w:val="18"/>
                <w:szCs w:val="18"/>
              </w:rPr>
              <w:t>No</w:t>
            </w:r>
          </w:p>
        </w:tc>
      </w:tr>
      <w:tr w:rsidR="005D35AC" w:rsidRPr="0098629B" w14:paraId="0551FC95"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71789933" w14:textId="77777777" w:rsidR="005D35AC" w:rsidRPr="0098629B"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3A9A21D4" w14:textId="77777777" w:rsidR="005D35AC" w:rsidRPr="0098629B" w:rsidRDefault="005D35AC" w:rsidP="005D35AC">
            <w:pPr>
              <w:suppressAutoHyphens/>
              <w:rPr>
                <w:color w:val="000000"/>
                <w:sz w:val="18"/>
                <w:szCs w:val="18"/>
              </w:rPr>
            </w:pPr>
            <w:r w:rsidRPr="0098629B">
              <w:rPr>
                <w:sz w:val="18"/>
                <w:szCs w:val="18"/>
              </w:rPr>
              <w:t>Waste</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461095DC" w14:textId="77777777" w:rsidR="005D35AC" w:rsidRPr="0098629B" w:rsidRDefault="005D35AC" w:rsidP="005D35AC">
            <w:pPr>
              <w:suppressAutoHyphens/>
              <w:rPr>
                <w:color w:val="000000"/>
                <w:sz w:val="18"/>
                <w:szCs w:val="18"/>
              </w:rPr>
            </w:pPr>
            <w:r w:rsidRPr="0098629B">
              <w:rPr>
                <w:sz w:val="18"/>
                <w:szCs w:val="18"/>
              </w:rPr>
              <w:t>Yes</w:t>
            </w:r>
          </w:p>
        </w:tc>
      </w:tr>
      <w:tr w:rsidR="005D35AC" w:rsidRPr="0098629B" w14:paraId="61355BF8" w14:textId="77777777" w:rsidTr="00573042">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35538392" w14:textId="77777777" w:rsidR="005D35AC" w:rsidRPr="0098629B" w:rsidRDefault="005D35AC" w:rsidP="005D35AC">
            <w:pPr>
              <w:suppressAutoHyphens/>
              <w:rPr>
                <w:color w:val="000000"/>
                <w:sz w:val="18"/>
                <w:szCs w:val="18"/>
              </w:rPr>
            </w:pPr>
          </w:p>
        </w:tc>
        <w:tc>
          <w:tcPr>
            <w:tcW w:w="7066" w:type="dxa"/>
            <w:gridSpan w:val="2"/>
            <w:tcBorders>
              <w:top w:val="single" w:sz="4" w:space="0" w:color="B8B8B8"/>
              <w:left w:val="single" w:sz="4" w:space="0" w:color="B8B8B8"/>
              <w:bottom w:val="single" w:sz="4" w:space="0" w:color="00000A"/>
              <w:right w:val="single" w:sz="4" w:space="0" w:color="B8B8B8"/>
            </w:tcBorders>
            <w:shd w:val="clear" w:color="auto" w:fill="EEECE1" w:themeFill="background2"/>
            <w:tcMar>
              <w:left w:w="0" w:type="dxa"/>
            </w:tcMar>
            <w:vAlign w:val="center"/>
          </w:tcPr>
          <w:p w14:paraId="5FEB4EA8" w14:textId="77777777" w:rsidR="005D35AC" w:rsidRPr="0098629B" w:rsidRDefault="005D35AC" w:rsidP="005D35AC">
            <w:pPr>
              <w:suppressAutoHyphens/>
              <w:rPr>
                <w:color w:val="000000"/>
                <w:sz w:val="18"/>
                <w:szCs w:val="18"/>
              </w:rPr>
            </w:pPr>
            <w:r w:rsidRPr="0098629B">
              <w:rPr>
                <w:sz w:val="18"/>
                <w:szCs w:val="18"/>
              </w:rPr>
              <w:t>Other Sectors (specify)</w:t>
            </w:r>
          </w:p>
        </w:tc>
      </w:tr>
    </w:tbl>
    <w:p w14:paraId="57162A3C" w14:textId="77777777" w:rsidR="005D35AC" w:rsidRPr="0098629B" w:rsidRDefault="005D35AC" w:rsidP="005D35AC">
      <w:pPr>
        <w:rPr>
          <w:b/>
          <w:bCs/>
          <w:color w:val="000000"/>
          <w:lang w:val="en-US"/>
        </w:rPr>
      </w:pPr>
    </w:p>
    <w:p w14:paraId="085F2448" w14:textId="77777777" w:rsidR="005D35AC" w:rsidRPr="0098629B" w:rsidRDefault="005D35AC" w:rsidP="005D35AC">
      <w:pPr>
        <w:rPr>
          <w:lang w:val="en-GB"/>
        </w:rPr>
      </w:pPr>
    </w:p>
    <w:tbl>
      <w:tblPr>
        <w:tblW w:w="3650" w:type="pct"/>
        <w:tblInd w:w="-69" w:type="dxa"/>
        <w:tblCellMar>
          <w:left w:w="70" w:type="dxa"/>
          <w:right w:w="70" w:type="dxa"/>
        </w:tblCellMar>
        <w:tblLook w:val="00A0" w:firstRow="1" w:lastRow="0" w:firstColumn="1" w:lastColumn="0" w:noHBand="0" w:noVBand="0"/>
      </w:tblPr>
      <w:tblGrid>
        <w:gridCol w:w="2807"/>
        <w:gridCol w:w="570"/>
        <w:gridCol w:w="3887"/>
      </w:tblGrid>
      <w:tr w:rsidR="005D35AC" w:rsidRPr="00757301" w14:paraId="65BD9093" w14:textId="77777777" w:rsidTr="005D35AC">
        <w:trPr>
          <w:trHeight w:val="915"/>
        </w:trPr>
        <w:tc>
          <w:tcPr>
            <w:tcW w:w="7199" w:type="dxa"/>
            <w:gridSpan w:val="3"/>
            <w:shd w:val="clear" w:color="auto" w:fill="auto"/>
            <w:vAlign w:val="center"/>
          </w:tcPr>
          <w:p w14:paraId="44FF8186" w14:textId="77777777" w:rsidR="005D35AC" w:rsidRPr="0098629B" w:rsidRDefault="005D35AC" w:rsidP="005D35AC">
            <w:pPr>
              <w:suppressAutoHyphens/>
              <w:rPr>
                <w:sz w:val="18"/>
                <w:szCs w:val="18"/>
                <w:lang w:val="en-US"/>
              </w:rPr>
            </w:pPr>
            <w:r w:rsidRPr="0098629B">
              <w:rPr>
                <w:sz w:val="18"/>
                <w:szCs w:val="18"/>
                <w:lang w:val="en-US"/>
              </w:rPr>
              <w:t>Table 2 ( c )</w:t>
            </w:r>
          </w:p>
          <w:p w14:paraId="1918C155" w14:textId="77777777" w:rsidR="005D35AC" w:rsidRPr="0098629B" w:rsidRDefault="005D35AC" w:rsidP="005D35AC">
            <w:pPr>
              <w:suppressAutoHyphens/>
              <w:rPr>
                <w:b/>
                <w:sz w:val="18"/>
                <w:szCs w:val="18"/>
                <w:lang w:val="en-US"/>
              </w:rPr>
            </w:pPr>
            <w:r w:rsidRPr="0098629B">
              <w:rPr>
                <w:b/>
                <w:sz w:val="18"/>
                <w:szCs w:val="18"/>
                <w:lang w:val="en-US"/>
              </w:rPr>
              <w:t>Description of quantified economy-wide emission reduction target: global warming potential values (GWP)a </w:t>
            </w:r>
          </w:p>
        </w:tc>
      </w:tr>
      <w:tr w:rsidR="005D35AC" w:rsidRPr="0098629B" w14:paraId="3D228F19" w14:textId="77777777" w:rsidTr="005D35AC">
        <w:trPr>
          <w:trHeight w:val="300"/>
        </w:trPr>
        <w:tc>
          <w:tcPr>
            <w:tcW w:w="3347" w:type="dxa"/>
            <w:gridSpan w:val="2"/>
            <w:tcBorders>
              <w:top w:val="single" w:sz="4" w:space="0" w:color="00000A"/>
              <w:left w:val="single" w:sz="4" w:space="0" w:color="D8D8D8"/>
              <w:bottom w:val="single" w:sz="4" w:space="0" w:color="00000A"/>
            </w:tcBorders>
            <w:shd w:val="clear" w:color="auto" w:fill="auto"/>
            <w:tcMar>
              <w:left w:w="0" w:type="dxa"/>
            </w:tcMar>
            <w:vAlign w:val="center"/>
          </w:tcPr>
          <w:p w14:paraId="3460482C" w14:textId="77777777" w:rsidR="005D35AC" w:rsidRPr="0098629B" w:rsidRDefault="005D35AC" w:rsidP="005D35AC">
            <w:pPr>
              <w:rPr>
                <w:i/>
                <w:iCs/>
                <w:color w:val="000000"/>
                <w:sz w:val="18"/>
                <w:szCs w:val="18"/>
              </w:rPr>
            </w:pPr>
            <w:r w:rsidRPr="0098629B">
              <w:rPr>
                <w:i/>
                <w:iCs/>
                <w:color w:val="000000"/>
                <w:sz w:val="18"/>
                <w:szCs w:val="18"/>
              </w:rPr>
              <w:t>Gases</w:t>
            </w:r>
          </w:p>
        </w:tc>
        <w:tc>
          <w:tcPr>
            <w:tcW w:w="3852"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6CBD819F" w14:textId="77777777" w:rsidR="005D35AC" w:rsidRPr="0098629B" w:rsidRDefault="005D35AC" w:rsidP="005D35AC">
            <w:pPr>
              <w:jc w:val="center"/>
              <w:rPr>
                <w:i/>
                <w:iCs/>
                <w:sz w:val="18"/>
                <w:szCs w:val="18"/>
              </w:rPr>
            </w:pPr>
            <w:r w:rsidRPr="0098629B">
              <w:rPr>
                <w:i/>
                <w:iCs/>
                <w:sz w:val="18"/>
                <w:szCs w:val="18"/>
              </w:rPr>
              <w:t xml:space="preserve">GWP values </w:t>
            </w:r>
            <w:r w:rsidRPr="0098629B">
              <w:rPr>
                <w:i/>
                <w:iCs/>
                <w:sz w:val="18"/>
                <w:szCs w:val="18"/>
                <w:vertAlign w:val="superscript"/>
              </w:rPr>
              <w:t>b</w:t>
            </w:r>
          </w:p>
        </w:tc>
      </w:tr>
      <w:tr w:rsidR="005D35AC" w:rsidRPr="0098629B" w14:paraId="2D3976D1" w14:textId="77777777" w:rsidTr="005D35AC">
        <w:trPr>
          <w:trHeight w:val="300"/>
        </w:trPr>
        <w:tc>
          <w:tcPr>
            <w:tcW w:w="3347" w:type="dxa"/>
            <w:gridSpan w:val="2"/>
            <w:tcBorders>
              <w:top w:val="single" w:sz="4" w:space="0" w:color="D8D8D8"/>
              <w:left w:val="single" w:sz="4" w:space="0" w:color="B8B8B8"/>
              <w:bottom w:val="single" w:sz="4" w:space="0" w:color="D8D8D8"/>
              <w:right w:val="single" w:sz="4" w:space="0" w:color="D9D9D9"/>
            </w:tcBorders>
            <w:shd w:val="clear" w:color="auto" w:fill="auto"/>
            <w:tcMar>
              <w:left w:w="0" w:type="dxa"/>
            </w:tcMar>
            <w:vAlign w:val="center"/>
          </w:tcPr>
          <w:p w14:paraId="71D87FEE" w14:textId="5624CE2D" w:rsidR="005D35AC" w:rsidRPr="0098629B" w:rsidRDefault="00811B0F" w:rsidP="005D35AC">
            <w:pPr>
              <w:rPr>
                <w:color w:val="000000"/>
                <w:sz w:val="18"/>
                <w:szCs w:val="18"/>
              </w:rPr>
            </w:pPr>
            <w:r w:rsidRPr="0098629B">
              <w:t>CO</w:t>
            </w:r>
            <w:r w:rsidRPr="0098629B">
              <w:rPr>
                <w:vertAlign w:val="subscript"/>
              </w:rPr>
              <w:t>2</w:t>
            </w:r>
          </w:p>
        </w:tc>
        <w:tc>
          <w:tcPr>
            <w:tcW w:w="3852"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19B0C31A" w14:textId="3F8A2C86" w:rsidR="005D35AC" w:rsidRPr="0098629B" w:rsidRDefault="005D35AC" w:rsidP="000863E6">
            <w:pPr>
              <w:rPr>
                <w:color w:val="000000"/>
                <w:sz w:val="18"/>
                <w:szCs w:val="18"/>
              </w:rPr>
            </w:pPr>
            <w:r w:rsidRPr="0098629B">
              <w:rPr>
                <w:sz w:val="18"/>
                <w:szCs w:val="18"/>
              </w:rPr>
              <w:t>4</w:t>
            </w:r>
            <w:r w:rsidR="000863E6" w:rsidRPr="0098629B">
              <w:rPr>
                <w:sz w:val="18"/>
                <w:szCs w:val="18"/>
                <w:vertAlign w:val="superscript"/>
              </w:rPr>
              <w:t>th</w:t>
            </w:r>
            <w:r w:rsidR="000863E6" w:rsidRPr="0098629B">
              <w:rPr>
                <w:sz w:val="18"/>
                <w:szCs w:val="18"/>
              </w:rPr>
              <w:t xml:space="preserve"> </w:t>
            </w:r>
            <w:r w:rsidRPr="0098629B">
              <w:rPr>
                <w:sz w:val="18"/>
                <w:szCs w:val="18"/>
              </w:rPr>
              <w:t>AR</w:t>
            </w:r>
          </w:p>
        </w:tc>
      </w:tr>
      <w:tr w:rsidR="005D35AC" w:rsidRPr="0098629B" w14:paraId="16AD9DDE"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108FF683" w14:textId="6491DF67" w:rsidR="005D35AC" w:rsidRPr="0098629B" w:rsidRDefault="00891B49" w:rsidP="005D35AC">
            <w:pPr>
              <w:rPr>
                <w:color w:val="000000"/>
                <w:sz w:val="18"/>
                <w:szCs w:val="18"/>
              </w:rPr>
            </w:pPr>
            <w:r w:rsidRPr="0098629B">
              <w:t>CH</w:t>
            </w:r>
            <w:r w:rsidRPr="0098629B">
              <w:rPr>
                <w:vertAlign w:val="subscript"/>
              </w:rPr>
              <w:t>4</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7DF0B71C" w14:textId="553A2E8A" w:rsidR="005D35AC" w:rsidRPr="0098629B" w:rsidRDefault="000863E6" w:rsidP="005D35AC">
            <w:pPr>
              <w:rPr>
                <w:color w:val="000000"/>
                <w:sz w:val="18"/>
                <w:szCs w:val="18"/>
              </w:rPr>
            </w:pPr>
            <w:r w:rsidRPr="0098629B">
              <w:rPr>
                <w:sz w:val="18"/>
                <w:szCs w:val="18"/>
              </w:rPr>
              <w:t>4</w:t>
            </w:r>
            <w:r w:rsidRPr="0098629B">
              <w:rPr>
                <w:sz w:val="18"/>
                <w:szCs w:val="18"/>
                <w:vertAlign w:val="superscript"/>
              </w:rPr>
              <w:t>th</w:t>
            </w:r>
            <w:r w:rsidR="005D35AC" w:rsidRPr="0098629B">
              <w:rPr>
                <w:sz w:val="18"/>
                <w:szCs w:val="18"/>
              </w:rPr>
              <w:t xml:space="preserve"> AR</w:t>
            </w:r>
          </w:p>
        </w:tc>
      </w:tr>
      <w:tr w:rsidR="005D35AC" w:rsidRPr="0098629B" w14:paraId="326FC481"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1D8E0852" w14:textId="6641087D" w:rsidR="005D35AC" w:rsidRPr="0098629B" w:rsidRDefault="00891B49" w:rsidP="005D35AC">
            <w:pPr>
              <w:rPr>
                <w:color w:val="000000"/>
                <w:sz w:val="18"/>
                <w:szCs w:val="18"/>
              </w:rPr>
            </w:pPr>
            <w:r w:rsidRPr="0098629B">
              <w:t>N</w:t>
            </w:r>
            <w:r w:rsidRPr="0098629B">
              <w:rPr>
                <w:vertAlign w:val="subscript"/>
              </w:rPr>
              <w:t>2</w:t>
            </w:r>
            <w:r w:rsidRPr="0098629B">
              <w:t>O</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6CE1EDE1" w14:textId="3AF2F745" w:rsidR="005D35AC" w:rsidRPr="0098629B" w:rsidRDefault="000863E6" w:rsidP="005D35AC">
            <w:pPr>
              <w:rPr>
                <w:color w:val="000000"/>
                <w:sz w:val="18"/>
                <w:szCs w:val="18"/>
              </w:rPr>
            </w:pPr>
            <w:r w:rsidRPr="0098629B">
              <w:rPr>
                <w:sz w:val="18"/>
                <w:szCs w:val="18"/>
              </w:rPr>
              <w:t>4</w:t>
            </w:r>
            <w:r w:rsidRPr="0098629B">
              <w:rPr>
                <w:sz w:val="18"/>
                <w:szCs w:val="18"/>
                <w:vertAlign w:val="superscript"/>
              </w:rPr>
              <w:t>th</w:t>
            </w:r>
            <w:r w:rsidRPr="0098629B">
              <w:rPr>
                <w:sz w:val="18"/>
                <w:szCs w:val="18"/>
              </w:rPr>
              <w:t xml:space="preserve"> </w:t>
            </w:r>
            <w:r w:rsidR="005D35AC" w:rsidRPr="0098629B">
              <w:rPr>
                <w:sz w:val="18"/>
                <w:szCs w:val="18"/>
              </w:rPr>
              <w:t>AR</w:t>
            </w:r>
          </w:p>
        </w:tc>
      </w:tr>
      <w:tr w:rsidR="005D35AC" w:rsidRPr="0098629B" w14:paraId="7B060089"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04D254C5" w14:textId="77777777" w:rsidR="005D35AC" w:rsidRPr="0098629B" w:rsidRDefault="005D35AC" w:rsidP="005D35AC">
            <w:pPr>
              <w:rPr>
                <w:color w:val="000000"/>
                <w:sz w:val="18"/>
                <w:szCs w:val="18"/>
              </w:rPr>
            </w:pPr>
            <w:r w:rsidRPr="0098629B">
              <w:rPr>
                <w:sz w:val="18"/>
                <w:szCs w:val="18"/>
              </w:rPr>
              <w:t>HFCs</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140ABD1F" w14:textId="1DA78929" w:rsidR="005D35AC" w:rsidRPr="0098629B" w:rsidRDefault="000863E6" w:rsidP="005D35AC">
            <w:pPr>
              <w:rPr>
                <w:color w:val="000000"/>
                <w:sz w:val="18"/>
                <w:szCs w:val="18"/>
              </w:rPr>
            </w:pPr>
            <w:r w:rsidRPr="0098629B">
              <w:rPr>
                <w:sz w:val="18"/>
                <w:szCs w:val="18"/>
              </w:rPr>
              <w:t>4</w:t>
            </w:r>
            <w:r w:rsidRPr="0098629B">
              <w:rPr>
                <w:sz w:val="18"/>
                <w:szCs w:val="18"/>
                <w:vertAlign w:val="superscript"/>
              </w:rPr>
              <w:t>th</w:t>
            </w:r>
            <w:r w:rsidR="005D35AC" w:rsidRPr="0098629B">
              <w:rPr>
                <w:sz w:val="18"/>
                <w:szCs w:val="18"/>
              </w:rPr>
              <w:t xml:space="preserve"> AR</w:t>
            </w:r>
          </w:p>
        </w:tc>
      </w:tr>
      <w:tr w:rsidR="005D35AC" w:rsidRPr="0098629B" w14:paraId="04AEA8CB"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04F8367" w14:textId="77777777" w:rsidR="005D35AC" w:rsidRPr="0098629B" w:rsidRDefault="005D35AC" w:rsidP="005D35AC">
            <w:pPr>
              <w:rPr>
                <w:color w:val="000000"/>
                <w:sz w:val="18"/>
                <w:szCs w:val="18"/>
              </w:rPr>
            </w:pPr>
            <w:r w:rsidRPr="0098629B">
              <w:rPr>
                <w:sz w:val="18"/>
                <w:szCs w:val="18"/>
              </w:rPr>
              <w:t>PFCs</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7570D52A" w14:textId="54F63C96" w:rsidR="005D35AC" w:rsidRPr="0098629B" w:rsidRDefault="000863E6" w:rsidP="005D35AC">
            <w:pPr>
              <w:rPr>
                <w:color w:val="000000"/>
                <w:sz w:val="18"/>
                <w:szCs w:val="18"/>
              </w:rPr>
            </w:pPr>
            <w:r w:rsidRPr="0098629B">
              <w:rPr>
                <w:sz w:val="18"/>
                <w:szCs w:val="18"/>
              </w:rPr>
              <w:t>4</w:t>
            </w:r>
            <w:r w:rsidRPr="0098629B">
              <w:rPr>
                <w:sz w:val="18"/>
                <w:szCs w:val="18"/>
                <w:vertAlign w:val="superscript"/>
              </w:rPr>
              <w:t>th</w:t>
            </w:r>
            <w:r w:rsidR="005D35AC" w:rsidRPr="0098629B">
              <w:rPr>
                <w:sz w:val="18"/>
                <w:szCs w:val="18"/>
              </w:rPr>
              <w:t xml:space="preserve"> AR</w:t>
            </w:r>
          </w:p>
        </w:tc>
      </w:tr>
      <w:tr w:rsidR="005D35AC" w:rsidRPr="0098629B" w14:paraId="4C8643C0"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B8E2307" w14:textId="1E6D1A05" w:rsidR="005D35AC" w:rsidRPr="0098629B" w:rsidRDefault="002F2FFD" w:rsidP="005D35AC">
            <w:pPr>
              <w:rPr>
                <w:color w:val="000000"/>
                <w:sz w:val="18"/>
                <w:szCs w:val="18"/>
              </w:rPr>
            </w:pPr>
            <w:r w:rsidRPr="0098629B">
              <w:t>SF</w:t>
            </w:r>
            <w:r w:rsidRPr="0098629B">
              <w:rPr>
                <w:vertAlign w:val="subscript"/>
              </w:rPr>
              <w:t>6</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56E28E9F" w14:textId="54261485" w:rsidR="005D35AC" w:rsidRPr="0098629B" w:rsidRDefault="000863E6" w:rsidP="005D35AC">
            <w:pPr>
              <w:rPr>
                <w:color w:val="000000"/>
                <w:sz w:val="18"/>
                <w:szCs w:val="18"/>
              </w:rPr>
            </w:pPr>
            <w:r w:rsidRPr="0098629B">
              <w:rPr>
                <w:sz w:val="18"/>
                <w:szCs w:val="18"/>
              </w:rPr>
              <w:t>4</w:t>
            </w:r>
            <w:r w:rsidRPr="0098629B">
              <w:rPr>
                <w:sz w:val="18"/>
                <w:szCs w:val="18"/>
                <w:vertAlign w:val="superscript"/>
              </w:rPr>
              <w:t>th</w:t>
            </w:r>
            <w:r w:rsidR="005D35AC" w:rsidRPr="0098629B">
              <w:rPr>
                <w:sz w:val="18"/>
                <w:szCs w:val="18"/>
              </w:rPr>
              <w:t xml:space="preserve"> AR</w:t>
            </w:r>
          </w:p>
        </w:tc>
      </w:tr>
      <w:tr w:rsidR="005D35AC" w:rsidRPr="0098629B" w14:paraId="599B2691" w14:textId="77777777" w:rsidTr="005D35AC">
        <w:trPr>
          <w:trHeight w:val="300"/>
        </w:trPr>
        <w:tc>
          <w:tcPr>
            <w:tcW w:w="7199" w:type="dxa"/>
            <w:gridSpan w:val="3"/>
            <w:tcBorders>
              <w:top w:val="single" w:sz="4" w:space="0" w:color="B8B8B8"/>
              <w:left w:val="single" w:sz="4" w:space="0" w:color="B8B8B8"/>
              <w:bottom w:val="single" w:sz="4" w:space="0" w:color="00000A"/>
              <w:right w:val="single" w:sz="4" w:space="0" w:color="B8B8B8"/>
            </w:tcBorders>
            <w:shd w:val="clear" w:color="auto" w:fill="auto"/>
            <w:tcMar>
              <w:left w:w="0" w:type="dxa"/>
            </w:tcMar>
            <w:vAlign w:val="center"/>
          </w:tcPr>
          <w:p w14:paraId="55E1FC5C" w14:textId="77777777" w:rsidR="005D35AC" w:rsidRPr="0098629B" w:rsidRDefault="005D35AC" w:rsidP="005D35AC">
            <w:pPr>
              <w:rPr>
                <w:color w:val="000000"/>
                <w:sz w:val="18"/>
                <w:szCs w:val="18"/>
              </w:rPr>
            </w:pPr>
            <w:r w:rsidRPr="0098629B">
              <w:rPr>
                <w:sz w:val="18"/>
                <w:szCs w:val="18"/>
              </w:rPr>
              <w:t>Other Gases (specify)</w:t>
            </w:r>
          </w:p>
        </w:tc>
      </w:tr>
      <w:tr w:rsidR="005D35AC" w:rsidRPr="0098629B" w14:paraId="6CC62863" w14:textId="77777777" w:rsidTr="005D35AC">
        <w:trPr>
          <w:trHeight w:val="300"/>
        </w:trPr>
        <w:tc>
          <w:tcPr>
            <w:tcW w:w="3347" w:type="dxa"/>
            <w:gridSpan w:val="2"/>
            <w:shd w:val="clear" w:color="auto" w:fill="auto"/>
            <w:vAlign w:val="center"/>
          </w:tcPr>
          <w:p w14:paraId="30237E04" w14:textId="77777777" w:rsidR="005D35AC" w:rsidRPr="0098629B" w:rsidRDefault="005D35AC" w:rsidP="005D35AC">
            <w:pPr>
              <w:rPr>
                <w:color w:val="000000"/>
                <w:sz w:val="18"/>
                <w:szCs w:val="18"/>
              </w:rPr>
            </w:pPr>
          </w:p>
        </w:tc>
        <w:tc>
          <w:tcPr>
            <w:tcW w:w="3852" w:type="dxa"/>
            <w:shd w:val="clear" w:color="auto" w:fill="auto"/>
            <w:vAlign w:val="center"/>
          </w:tcPr>
          <w:p w14:paraId="5CA62429" w14:textId="77777777" w:rsidR="005D35AC" w:rsidRPr="0098629B" w:rsidRDefault="005D35AC" w:rsidP="005D35AC">
            <w:pPr>
              <w:jc w:val="right"/>
              <w:rPr>
                <w:color w:val="000000"/>
                <w:sz w:val="18"/>
                <w:szCs w:val="18"/>
              </w:rPr>
            </w:pPr>
          </w:p>
        </w:tc>
      </w:tr>
      <w:tr w:rsidR="005D35AC" w:rsidRPr="00757301" w14:paraId="1CEF98F6" w14:textId="77777777" w:rsidTr="005D35AC">
        <w:trPr>
          <w:trHeight w:val="330"/>
        </w:trPr>
        <w:tc>
          <w:tcPr>
            <w:tcW w:w="7199" w:type="dxa"/>
            <w:gridSpan w:val="3"/>
            <w:shd w:val="clear" w:color="auto" w:fill="auto"/>
            <w:vAlign w:val="center"/>
          </w:tcPr>
          <w:p w14:paraId="09084299" w14:textId="77777777" w:rsidR="005D35AC" w:rsidRPr="0098629B" w:rsidRDefault="005D35AC" w:rsidP="005D35AC">
            <w:pPr>
              <w:rPr>
                <w:i/>
                <w:iCs/>
                <w:color w:val="000000"/>
                <w:sz w:val="18"/>
                <w:szCs w:val="18"/>
                <w:lang w:val="en-US"/>
              </w:rPr>
            </w:pPr>
            <w:r w:rsidRPr="0098629B">
              <w:rPr>
                <w:i/>
                <w:iCs/>
                <w:color w:val="000000"/>
                <w:sz w:val="18"/>
                <w:szCs w:val="18"/>
                <w:lang w:val="en-US"/>
              </w:rPr>
              <w:t>Abbreviations</w:t>
            </w:r>
            <w:r w:rsidRPr="0098629B">
              <w:rPr>
                <w:color w:val="000000"/>
                <w:sz w:val="18"/>
                <w:szCs w:val="18"/>
                <w:lang w:val="en-US"/>
              </w:rPr>
              <w:t xml:space="preserve">: GWP = global warming potential </w:t>
            </w:r>
          </w:p>
        </w:tc>
      </w:tr>
      <w:tr w:rsidR="005D35AC" w:rsidRPr="00757301" w14:paraId="5EECC9B6" w14:textId="77777777" w:rsidTr="005D35AC">
        <w:trPr>
          <w:trHeight w:val="330"/>
        </w:trPr>
        <w:tc>
          <w:tcPr>
            <w:tcW w:w="7199" w:type="dxa"/>
            <w:gridSpan w:val="3"/>
            <w:shd w:val="clear" w:color="auto" w:fill="auto"/>
            <w:vAlign w:val="center"/>
          </w:tcPr>
          <w:p w14:paraId="2ECBE3BE" w14:textId="77777777" w:rsidR="005D35AC" w:rsidRPr="0098629B" w:rsidRDefault="005D35AC" w:rsidP="005D35AC">
            <w:pPr>
              <w:jc w:val="left"/>
              <w:rPr>
                <w:i/>
                <w:iCs/>
                <w:color w:val="000000"/>
                <w:sz w:val="18"/>
                <w:szCs w:val="18"/>
                <w:lang w:val="en-US"/>
              </w:rPr>
            </w:pPr>
          </w:p>
        </w:tc>
      </w:tr>
      <w:tr w:rsidR="005D35AC" w:rsidRPr="00757301" w14:paraId="65103482" w14:textId="77777777" w:rsidTr="005D35AC">
        <w:trPr>
          <w:trHeight w:val="1005"/>
        </w:trPr>
        <w:tc>
          <w:tcPr>
            <w:tcW w:w="2782" w:type="dxa"/>
            <w:shd w:val="clear" w:color="auto" w:fill="auto"/>
          </w:tcPr>
          <w:p w14:paraId="3D033537" w14:textId="77777777" w:rsidR="005D35AC" w:rsidRPr="0098629B" w:rsidRDefault="005D35AC" w:rsidP="005D35AC">
            <w:pPr>
              <w:rPr>
                <w:lang w:val="en-US"/>
              </w:rPr>
            </w:pPr>
          </w:p>
        </w:tc>
        <w:tc>
          <w:tcPr>
            <w:tcW w:w="4417" w:type="dxa"/>
            <w:gridSpan w:val="2"/>
            <w:shd w:val="clear" w:color="auto" w:fill="auto"/>
            <w:vAlign w:val="center"/>
          </w:tcPr>
          <w:p w14:paraId="3F1D609D" w14:textId="77777777" w:rsidR="005D35AC" w:rsidRPr="0098629B" w:rsidRDefault="005D35AC" w:rsidP="005D35AC">
            <w:pPr>
              <w:jc w:val="left"/>
              <w:rPr>
                <w:i/>
                <w:iCs/>
                <w:color w:val="000000"/>
                <w:sz w:val="18"/>
                <w:szCs w:val="18"/>
                <w:lang w:val="en-US"/>
              </w:rPr>
            </w:pPr>
            <w:r w:rsidRPr="0098629B">
              <w:rPr>
                <w:i/>
                <w:iCs/>
                <w:color w:val="000000"/>
                <w:sz w:val="18"/>
                <w:szCs w:val="18"/>
                <w:vertAlign w:val="superscript"/>
                <w:lang w:val="en-US"/>
              </w:rPr>
              <w:t xml:space="preserve">a   </w:t>
            </w:r>
            <w:r w:rsidRPr="0098629B">
              <w:rPr>
                <w:color w:val="000000"/>
                <w:sz w:val="18"/>
                <w:szCs w:val="18"/>
                <w:lang w:val="en-US"/>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tc>
      </w:tr>
      <w:tr w:rsidR="005D35AC" w:rsidRPr="00757301" w14:paraId="5A9DCE84" w14:textId="77777777" w:rsidTr="005D35AC">
        <w:tc>
          <w:tcPr>
            <w:tcW w:w="2782" w:type="dxa"/>
            <w:shd w:val="clear" w:color="auto" w:fill="auto"/>
          </w:tcPr>
          <w:p w14:paraId="39BB5863" w14:textId="77777777" w:rsidR="005D35AC" w:rsidRPr="0098629B" w:rsidRDefault="005D35AC" w:rsidP="005D35AC">
            <w:pPr>
              <w:rPr>
                <w:lang w:val="en-US"/>
              </w:rPr>
            </w:pPr>
          </w:p>
        </w:tc>
        <w:tc>
          <w:tcPr>
            <w:tcW w:w="4417" w:type="dxa"/>
            <w:gridSpan w:val="2"/>
            <w:shd w:val="clear" w:color="auto" w:fill="auto"/>
            <w:vAlign w:val="center"/>
          </w:tcPr>
          <w:p w14:paraId="633A9CCA" w14:textId="77777777" w:rsidR="005D35AC" w:rsidRPr="0098629B" w:rsidRDefault="005D35AC" w:rsidP="005D35AC">
            <w:pPr>
              <w:jc w:val="left"/>
              <w:rPr>
                <w:i/>
                <w:iCs/>
                <w:color w:val="000000"/>
                <w:sz w:val="18"/>
                <w:szCs w:val="18"/>
                <w:vertAlign w:val="superscript"/>
                <w:lang w:val="en-US"/>
              </w:rPr>
            </w:pPr>
          </w:p>
        </w:tc>
      </w:tr>
      <w:tr w:rsidR="005D35AC" w:rsidRPr="00757301" w14:paraId="1F1F84B6" w14:textId="77777777" w:rsidTr="005D35AC">
        <w:trPr>
          <w:trHeight w:val="750"/>
        </w:trPr>
        <w:tc>
          <w:tcPr>
            <w:tcW w:w="2782" w:type="dxa"/>
            <w:shd w:val="clear" w:color="auto" w:fill="auto"/>
          </w:tcPr>
          <w:p w14:paraId="730895B0" w14:textId="77777777" w:rsidR="005D35AC" w:rsidRPr="0098629B" w:rsidRDefault="005D35AC" w:rsidP="005D35AC">
            <w:pPr>
              <w:rPr>
                <w:lang w:val="en-US"/>
              </w:rPr>
            </w:pPr>
          </w:p>
        </w:tc>
        <w:tc>
          <w:tcPr>
            <w:tcW w:w="4417" w:type="dxa"/>
            <w:gridSpan w:val="2"/>
            <w:shd w:val="clear" w:color="auto" w:fill="auto"/>
            <w:vAlign w:val="center"/>
          </w:tcPr>
          <w:p w14:paraId="2B6364D2" w14:textId="77777777" w:rsidR="005D35AC" w:rsidRPr="0098629B" w:rsidRDefault="005D35AC" w:rsidP="005D35AC">
            <w:pPr>
              <w:jc w:val="left"/>
              <w:rPr>
                <w:i/>
                <w:iCs/>
                <w:color w:val="000000"/>
                <w:sz w:val="18"/>
                <w:szCs w:val="18"/>
                <w:lang w:val="en-US"/>
              </w:rPr>
            </w:pPr>
            <w:r w:rsidRPr="0098629B">
              <w:rPr>
                <w:i/>
                <w:iCs/>
                <w:color w:val="000000"/>
                <w:sz w:val="18"/>
                <w:szCs w:val="18"/>
                <w:vertAlign w:val="superscript"/>
                <w:lang w:val="en-US"/>
              </w:rPr>
              <w:t xml:space="preserve">b   </w:t>
            </w:r>
            <w:r w:rsidRPr="0098629B">
              <w:rPr>
                <w:color w:val="000000"/>
                <w:sz w:val="18"/>
                <w:szCs w:val="18"/>
                <w:lang w:val="en-US"/>
              </w:rPr>
              <w:t xml:space="preserve">Please specify the reference for the GWP: Second Assessment Report of the Intergovernmental Panel on Climate Change (IPCC) or the Fourth Assessment Report of the IPCC.  </w:t>
            </w:r>
          </w:p>
        </w:tc>
      </w:tr>
    </w:tbl>
    <w:p w14:paraId="17330B58" w14:textId="77777777" w:rsidR="005D35AC" w:rsidRPr="0098629B" w:rsidRDefault="005D35AC" w:rsidP="005D35AC">
      <w:pPr>
        <w:rPr>
          <w:lang w:val="en-GB"/>
        </w:rPr>
      </w:pPr>
    </w:p>
    <w:p w14:paraId="1C46DE8D" w14:textId="77777777" w:rsidR="005D35AC" w:rsidRPr="0098629B" w:rsidRDefault="005D35AC" w:rsidP="005D35AC">
      <w:pPr>
        <w:suppressAutoHyphens/>
        <w:spacing w:line="276" w:lineRule="auto"/>
        <w:rPr>
          <w:rFonts w:ascii="Arial" w:hAnsi="Arial" w:cs="Arial"/>
          <w:lang w:val="en-US"/>
        </w:rPr>
      </w:pPr>
    </w:p>
    <w:p w14:paraId="65D487CF" w14:textId="5D1C7DD2" w:rsidR="005D35AC" w:rsidRPr="0098629B" w:rsidRDefault="005D35AC" w:rsidP="005D35AC">
      <w:pPr>
        <w:suppressAutoHyphens/>
        <w:rPr>
          <w:rFonts w:ascii="Arial" w:hAnsi="Arial" w:cs="Arial"/>
          <w:sz w:val="20"/>
          <w:szCs w:val="20"/>
        </w:rPr>
      </w:pPr>
      <w:r w:rsidRPr="0098629B">
        <w:rPr>
          <w:rFonts w:ascii="Times New Roman" w:hAnsi="Times New Roman" w:cs="Arial"/>
        </w:rPr>
        <w:t xml:space="preserve">Les pouvoirs de réchauffement globaux utilisés pour convertir les quantités de gaz à effet de serre exprimées en masse en équivalents </w:t>
      </w:r>
      <w:r w:rsidR="00811B0F" w:rsidRPr="0098629B">
        <w:t>CO</w:t>
      </w:r>
      <w:r w:rsidR="00811B0F" w:rsidRPr="0098629B">
        <w:rPr>
          <w:vertAlign w:val="subscript"/>
        </w:rPr>
        <w:t>2</w:t>
      </w:r>
      <w:r w:rsidRPr="0098629B">
        <w:rPr>
          <w:rFonts w:ascii="Times New Roman" w:hAnsi="Times New Roman" w:cs="Arial"/>
        </w:rPr>
        <w:t xml:space="preserve"> sont ceux du 4</w:t>
      </w:r>
      <w:r w:rsidRPr="0098629B">
        <w:rPr>
          <w:rFonts w:ascii="Times New Roman" w:hAnsi="Times New Roman" w:cs="Arial"/>
          <w:vertAlign w:val="superscript"/>
        </w:rPr>
        <w:t>ème</w:t>
      </w:r>
      <w:r w:rsidRPr="0098629B">
        <w:rPr>
          <w:rFonts w:ascii="Times New Roman" w:hAnsi="Times New Roman" w:cs="Arial"/>
        </w:rPr>
        <w:t xml:space="preserve"> rapport du GIEC conformément aux décisions de la Convention Climat.</w:t>
      </w:r>
    </w:p>
    <w:p w14:paraId="256B0012" w14:textId="77777777" w:rsidR="005D35AC" w:rsidRPr="0098629B" w:rsidRDefault="005D35AC" w:rsidP="005D35AC">
      <w:pPr>
        <w:suppressAutoHyphens/>
        <w:rPr>
          <w:rFonts w:ascii="Times New Roman" w:hAnsi="Times New Roman" w:cs="Arial"/>
        </w:rPr>
      </w:pPr>
    </w:p>
    <w:p w14:paraId="14EE6D49" w14:textId="440DD17C" w:rsidR="005D35AC" w:rsidRPr="0098629B" w:rsidRDefault="005D35AC" w:rsidP="005D35AC">
      <w:pPr>
        <w:rPr>
          <w:rFonts w:ascii="Times New Roman" w:hAnsi="Times New Roman" w:cs="Arial"/>
        </w:rPr>
      </w:pPr>
      <w:r w:rsidRPr="0098629B">
        <w:rPr>
          <w:rFonts w:ascii="Times New Roman" w:hAnsi="Times New Roman" w:cs="Arial"/>
        </w:rPr>
        <w:t>Le secteur UTCATF est estimé comme étant un puits sur toute la période 1990-2020 à l’échelle de l’Union européenne et à l’échelle de la France.</w:t>
      </w:r>
    </w:p>
    <w:p w14:paraId="612A60C1" w14:textId="77777777" w:rsidR="000863E6" w:rsidRPr="0098629B" w:rsidRDefault="000863E6" w:rsidP="005D35AC">
      <w:pPr>
        <w:rPr>
          <w:rFonts w:ascii="Times New Roman" w:hAnsi="Times New Roman"/>
        </w:rPr>
      </w:pPr>
    </w:p>
    <w:p w14:paraId="19E34C95" w14:textId="77777777" w:rsidR="005D35AC" w:rsidRPr="0098629B" w:rsidRDefault="005D35AC" w:rsidP="005D35AC">
      <w:pPr>
        <w:rPr>
          <w:rFonts w:ascii="Times New Roman" w:hAnsi="Times New Roman"/>
        </w:rPr>
      </w:pPr>
      <w:r w:rsidRPr="0098629B">
        <w:rPr>
          <w:rFonts w:ascii="Times New Roman" w:hAnsi="Times New Roman" w:cs="Arial"/>
        </w:rPr>
        <w:t>Il n’est pas pris en compte dans les objectifs 2020 sous la convention de l’Union européenne et donc de la France mais une décision européenne a été adoptée pour ce secteur en 2013. Elle rend obligatoire la mise en place de plans d’action qui fourniront des informations sur les actions mises en place pour réduire les émissions, accroître les absorptions et protéger les stocks de carbone.</w:t>
      </w:r>
    </w:p>
    <w:p w14:paraId="3FFDB969" w14:textId="77777777" w:rsidR="005D35AC" w:rsidRPr="0098629B" w:rsidRDefault="005D35AC" w:rsidP="005D35AC">
      <w:pPr>
        <w:jc w:val="left"/>
        <w:rPr>
          <w:rFonts w:ascii="Times New Roman" w:hAnsi="Times New Roman" w:cs="Arial"/>
        </w:rPr>
      </w:pPr>
      <w:r w:rsidRPr="0098629B">
        <w:br w:type="page"/>
      </w:r>
    </w:p>
    <w:tbl>
      <w:tblPr>
        <w:tblW w:w="5000" w:type="pct"/>
        <w:tblCellMar>
          <w:left w:w="70" w:type="dxa"/>
          <w:right w:w="70" w:type="dxa"/>
        </w:tblCellMar>
        <w:tblLook w:val="00A0" w:firstRow="1" w:lastRow="0" w:firstColumn="1" w:lastColumn="0" w:noHBand="0" w:noVBand="0"/>
      </w:tblPr>
      <w:tblGrid>
        <w:gridCol w:w="3060"/>
        <w:gridCol w:w="4832"/>
        <w:gridCol w:w="2058"/>
      </w:tblGrid>
      <w:tr w:rsidR="005D35AC" w:rsidRPr="0098629B" w14:paraId="1A72B0A3" w14:textId="77777777" w:rsidTr="005D35AC">
        <w:trPr>
          <w:trHeight w:val="300"/>
        </w:trPr>
        <w:tc>
          <w:tcPr>
            <w:tcW w:w="3034" w:type="dxa"/>
            <w:shd w:val="clear" w:color="auto" w:fill="auto"/>
            <w:vAlign w:val="center"/>
          </w:tcPr>
          <w:p w14:paraId="03BEBD5A" w14:textId="77777777" w:rsidR="005D35AC" w:rsidRPr="0098629B" w:rsidRDefault="005D35AC" w:rsidP="005D35AC">
            <w:pPr>
              <w:pageBreakBefore/>
              <w:rPr>
                <w:sz w:val="18"/>
                <w:szCs w:val="18"/>
              </w:rPr>
            </w:pPr>
            <w:r w:rsidRPr="0098629B">
              <w:rPr>
                <w:sz w:val="18"/>
                <w:szCs w:val="18"/>
              </w:rPr>
              <w:lastRenderedPageBreak/>
              <w:t>Table 2(d)  </w:t>
            </w:r>
          </w:p>
        </w:tc>
        <w:tc>
          <w:tcPr>
            <w:tcW w:w="6830" w:type="dxa"/>
            <w:gridSpan w:val="2"/>
            <w:shd w:val="clear" w:color="auto" w:fill="auto"/>
            <w:vAlign w:val="center"/>
          </w:tcPr>
          <w:p w14:paraId="4772CEC2" w14:textId="7D221F1B" w:rsidR="005D35AC" w:rsidRPr="0098629B" w:rsidRDefault="005D35AC" w:rsidP="000863E6">
            <w:pPr>
              <w:rPr>
                <w:sz w:val="18"/>
                <w:szCs w:val="18"/>
              </w:rPr>
            </w:pPr>
          </w:p>
        </w:tc>
      </w:tr>
      <w:tr w:rsidR="005D35AC" w:rsidRPr="00757301" w14:paraId="39EA4D47" w14:textId="77777777" w:rsidTr="005D35AC">
        <w:trPr>
          <w:trHeight w:val="870"/>
        </w:trPr>
        <w:tc>
          <w:tcPr>
            <w:tcW w:w="9864" w:type="dxa"/>
            <w:gridSpan w:val="3"/>
            <w:shd w:val="clear" w:color="auto" w:fill="auto"/>
            <w:vAlign w:val="center"/>
          </w:tcPr>
          <w:p w14:paraId="3CEF0D9E" w14:textId="77777777" w:rsidR="005D35AC" w:rsidRPr="0098629B" w:rsidRDefault="005D35AC" w:rsidP="005D35AC">
            <w:pPr>
              <w:rPr>
                <w:b/>
                <w:bCs/>
                <w:sz w:val="18"/>
                <w:szCs w:val="18"/>
                <w:lang w:val="en-US"/>
              </w:rPr>
            </w:pPr>
            <w:r w:rsidRPr="0098629B">
              <w:rPr>
                <w:b/>
                <w:bCs/>
                <w:sz w:val="18"/>
                <w:szCs w:val="18"/>
                <w:lang w:val="en-US"/>
              </w:rPr>
              <w:t>Description of quantified economy-wide emission reduction target: approach to counting emissions and removals from the LULUCF sector</w:t>
            </w:r>
            <w:r w:rsidRPr="0098629B">
              <w:rPr>
                <w:i/>
                <w:iCs/>
                <w:sz w:val="18"/>
                <w:szCs w:val="18"/>
                <w:vertAlign w:val="superscript"/>
                <w:lang w:val="en-US"/>
              </w:rPr>
              <w:t>a</w:t>
            </w:r>
            <w:r w:rsidRPr="0098629B">
              <w:rPr>
                <w:sz w:val="18"/>
                <w:szCs w:val="18"/>
                <w:lang w:val="en-US"/>
              </w:rPr>
              <w:t> </w:t>
            </w:r>
          </w:p>
        </w:tc>
      </w:tr>
      <w:tr w:rsidR="005D35AC" w:rsidRPr="0098629B" w14:paraId="07E08D94" w14:textId="77777777" w:rsidTr="005D35AC">
        <w:trPr>
          <w:trHeight w:val="300"/>
        </w:trPr>
        <w:tc>
          <w:tcPr>
            <w:tcW w:w="3034" w:type="dxa"/>
            <w:tcBorders>
              <w:top w:val="single" w:sz="4" w:space="0" w:color="D8D8D8"/>
              <w:left w:val="single" w:sz="4" w:space="0" w:color="D8D8D8"/>
              <w:bottom w:val="single" w:sz="4" w:space="0" w:color="D8D8D8"/>
              <w:right w:val="single" w:sz="4" w:space="0" w:color="D8D8D8"/>
            </w:tcBorders>
            <w:shd w:val="clear" w:color="auto" w:fill="auto"/>
            <w:tcMar>
              <w:left w:w="0" w:type="dxa"/>
            </w:tcMar>
            <w:vAlign w:val="center"/>
          </w:tcPr>
          <w:p w14:paraId="6CA35F54" w14:textId="77777777" w:rsidR="005D35AC" w:rsidRPr="0098629B" w:rsidRDefault="005D35AC" w:rsidP="005D35AC">
            <w:pPr>
              <w:rPr>
                <w:b/>
                <w:bCs/>
                <w:sz w:val="18"/>
                <w:szCs w:val="18"/>
              </w:rPr>
            </w:pPr>
            <w:r w:rsidRPr="0098629B">
              <w:rPr>
                <w:b/>
                <w:bCs/>
                <w:sz w:val="18"/>
                <w:szCs w:val="18"/>
              </w:rPr>
              <w:t xml:space="preserve">Role of LULUCF </w:t>
            </w:r>
          </w:p>
        </w:tc>
        <w:tc>
          <w:tcPr>
            <w:tcW w:w="4790" w:type="dxa"/>
            <w:tcBorders>
              <w:top w:val="single" w:sz="4" w:space="0" w:color="D8D8D8"/>
              <w:bottom w:val="single" w:sz="4" w:space="0" w:color="D8D8D8"/>
            </w:tcBorders>
            <w:shd w:val="clear" w:color="auto" w:fill="auto"/>
            <w:vAlign w:val="center"/>
          </w:tcPr>
          <w:p w14:paraId="528CFEBE" w14:textId="77777777" w:rsidR="005D35AC" w:rsidRPr="0098629B" w:rsidRDefault="005D35AC" w:rsidP="005D35AC">
            <w:pPr>
              <w:rPr>
                <w:sz w:val="18"/>
                <w:szCs w:val="18"/>
                <w:lang w:val="en-US"/>
              </w:rPr>
            </w:pPr>
            <w:r w:rsidRPr="0098629B">
              <w:rPr>
                <w:sz w:val="18"/>
                <w:szCs w:val="18"/>
                <w:lang w:val="en-US"/>
              </w:rPr>
              <w:t>LULUCF in base year level and target</w:t>
            </w:r>
          </w:p>
        </w:tc>
        <w:tc>
          <w:tcPr>
            <w:tcW w:w="2040" w:type="dxa"/>
            <w:tcBorders>
              <w:top w:val="single" w:sz="4" w:space="0" w:color="D8D8D8"/>
              <w:left w:val="single" w:sz="4" w:space="0" w:color="D8D8D8"/>
              <w:bottom w:val="single" w:sz="4" w:space="0" w:color="D8D8D8"/>
              <w:right w:val="single" w:sz="4" w:space="0" w:color="D8D8D8"/>
            </w:tcBorders>
            <w:shd w:val="clear" w:color="auto" w:fill="auto"/>
            <w:tcMar>
              <w:left w:w="0" w:type="dxa"/>
            </w:tcMar>
            <w:vAlign w:val="center"/>
          </w:tcPr>
          <w:p w14:paraId="0615A827" w14:textId="77777777" w:rsidR="005D35AC" w:rsidRPr="0098629B" w:rsidRDefault="005D35AC" w:rsidP="005D35AC">
            <w:pPr>
              <w:rPr>
                <w:sz w:val="18"/>
                <w:szCs w:val="18"/>
              </w:rPr>
            </w:pPr>
            <w:r w:rsidRPr="0098629B">
              <w:rPr>
                <w:sz w:val="18"/>
                <w:szCs w:val="18"/>
              </w:rPr>
              <w:t>Excluded</w:t>
            </w:r>
          </w:p>
        </w:tc>
      </w:tr>
      <w:tr w:rsidR="005D35AC" w:rsidRPr="00757301" w14:paraId="4EFCC948" w14:textId="77777777" w:rsidTr="005D35AC">
        <w:trPr>
          <w:trHeight w:val="300"/>
        </w:trPr>
        <w:tc>
          <w:tcPr>
            <w:tcW w:w="9864" w:type="dxa"/>
            <w:gridSpan w:val="3"/>
            <w:shd w:val="clear" w:color="auto" w:fill="auto"/>
            <w:vAlign w:val="center"/>
          </w:tcPr>
          <w:p w14:paraId="4CA41D17" w14:textId="77777777" w:rsidR="005D35AC" w:rsidRPr="0098629B" w:rsidRDefault="005D35AC" w:rsidP="005D35AC">
            <w:pPr>
              <w:rPr>
                <w:sz w:val="18"/>
                <w:szCs w:val="18"/>
                <w:lang w:val="en-US"/>
              </w:rPr>
            </w:pPr>
            <w:r w:rsidRPr="0098629B">
              <w:rPr>
                <w:i/>
                <w:iCs/>
                <w:sz w:val="18"/>
                <w:szCs w:val="18"/>
                <w:lang w:val="en-US"/>
              </w:rPr>
              <w:t>Abbreviation</w:t>
            </w:r>
            <w:r w:rsidRPr="0098629B">
              <w:rPr>
                <w:sz w:val="18"/>
                <w:szCs w:val="18"/>
                <w:lang w:val="en-US"/>
              </w:rPr>
              <w:t>: LULUCF = land use, land-use change and forestry.</w:t>
            </w:r>
          </w:p>
        </w:tc>
      </w:tr>
      <w:tr w:rsidR="005D35AC" w:rsidRPr="00757301" w14:paraId="10501685" w14:textId="77777777" w:rsidTr="005D35AC">
        <w:trPr>
          <w:trHeight w:val="300"/>
        </w:trPr>
        <w:tc>
          <w:tcPr>
            <w:tcW w:w="9864" w:type="dxa"/>
            <w:gridSpan w:val="3"/>
            <w:shd w:val="clear" w:color="auto" w:fill="auto"/>
            <w:vAlign w:val="center"/>
          </w:tcPr>
          <w:p w14:paraId="52C2A566" w14:textId="77777777" w:rsidR="005D35AC" w:rsidRPr="0098629B" w:rsidRDefault="005D35AC" w:rsidP="005D35AC">
            <w:pPr>
              <w:rPr>
                <w:i/>
                <w:iCs/>
                <w:sz w:val="18"/>
                <w:szCs w:val="18"/>
                <w:lang w:val="en-US"/>
              </w:rPr>
            </w:pPr>
          </w:p>
        </w:tc>
      </w:tr>
      <w:tr w:rsidR="005D35AC" w:rsidRPr="00757301" w14:paraId="27DFB6DA" w14:textId="77777777" w:rsidTr="005D35AC">
        <w:trPr>
          <w:trHeight w:val="1035"/>
        </w:trPr>
        <w:tc>
          <w:tcPr>
            <w:tcW w:w="9864" w:type="dxa"/>
            <w:gridSpan w:val="3"/>
            <w:shd w:val="clear" w:color="auto" w:fill="auto"/>
            <w:vAlign w:val="center"/>
          </w:tcPr>
          <w:p w14:paraId="6B7CA556" w14:textId="77777777" w:rsidR="005D35AC" w:rsidRPr="0098629B" w:rsidRDefault="005D35AC" w:rsidP="005D35AC">
            <w:pPr>
              <w:rPr>
                <w:i/>
                <w:iCs/>
                <w:sz w:val="18"/>
                <w:szCs w:val="18"/>
                <w:lang w:val="en-US"/>
              </w:rPr>
            </w:pPr>
            <w:r w:rsidRPr="0098629B">
              <w:rPr>
                <w:i/>
                <w:iCs/>
                <w:sz w:val="18"/>
                <w:szCs w:val="18"/>
                <w:vertAlign w:val="superscript"/>
                <w:lang w:val="en-US"/>
              </w:rPr>
              <w:t xml:space="preserve">a   </w:t>
            </w:r>
            <w:r w:rsidRPr="0098629B">
              <w:rPr>
                <w:sz w:val="18"/>
                <w:szCs w:val="18"/>
                <w:lang w:val="en-US"/>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tc>
      </w:tr>
    </w:tbl>
    <w:p w14:paraId="4C767E2B" w14:textId="77777777" w:rsidR="005D35AC" w:rsidRPr="0098629B" w:rsidRDefault="005D35AC" w:rsidP="005D35AC">
      <w:pPr>
        <w:rPr>
          <w:rFonts w:eastAsiaTheme="majorEastAsia"/>
          <w:lang w:val="en-GB"/>
        </w:rPr>
      </w:pPr>
    </w:p>
    <w:p w14:paraId="78D32191" w14:textId="77777777" w:rsidR="005D35AC" w:rsidRPr="0098629B" w:rsidRDefault="005D35AC" w:rsidP="00C246BC">
      <w:pPr>
        <w:pStyle w:val="Titre2Niveau2"/>
      </w:pPr>
      <w:bookmarkStart w:id="33" w:name="_Toc120883272"/>
      <w:bookmarkStart w:id="34" w:name="_Toc138344586"/>
      <w:r w:rsidRPr="0098629B">
        <w:t>Recours aux mécanismes de marché</w:t>
      </w:r>
      <w:bookmarkEnd w:id="33"/>
      <w:bookmarkEnd w:id="34"/>
    </w:p>
    <w:p w14:paraId="56BBB1BC" w14:textId="1854A40D" w:rsidR="005D35AC" w:rsidRPr="0098629B" w:rsidRDefault="005D35AC" w:rsidP="005D35AC">
      <w:pPr>
        <w:rPr>
          <w:rFonts w:eastAsiaTheme="majorEastAsia"/>
        </w:rPr>
      </w:pPr>
      <w:r w:rsidRPr="0098629B">
        <w:rPr>
          <w:rFonts w:eastAsiaTheme="majorEastAsia"/>
        </w:rPr>
        <w:t>Les mécanismes de flexibilité sont utilisés d'une part par les opérateurs dans l’ETS et d'autre part peuvent être mobilisés par les gouvernements pour la réalisation des objectifs de l’ESD présentés précédemment (pour plus d'informations</w:t>
      </w:r>
      <w:r w:rsidR="00D65D8C" w:rsidRPr="0098629B">
        <w:rPr>
          <w:rFonts w:eastAsiaTheme="majorEastAsia"/>
        </w:rPr>
        <w:t>,</w:t>
      </w:r>
      <w:r w:rsidRPr="0098629B">
        <w:rPr>
          <w:rFonts w:eastAsiaTheme="majorEastAsia"/>
        </w:rPr>
        <w:t xml:space="preserve"> voir le rapport bisannuel de l'Union européenne).</w:t>
      </w:r>
    </w:p>
    <w:p w14:paraId="799E4F16" w14:textId="77777777" w:rsidR="005D35AC" w:rsidRPr="0098629B" w:rsidRDefault="005D35AC" w:rsidP="005D35AC">
      <w:pPr>
        <w:rPr>
          <w:rFonts w:eastAsiaTheme="majorEastAsia"/>
        </w:rPr>
      </w:pPr>
    </w:p>
    <w:p w14:paraId="494CFE5F" w14:textId="77777777" w:rsidR="005D35AC" w:rsidRPr="0098629B" w:rsidRDefault="005D35AC" w:rsidP="005D35AC">
      <w:pPr>
        <w:rPr>
          <w:rFonts w:eastAsiaTheme="majorEastAsia"/>
        </w:rPr>
      </w:pPr>
      <w:r w:rsidRPr="0098629B">
        <w:rPr>
          <w:rFonts w:eastAsiaTheme="majorEastAsia"/>
        </w:rPr>
        <w:t>L’utilisation des mécanismes de flexibilité dans le cadre de l’ESD fait l’objet d’un suivi par la Commission Européenne. Pour ce qui concerne la période 2013-2020 trois Etats-Membre ont dépassé leur objectif ESD (Allemagne, Ireland, Malte) et Chypre a dépassé sa cible 2020 : ces 4 Etats-Membres devront donc faire appel aux flexibilités autorisées par la directive du partage de l’effort afin de respecter leurs obligations.</w:t>
      </w:r>
    </w:p>
    <w:p w14:paraId="29C75443" w14:textId="77777777" w:rsidR="005D35AC" w:rsidRPr="0098629B" w:rsidRDefault="005D35AC" w:rsidP="005D35AC">
      <w:pPr>
        <w:rPr>
          <w:rFonts w:eastAsiaTheme="majorEastAsia"/>
        </w:rPr>
      </w:pPr>
      <w:r w:rsidRPr="0098629B">
        <w:rPr>
          <w:rFonts w:eastAsiaTheme="majorEastAsia"/>
        </w:rPr>
        <w:t>La France n’a pas eu recours aux mécanismes de flexibilité pour respecter ses objectifs sur la période 2013-2020.</w:t>
      </w:r>
    </w:p>
    <w:p w14:paraId="5EF84855" w14:textId="77777777" w:rsidR="005D35AC" w:rsidRPr="0098629B" w:rsidRDefault="005D35AC" w:rsidP="005D35AC">
      <w:pPr>
        <w:rPr>
          <w:rFonts w:eastAsiaTheme="majorEastAsia"/>
        </w:rPr>
      </w:pPr>
    </w:p>
    <w:tbl>
      <w:tblPr>
        <w:tblW w:w="5000" w:type="pct"/>
        <w:tblCellMar>
          <w:left w:w="70" w:type="dxa"/>
          <w:right w:w="70" w:type="dxa"/>
        </w:tblCellMar>
        <w:tblLook w:val="00A0" w:firstRow="1" w:lastRow="0" w:firstColumn="1" w:lastColumn="0" w:noHBand="0" w:noVBand="0"/>
      </w:tblPr>
      <w:tblGrid>
        <w:gridCol w:w="5976"/>
        <w:gridCol w:w="3974"/>
      </w:tblGrid>
      <w:tr w:rsidR="005D35AC" w:rsidRPr="0098629B" w14:paraId="4EA40E53" w14:textId="77777777" w:rsidTr="005D35AC">
        <w:trPr>
          <w:trHeight w:val="20"/>
        </w:trPr>
        <w:tc>
          <w:tcPr>
            <w:tcW w:w="5924" w:type="dxa"/>
            <w:shd w:val="clear" w:color="auto" w:fill="auto"/>
            <w:vAlign w:val="bottom"/>
          </w:tcPr>
          <w:p w14:paraId="75FBD558" w14:textId="77777777" w:rsidR="005D35AC" w:rsidRPr="0098629B" w:rsidRDefault="005D35AC" w:rsidP="005D35AC">
            <w:pPr>
              <w:pageBreakBefore/>
              <w:rPr>
                <w:color w:val="000000"/>
                <w:sz w:val="18"/>
                <w:szCs w:val="18"/>
              </w:rPr>
            </w:pPr>
            <w:r w:rsidRPr="0098629B">
              <w:rPr>
                <w:color w:val="000000"/>
                <w:sz w:val="18"/>
                <w:szCs w:val="18"/>
              </w:rPr>
              <w:lastRenderedPageBreak/>
              <w:t>Table 2(e)I</w:t>
            </w:r>
          </w:p>
        </w:tc>
        <w:tc>
          <w:tcPr>
            <w:tcW w:w="3939" w:type="dxa"/>
            <w:shd w:val="clear" w:color="auto" w:fill="auto"/>
          </w:tcPr>
          <w:p w14:paraId="59348375" w14:textId="23B92EB6" w:rsidR="005D35AC" w:rsidRPr="0098629B" w:rsidRDefault="005D35AC" w:rsidP="005D35AC">
            <w:pPr>
              <w:jc w:val="right"/>
              <w:rPr>
                <w:color w:val="000000"/>
                <w:sz w:val="18"/>
                <w:szCs w:val="18"/>
              </w:rPr>
            </w:pPr>
          </w:p>
        </w:tc>
      </w:tr>
      <w:tr w:rsidR="005D35AC" w:rsidRPr="00757301" w14:paraId="01551C5B" w14:textId="77777777" w:rsidTr="005D35AC">
        <w:trPr>
          <w:trHeight w:val="20"/>
        </w:trPr>
        <w:tc>
          <w:tcPr>
            <w:tcW w:w="9863" w:type="dxa"/>
            <w:gridSpan w:val="2"/>
            <w:shd w:val="clear" w:color="auto" w:fill="auto"/>
          </w:tcPr>
          <w:p w14:paraId="06C6526F" w14:textId="77777777" w:rsidR="005D35AC" w:rsidRPr="0098629B" w:rsidRDefault="005D35AC" w:rsidP="005D35AC">
            <w:pPr>
              <w:spacing w:before="120"/>
              <w:rPr>
                <w:b/>
                <w:bCs/>
                <w:color w:val="000000"/>
                <w:sz w:val="18"/>
                <w:szCs w:val="18"/>
                <w:lang w:val="en-US"/>
              </w:rPr>
            </w:pPr>
            <w:r w:rsidRPr="0098629B">
              <w:rPr>
                <w:b/>
                <w:bCs/>
                <w:color w:val="000000"/>
                <w:sz w:val="18"/>
                <w:szCs w:val="18"/>
                <w:lang w:val="en-US"/>
              </w:rPr>
              <w:t>Description of quantified economy-wide emission reduction target: market-based mechanisms under the Convention</w:t>
            </w:r>
            <w:r w:rsidRPr="0098629B">
              <w:rPr>
                <w:i/>
                <w:iCs/>
                <w:color w:val="000000"/>
                <w:sz w:val="18"/>
                <w:szCs w:val="18"/>
                <w:vertAlign w:val="superscript"/>
                <w:lang w:val="en-US"/>
              </w:rPr>
              <w:t>a</w:t>
            </w:r>
            <w:r w:rsidRPr="0098629B">
              <w:rPr>
                <w:color w:val="000000"/>
                <w:sz w:val="18"/>
                <w:szCs w:val="18"/>
                <w:lang w:val="en-US"/>
              </w:rPr>
              <w:t> </w:t>
            </w:r>
          </w:p>
        </w:tc>
      </w:tr>
      <w:tr w:rsidR="005D35AC" w:rsidRPr="00757301" w14:paraId="17EFA4BE" w14:textId="77777777" w:rsidTr="005D35AC">
        <w:trPr>
          <w:trHeight w:val="300"/>
        </w:trPr>
        <w:tc>
          <w:tcPr>
            <w:tcW w:w="5924" w:type="dxa"/>
            <w:tcBorders>
              <w:top w:val="single" w:sz="4" w:space="0" w:color="00000A"/>
              <w:bottom w:val="single" w:sz="4" w:space="0" w:color="00000A"/>
            </w:tcBorders>
            <w:shd w:val="clear" w:color="auto" w:fill="auto"/>
            <w:vAlign w:val="bottom"/>
          </w:tcPr>
          <w:p w14:paraId="392D9318" w14:textId="77777777" w:rsidR="005D35AC" w:rsidRPr="0098629B" w:rsidRDefault="005D35AC" w:rsidP="005D35AC">
            <w:pPr>
              <w:rPr>
                <w:b/>
                <w:bCs/>
                <w:color w:val="000000"/>
                <w:sz w:val="18"/>
                <w:szCs w:val="18"/>
                <w:lang w:val="en-US"/>
              </w:rPr>
            </w:pPr>
            <w:r w:rsidRPr="0098629B">
              <w:rPr>
                <w:b/>
                <w:bCs/>
                <w:color w:val="000000"/>
                <w:sz w:val="18"/>
                <w:szCs w:val="18"/>
                <w:lang w:val="en-US"/>
              </w:rPr>
              <w:t> </w:t>
            </w:r>
          </w:p>
        </w:tc>
        <w:tc>
          <w:tcPr>
            <w:tcW w:w="3939" w:type="dxa"/>
            <w:tcBorders>
              <w:top w:val="single" w:sz="4" w:space="0" w:color="00000A"/>
              <w:bottom w:val="single" w:sz="4" w:space="0" w:color="00000A"/>
            </w:tcBorders>
            <w:shd w:val="clear" w:color="auto" w:fill="auto"/>
            <w:vAlign w:val="bottom"/>
          </w:tcPr>
          <w:p w14:paraId="2470D6DD" w14:textId="77777777" w:rsidR="005D35AC" w:rsidRPr="0098629B" w:rsidRDefault="005D35AC" w:rsidP="005D35AC">
            <w:pPr>
              <w:rPr>
                <w:color w:val="000000"/>
                <w:sz w:val="18"/>
                <w:szCs w:val="18"/>
                <w:lang w:val="en-US"/>
              </w:rPr>
            </w:pPr>
            <w:r w:rsidRPr="0098629B">
              <w:rPr>
                <w:color w:val="000000"/>
                <w:sz w:val="18"/>
                <w:szCs w:val="18"/>
                <w:lang w:val="en-US"/>
              </w:rPr>
              <w:t> </w:t>
            </w:r>
          </w:p>
        </w:tc>
      </w:tr>
      <w:tr w:rsidR="005D35AC" w:rsidRPr="0098629B" w14:paraId="335C1B2F" w14:textId="77777777" w:rsidTr="005D35AC">
        <w:trPr>
          <w:cantSplit/>
          <w:trHeight w:val="300"/>
        </w:trPr>
        <w:tc>
          <w:tcPr>
            <w:tcW w:w="5924" w:type="dxa"/>
            <w:vMerge w:val="restart"/>
            <w:tcBorders>
              <w:left w:val="single" w:sz="4" w:space="0" w:color="D8D8D8"/>
              <w:right w:val="single" w:sz="4" w:space="0" w:color="D8D8D8"/>
            </w:tcBorders>
            <w:shd w:val="clear" w:color="auto" w:fill="auto"/>
            <w:tcMar>
              <w:left w:w="0" w:type="dxa"/>
            </w:tcMar>
            <w:vAlign w:val="center"/>
          </w:tcPr>
          <w:p w14:paraId="5F8FD94D" w14:textId="77777777" w:rsidR="005D35AC" w:rsidRPr="0098629B" w:rsidRDefault="005D35AC" w:rsidP="005D35AC">
            <w:pPr>
              <w:jc w:val="center"/>
              <w:rPr>
                <w:i/>
                <w:iCs/>
                <w:sz w:val="18"/>
                <w:szCs w:val="18"/>
                <w:lang w:val="en-US"/>
              </w:rPr>
            </w:pPr>
            <w:r w:rsidRPr="0098629B">
              <w:rPr>
                <w:i/>
                <w:iCs/>
                <w:sz w:val="18"/>
                <w:szCs w:val="18"/>
                <w:lang w:val="en-US"/>
              </w:rPr>
              <w:t>Market-based mechanisms under the Convention</w:t>
            </w:r>
          </w:p>
        </w:tc>
        <w:tc>
          <w:tcPr>
            <w:tcW w:w="3939" w:type="dxa"/>
            <w:tcBorders>
              <w:top w:val="single" w:sz="4" w:space="0" w:color="D8D8D8"/>
              <w:left w:val="single" w:sz="4" w:space="0" w:color="D8D8D8"/>
              <w:bottom w:val="single" w:sz="4" w:space="0" w:color="D8D8D8"/>
              <w:right w:val="single" w:sz="4" w:space="0" w:color="D8D8D8"/>
            </w:tcBorders>
            <w:shd w:val="clear" w:color="auto" w:fill="auto"/>
            <w:tcMar>
              <w:left w:w="0" w:type="dxa"/>
            </w:tcMar>
            <w:vAlign w:val="center"/>
          </w:tcPr>
          <w:p w14:paraId="2C90355E" w14:textId="77777777" w:rsidR="005D35AC" w:rsidRPr="0098629B" w:rsidRDefault="005D35AC" w:rsidP="005D35AC">
            <w:pPr>
              <w:suppressAutoHyphens/>
              <w:jc w:val="center"/>
              <w:rPr>
                <w:i/>
                <w:iCs/>
                <w:color w:val="000000"/>
                <w:sz w:val="18"/>
                <w:szCs w:val="18"/>
              </w:rPr>
            </w:pPr>
            <w:r w:rsidRPr="0098629B">
              <w:rPr>
                <w:i/>
                <w:iCs/>
                <w:color w:val="000000"/>
                <w:sz w:val="18"/>
                <w:szCs w:val="18"/>
              </w:rPr>
              <w:t xml:space="preserve">Possible scale of contributions </w:t>
            </w:r>
          </w:p>
        </w:tc>
      </w:tr>
      <w:tr w:rsidR="005D35AC" w:rsidRPr="0098629B" w14:paraId="5A07ADAF" w14:textId="77777777" w:rsidTr="005D35AC">
        <w:trPr>
          <w:cantSplit/>
          <w:trHeight w:val="300"/>
        </w:trPr>
        <w:tc>
          <w:tcPr>
            <w:tcW w:w="5924" w:type="dxa"/>
            <w:vMerge/>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6F8BB137" w14:textId="77777777" w:rsidR="005D35AC" w:rsidRPr="0098629B" w:rsidRDefault="005D35AC" w:rsidP="005D35AC">
            <w:pPr>
              <w:jc w:val="center"/>
              <w:rPr>
                <w:i/>
                <w:iCs/>
                <w:sz w:val="18"/>
                <w:szCs w:val="18"/>
              </w:rPr>
            </w:pPr>
          </w:p>
        </w:tc>
        <w:tc>
          <w:tcPr>
            <w:tcW w:w="3939"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5D1A6E55" w14:textId="76D8FD51" w:rsidR="005D35AC" w:rsidRPr="0098629B" w:rsidRDefault="005D35AC" w:rsidP="005D35AC">
            <w:pPr>
              <w:jc w:val="center"/>
              <w:rPr>
                <w:i/>
                <w:iCs/>
                <w:color w:val="000000"/>
                <w:sz w:val="18"/>
                <w:szCs w:val="18"/>
              </w:rPr>
            </w:pPr>
            <w:r w:rsidRPr="0098629B">
              <w:rPr>
                <w:i/>
                <w:iCs/>
                <w:color w:val="000000"/>
                <w:sz w:val="18"/>
                <w:szCs w:val="18"/>
              </w:rPr>
              <w:t xml:space="preserve">(estimated kt </w:t>
            </w:r>
            <w:r w:rsidR="00811B0F" w:rsidRPr="0098629B">
              <w:t>CO</w:t>
            </w:r>
            <w:r w:rsidR="00811B0F" w:rsidRPr="0098629B">
              <w:rPr>
                <w:vertAlign w:val="subscript"/>
              </w:rPr>
              <w:t>2</w:t>
            </w:r>
            <w:r w:rsidRPr="0098629B">
              <w:rPr>
                <w:i/>
                <w:iCs/>
                <w:color w:val="000000"/>
                <w:sz w:val="18"/>
                <w:szCs w:val="18"/>
                <w:vertAlign w:val="subscript"/>
              </w:rPr>
              <w:t xml:space="preserve"> </w:t>
            </w:r>
            <w:r w:rsidRPr="0098629B">
              <w:rPr>
                <w:i/>
                <w:iCs/>
                <w:color w:val="000000"/>
                <w:sz w:val="18"/>
                <w:szCs w:val="18"/>
              </w:rPr>
              <w:t>eq)</w:t>
            </w:r>
          </w:p>
        </w:tc>
      </w:tr>
      <w:tr w:rsidR="005D35AC" w:rsidRPr="0098629B" w14:paraId="4514947C" w14:textId="77777777" w:rsidTr="005D35AC">
        <w:trPr>
          <w:trHeight w:val="300"/>
        </w:trPr>
        <w:tc>
          <w:tcPr>
            <w:tcW w:w="5924"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739F079C" w14:textId="77777777" w:rsidR="005D35AC" w:rsidRPr="0098629B" w:rsidRDefault="005D35AC" w:rsidP="005D35AC">
            <w:pPr>
              <w:rPr>
                <w:color w:val="000000"/>
                <w:sz w:val="18"/>
                <w:szCs w:val="18"/>
              </w:rPr>
            </w:pPr>
            <w:r w:rsidRPr="0098629B">
              <w:rPr>
                <w:sz w:val="18"/>
                <w:szCs w:val="18"/>
              </w:rPr>
              <w:t>CERs</w:t>
            </w:r>
          </w:p>
        </w:tc>
        <w:tc>
          <w:tcPr>
            <w:tcW w:w="3939"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36F3E13C" w14:textId="576FC170" w:rsidR="005D35AC" w:rsidRPr="0098629B" w:rsidRDefault="00851EB9" w:rsidP="005D35AC">
            <w:pPr>
              <w:jc w:val="right"/>
              <w:rPr>
                <w:color w:val="000000"/>
                <w:sz w:val="18"/>
                <w:szCs w:val="18"/>
              </w:rPr>
            </w:pPr>
            <w:r w:rsidRPr="005B54EE">
              <w:rPr>
                <w:sz w:val="18"/>
              </w:rPr>
              <w:t>0.00</w:t>
            </w:r>
          </w:p>
        </w:tc>
      </w:tr>
      <w:tr w:rsidR="005D35AC" w:rsidRPr="0098629B" w14:paraId="6373DA60" w14:textId="77777777" w:rsidTr="005D35AC">
        <w:trPr>
          <w:trHeight w:val="300"/>
        </w:trPr>
        <w:tc>
          <w:tcPr>
            <w:tcW w:w="5924" w:type="dxa"/>
            <w:tcBorders>
              <w:top w:val="single" w:sz="4" w:space="0" w:color="D9D9D9"/>
              <w:left w:val="single" w:sz="4" w:space="0" w:color="D9D9D9"/>
              <w:right w:val="single" w:sz="4" w:space="0" w:color="D9D9D9"/>
            </w:tcBorders>
            <w:shd w:val="clear" w:color="auto" w:fill="auto"/>
            <w:tcMar>
              <w:left w:w="0" w:type="dxa"/>
            </w:tcMar>
            <w:vAlign w:val="center"/>
          </w:tcPr>
          <w:p w14:paraId="41914325" w14:textId="77777777" w:rsidR="005D35AC" w:rsidRPr="0098629B" w:rsidRDefault="005D35AC" w:rsidP="005D35AC">
            <w:pPr>
              <w:rPr>
                <w:color w:val="000000"/>
                <w:sz w:val="18"/>
                <w:szCs w:val="18"/>
              </w:rPr>
            </w:pPr>
            <w:r w:rsidRPr="0098629B">
              <w:rPr>
                <w:sz w:val="18"/>
                <w:szCs w:val="18"/>
              </w:rPr>
              <w:t>ERUs</w:t>
            </w:r>
          </w:p>
        </w:tc>
        <w:tc>
          <w:tcPr>
            <w:tcW w:w="3939" w:type="dxa"/>
            <w:tcBorders>
              <w:top w:val="single" w:sz="4" w:space="0" w:color="D9D9D9"/>
              <w:left w:val="single" w:sz="4" w:space="0" w:color="D9D9D9"/>
              <w:right w:val="single" w:sz="4" w:space="0" w:color="D9D9D9"/>
            </w:tcBorders>
            <w:shd w:val="clear" w:color="auto" w:fill="auto"/>
            <w:tcMar>
              <w:left w:w="0" w:type="dxa"/>
            </w:tcMar>
            <w:vAlign w:val="center"/>
          </w:tcPr>
          <w:p w14:paraId="7CC9C412" w14:textId="755CD94D" w:rsidR="005D35AC" w:rsidRPr="0098629B" w:rsidRDefault="00851EB9" w:rsidP="005D35AC">
            <w:pPr>
              <w:jc w:val="right"/>
              <w:rPr>
                <w:color w:val="000000"/>
                <w:sz w:val="18"/>
                <w:szCs w:val="18"/>
              </w:rPr>
            </w:pPr>
            <w:r w:rsidRPr="005B54EE">
              <w:rPr>
                <w:sz w:val="18"/>
              </w:rPr>
              <w:t>0.00</w:t>
            </w:r>
          </w:p>
        </w:tc>
      </w:tr>
      <w:tr w:rsidR="005D35AC" w:rsidRPr="0098629B" w14:paraId="26AC4FCA" w14:textId="77777777" w:rsidTr="005D35AC">
        <w:trPr>
          <w:trHeight w:val="300"/>
        </w:trPr>
        <w:tc>
          <w:tcPr>
            <w:tcW w:w="5924" w:type="dxa"/>
            <w:tcBorders>
              <w:top w:val="single" w:sz="4" w:space="0" w:color="D9D9D9"/>
              <w:left w:val="single" w:sz="4" w:space="0" w:color="D9D9D9"/>
              <w:right w:val="single" w:sz="4" w:space="0" w:color="D9D9D9"/>
            </w:tcBorders>
            <w:shd w:val="clear" w:color="auto" w:fill="auto"/>
            <w:tcMar>
              <w:left w:w="0" w:type="dxa"/>
            </w:tcMar>
            <w:vAlign w:val="center"/>
          </w:tcPr>
          <w:p w14:paraId="6E8D8E2E" w14:textId="77777777" w:rsidR="005D35AC" w:rsidRPr="0098629B" w:rsidRDefault="005D35AC" w:rsidP="005D35AC">
            <w:pPr>
              <w:rPr>
                <w:color w:val="000000"/>
                <w:sz w:val="18"/>
                <w:szCs w:val="18"/>
              </w:rPr>
            </w:pPr>
            <w:r w:rsidRPr="0098629B">
              <w:rPr>
                <w:sz w:val="18"/>
                <w:szCs w:val="18"/>
              </w:rPr>
              <w:t>AAUs</w:t>
            </w:r>
            <w:r w:rsidRPr="0098629B">
              <w:rPr>
                <w:color w:val="000000"/>
                <w:sz w:val="18"/>
                <w:szCs w:val="18"/>
                <w:vertAlign w:val="superscript"/>
              </w:rPr>
              <w:t>i</w:t>
            </w:r>
          </w:p>
        </w:tc>
        <w:tc>
          <w:tcPr>
            <w:tcW w:w="3939" w:type="dxa"/>
            <w:tcBorders>
              <w:top w:val="single" w:sz="4" w:space="0" w:color="D9D9D9"/>
              <w:left w:val="single" w:sz="4" w:space="0" w:color="D9D9D9"/>
              <w:right w:val="single" w:sz="4" w:space="0" w:color="D9D9D9"/>
            </w:tcBorders>
            <w:shd w:val="clear" w:color="auto" w:fill="auto"/>
            <w:tcMar>
              <w:left w:w="0" w:type="dxa"/>
            </w:tcMar>
            <w:vAlign w:val="center"/>
          </w:tcPr>
          <w:p w14:paraId="47947DD6" w14:textId="0609433B" w:rsidR="005D35AC" w:rsidRPr="0098629B" w:rsidRDefault="00851EB9" w:rsidP="005D35AC">
            <w:pPr>
              <w:jc w:val="right"/>
              <w:rPr>
                <w:color w:val="000000"/>
                <w:sz w:val="18"/>
                <w:szCs w:val="18"/>
              </w:rPr>
            </w:pPr>
            <w:r w:rsidRPr="005B54EE">
              <w:rPr>
                <w:sz w:val="18"/>
              </w:rPr>
              <w:t>0.00</w:t>
            </w:r>
          </w:p>
        </w:tc>
      </w:tr>
      <w:tr w:rsidR="005D35AC" w:rsidRPr="0098629B" w14:paraId="195A3D89" w14:textId="77777777" w:rsidTr="005D35AC">
        <w:trPr>
          <w:trHeight w:val="300"/>
        </w:trPr>
        <w:tc>
          <w:tcPr>
            <w:tcW w:w="5924" w:type="dxa"/>
            <w:tcBorders>
              <w:top w:val="single" w:sz="4" w:space="0" w:color="D9D9D9"/>
              <w:left w:val="single" w:sz="4" w:space="0" w:color="D9D9D9"/>
              <w:right w:val="single" w:sz="4" w:space="0" w:color="D9D9D9"/>
            </w:tcBorders>
            <w:shd w:val="clear" w:color="auto" w:fill="auto"/>
            <w:tcMar>
              <w:left w:w="0" w:type="dxa"/>
            </w:tcMar>
            <w:vAlign w:val="center"/>
          </w:tcPr>
          <w:p w14:paraId="3B7DB214" w14:textId="77777777" w:rsidR="005D35AC" w:rsidRPr="0098629B" w:rsidRDefault="005D35AC" w:rsidP="005D35AC">
            <w:pPr>
              <w:rPr>
                <w:color w:val="000000"/>
                <w:sz w:val="18"/>
                <w:szCs w:val="18"/>
              </w:rPr>
            </w:pPr>
            <w:r w:rsidRPr="0098629B">
              <w:rPr>
                <w:sz w:val="18"/>
                <w:szCs w:val="18"/>
              </w:rPr>
              <w:t>Carry-over units</w:t>
            </w:r>
            <w:r w:rsidRPr="0098629B">
              <w:rPr>
                <w:color w:val="000000"/>
                <w:sz w:val="18"/>
                <w:szCs w:val="18"/>
                <w:vertAlign w:val="superscript"/>
              </w:rPr>
              <w:t>j</w:t>
            </w:r>
          </w:p>
        </w:tc>
        <w:tc>
          <w:tcPr>
            <w:tcW w:w="3939" w:type="dxa"/>
            <w:tcBorders>
              <w:top w:val="single" w:sz="4" w:space="0" w:color="D9D9D9"/>
              <w:left w:val="single" w:sz="4" w:space="0" w:color="D9D9D9"/>
              <w:right w:val="single" w:sz="4" w:space="0" w:color="D9D9D9"/>
            </w:tcBorders>
            <w:shd w:val="clear" w:color="auto" w:fill="auto"/>
            <w:tcMar>
              <w:left w:w="0" w:type="dxa"/>
            </w:tcMar>
            <w:vAlign w:val="center"/>
          </w:tcPr>
          <w:p w14:paraId="60257DDC" w14:textId="2C64E369" w:rsidR="005D35AC" w:rsidRPr="0098629B" w:rsidRDefault="00851EB9" w:rsidP="005D35AC">
            <w:pPr>
              <w:jc w:val="right"/>
              <w:rPr>
                <w:color w:val="000000"/>
                <w:sz w:val="18"/>
                <w:szCs w:val="18"/>
              </w:rPr>
            </w:pPr>
            <w:r w:rsidRPr="005B54EE">
              <w:rPr>
                <w:sz w:val="18"/>
              </w:rPr>
              <w:t>0.00</w:t>
            </w:r>
          </w:p>
        </w:tc>
      </w:tr>
      <w:tr w:rsidR="005D35AC" w:rsidRPr="00757301" w14:paraId="71B8F4EE" w14:textId="77777777" w:rsidTr="005D35AC">
        <w:trPr>
          <w:trHeight w:val="300"/>
        </w:trPr>
        <w:tc>
          <w:tcPr>
            <w:tcW w:w="9863" w:type="dxa"/>
            <w:gridSpan w:val="2"/>
            <w:tcBorders>
              <w:top w:val="single" w:sz="4" w:space="0" w:color="B8B8B8"/>
              <w:left w:val="single" w:sz="4" w:space="0" w:color="B8B8B8"/>
              <w:bottom w:val="single" w:sz="4" w:space="0" w:color="00000A"/>
              <w:right w:val="single" w:sz="4" w:space="0" w:color="B8B8B8"/>
            </w:tcBorders>
            <w:shd w:val="clear" w:color="auto" w:fill="auto"/>
            <w:tcMar>
              <w:left w:w="0" w:type="dxa"/>
            </w:tcMar>
            <w:vAlign w:val="center"/>
          </w:tcPr>
          <w:p w14:paraId="35F777BA" w14:textId="77777777" w:rsidR="005D35AC" w:rsidRPr="0098629B" w:rsidRDefault="005D35AC" w:rsidP="005D35AC">
            <w:pPr>
              <w:rPr>
                <w:color w:val="000000"/>
                <w:sz w:val="18"/>
                <w:szCs w:val="18"/>
                <w:lang w:val="en-US"/>
              </w:rPr>
            </w:pPr>
            <w:r w:rsidRPr="0098629B">
              <w:rPr>
                <w:sz w:val="18"/>
                <w:szCs w:val="18"/>
                <w:lang w:val="en-US"/>
              </w:rPr>
              <w:t>Other mechanism units under the Convention (specify)</w:t>
            </w:r>
            <w:r w:rsidRPr="0098629B">
              <w:rPr>
                <w:color w:val="000000"/>
                <w:sz w:val="18"/>
                <w:szCs w:val="18"/>
                <w:vertAlign w:val="superscript"/>
                <w:lang w:val="en-US"/>
              </w:rPr>
              <w:t>d</w:t>
            </w:r>
          </w:p>
        </w:tc>
      </w:tr>
      <w:tr w:rsidR="005D35AC" w:rsidRPr="00757301" w14:paraId="03601AF2" w14:textId="77777777" w:rsidTr="005D35AC">
        <w:trPr>
          <w:trHeight w:val="300"/>
        </w:trPr>
        <w:tc>
          <w:tcPr>
            <w:tcW w:w="5924" w:type="dxa"/>
            <w:shd w:val="clear" w:color="auto" w:fill="auto"/>
          </w:tcPr>
          <w:p w14:paraId="5F9950E9" w14:textId="77777777" w:rsidR="005D35AC" w:rsidRPr="0098629B" w:rsidRDefault="005D35AC" w:rsidP="005D35AC">
            <w:pPr>
              <w:rPr>
                <w:color w:val="000000"/>
                <w:sz w:val="18"/>
                <w:szCs w:val="18"/>
                <w:lang w:val="en-US"/>
              </w:rPr>
            </w:pPr>
          </w:p>
        </w:tc>
        <w:tc>
          <w:tcPr>
            <w:tcW w:w="3939" w:type="dxa"/>
            <w:shd w:val="clear" w:color="auto" w:fill="auto"/>
          </w:tcPr>
          <w:p w14:paraId="17C1DDA1" w14:textId="77777777" w:rsidR="005D35AC" w:rsidRPr="0098629B" w:rsidRDefault="005D35AC" w:rsidP="005D35AC">
            <w:pPr>
              <w:jc w:val="right"/>
              <w:rPr>
                <w:color w:val="000000"/>
                <w:sz w:val="18"/>
                <w:szCs w:val="18"/>
                <w:lang w:val="en-US"/>
              </w:rPr>
            </w:pPr>
          </w:p>
        </w:tc>
      </w:tr>
      <w:tr w:rsidR="005D35AC" w:rsidRPr="0098629B" w14:paraId="3F897AC3" w14:textId="77777777" w:rsidTr="005D35AC">
        <w:trPr>
          <w:trHeight w:val="300"/>
        </w:trPr>
        <w:tc>
          <w:tcPr>
            <w:tcW w:w="9863" w:type="dxa"/>
            <w:gridSpan w:val="2"/>
            <w:shd w:val="clear" w:color="auto" w:fill="auto"/>
            <w:vAlign w:val="bottom"/>
          </w:tcPr>
          <w:p w14:paraId="18F664E6" w14:textId="77777777" w:rsidR="005D35AC" w:rsidRPr="0098629B" w:rsidRDefault="005D35AC" w:rsidP="005D35AC">
            <w:pPr>
              <w:jc w:val="left"/>
              <w:rPr>
                <w:i/>
                <w:iCs/>
                <w:color w:val="000000"/>
                <w:sz w:val="18"/>
                <w:szCs w:val="18"/>
                <w:lang w:val="en-US"/>
              </w:rPr>
            </w:pPr>
            <w:r w:rsidRPr="0098629B">
              <w:rPr>
                <w:i/>
                <w:iCs/>
                <w:color w:val="000000"/>
                <w:sz w:val="18"/>
                <w:szCs w:val="18"/>
                <w:lang w:val="en-US"/>
              </w:rPr>
              <w:t>Abbreviations</w:t>
            </w:r>
            <w:r w:rsidRPr="0098629B">
              <w:rPr>
                <w:color w:val="000000"/>
                <w:sz w:val="18"/>
                <w:szCs w:val="18"/>
                <w:lang w:val="en-US"/>
              </w:rPr>
              <w:t xml:space="preserve">: </w:t>
            </w:r>
            <w:r w:rsidRPr="0098629B">
              <w:rPr>
                <w:color w:val="000000"/>
                <w:sz w:val="18"/>
                <w:szCs w:val="18"/>
                <w:lang w:val="en-US"/>
              </w:rPr>
              <w:br/>
              <w:t xml:space="preserve">AAU = assigned amount unit, </w:t>
            </w:r>
            <w:r w:rsidRPr="0098629B">
              <w:rPr>
                <w:color w:val="000000"/>
                <w:sz w:val="18"/>
                <w:szCs w:val="18"/>
                <w:lang w:val="en-US"/>
              </w:rPr>
              <w:br/>
              <w:t xml:space="preserve">CER = certified emission reduction, </w:t>
            </w:r>
            <w:r w:rsidRPr="0098629B">
              <w:rPr>
                <w:color w:val="000000"/>
                <w:sz w:val="18"/>
                <w:szCs w:val="18"/>
                <w:lang w:val="en-US"/>
              </w:rPr>
              <w:br/>
              <w:t>ERU = emission reduction unit.</w:t>
            </w:r>
          </w:p>
        </w:tc>
      </w:tr>
    </w:tbl>
    <w:p w14:paraId="18374EF4" w14:textId="77777777" w:rsidR="005D35AC" w:rsidRPr="0098629B" w:rsidRDefault="005D35AC" w:rsidP="005D35AC">
      <w:pPr>
        <w:rPr>
          <w:rFonts w:cs="Arial"/>
          <w:sz w:val="18"/>
          <w:szCs w:val="18"/>
          <w:lang w:val="en-US"/>
        </w:rPr>
      </w:pPr>
    </w:p>
    <w:tbl>
      <w:tblPr>
        <w:tblW w:w="5000" w:type="pct"/>
        <w:tblCellMar>
          <w:left w:w="70" w:type="dxa"/>
          <w:right w:w="70" w:type="dxa"/>
        </w:tblCellMar>
        <w:tblLook w:val="00A0" w:firstRow="1" w:lastRow="0" w:firstColumn="1" w:lastColumn="0" w:noHBand="0" w:noVBand="0"/>
      </w:tblPr>
      <w:tblGrid>
        <w:gridCol w:w="9950"/>
      </w:tblGrid>
      <w:tr w:rsidR="005D35AC" w:rsidRPr="00757301" w14:paraId="7CE14831" w14:textId="77777777" w:rsidTr="005D35AC">
        <w:trPr>
          <w:trHeight w:val="975"/>
        </w:trPr>
        <w:tc>
          <w:tcPr>
            <w:tcW w:w="9864" w:type="dxa"/>
            <w:shd w:val="clear" w:color="auto" w:fill="auto"/>
          </w:tcPr>
          <w:p w14:paraId="1CDC9E64" w14:textId="77777777" w:rsidR="005D35AC" w:rsidRPr="0098629B" w:rsidRDefault="005D35AC" w:rsidP="005D35AC">
            <w:pPr>
              <w:rPr>
                <w:color w:val="000000"/>
                <w:sz w:val="18"/>
                <w:szCs w:val="18"/>
                <w:lang w:val="en-US"/>
              </w:rPr>
            </w:pPr>
            <w:r w:rsidRPr="0098629B">
              <w:rPr>
                <w:i/>
                <w:iCs/>
                <w:color w:val="000000"/>
                <w:sz w:val="18"/>
                <w:szCs w:val="18"/>
                <w:vertAlign w:val="superscript"/>
                <w:lang w:val="en-US"/>
              </w:rPr>
              <w:t xml:space="preserve">a   </w:t>
            </w:r>
            <w:r w:rsidRPr="0098629B">
              <w:rPr>
                <w:color w:val="000000"/>
                <w:sz w:val="18"/>
                <w:szCs w:val="18"/>
                <w:lang w:val="en-US"/>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14:paraId="56B51B33" w14:textId="77777777" w:rsidR="005D35AC" w:rsidRPr="0098629B" w:rsidRDefault="005D35AC" w:rsidP="005D35AC">
            <w:pPr>
              <w:rPr>
                <w:i/>
                <w:iCs/>
                <w:color w:val="000000"/>
                <w:sz w:val="18"/>
                <w:szCs w:val="18"/>
                <w:lang w:val="en-US"/>
              </w:rPr>
            </w:pPr>
          </w:p>
        </w:tc>
      </w:tr>
      <w:tr w:rsidR="005D35AC" w:rsidRPr="00757301" w14:paraId="13F07052" w14:textId="77777777" w:rsidTr="005D35AC">
        <w:trPr>
          <w:trHeight w:val="300"/>
        </w:trPr>
        <w:tc>
          <w:tcPr>
            <w:tcW w:w="9864" w:type="dxa"/>
            <w:shd w:val="clear" w:color="auto" w:fill="auto"/>
          </w:tcPr>
          <w:p w14:paraId="699B89BE" w14:textId="77777777" w:rsidR="005D35AC" w:rsidRPr="0098629B" w:rsidRDefault="005D35AC" w:rsidP="005D35AC">
            <w:pPr>
              <w:rPr>
                <w:color w:val="000000"/>
                <w:sz w:val="18"/>
                <w:szCs w:val="18"/>
                <w:lang w:val="en-US"/>
              </w:rPr>
            </w:pPr>
            <w:r w:rsidRPr="0098629B">
              <w:rPr>
                <w:i/>
                <w:iCs/>
                <w:color w:val="000000"/>
                <w:sz w:val="18"/>
                <w:szCs w:val="18"/>
                <w:vertAlign w:val="superscript"/>
                <w:lang w:val="en-US"/>
              </w:rPr>
              <w:t xml:space="preserve">d   </w:t>
            </w:r>
            <w:r w:rsidRPr="0098629B">
              <w:rPr>
                <w:color w:val="000000"/>
                <w:sz w:val="18"/>
                <w:szCs w:val="18"/>
                <w:lang w:val="en-US"/>
              </w:rPr>
              <w:t>As indicated in paragraph 5(e) of the guidelines contained in annex I of decision 2/CP.17 .</w:t>
            </w:r>
          </w:p>
          <w:p w14:paraId="0F00274D" w14:textId="77777777" w:rsidR="005D35AC" w:rsidRPr="0098629B" w:rsidRDefault="005D35AC" w:rsidP="005D35AC">
            <w:pPr>
              <w:rPr>
                <w:i/>
                <w:iCs/>
                <w:color w:val="000000"/>
                <w:sz w:val="18"/>
                <w:szCs w:val="18"/>
                <w:lang w:val="en-US"/>
              </w:rPr>
            </w:pPr>
          </w:p>
        </w:tc>
      </w:tr>
      <w:tr w:rsidR="005D35AC" w:rsidRPr="00757301" w14:paraId="6261E4AF" w14:textId="77777777" w:rsidTr="005D35AC">
        <w:trPr>
          <w:trHeight w:val="300"/>
        </w:trPr>
        <w:tc>
          <w:tcPr>
            <w:tcW w:w="9864" w:type="dxa"/>
            <w:shd w:val="clear" w:color="auto" w:fill="auto"/>
          </w:tcPr>
          <w:p w14:paraId="0A11A7E0" w14:textId="77777777" w:rsidR="005D35AC" w:rsidRPr="0098629B" w:rsidRDefault="005D35AC" w:rsidP="005D35AC">
            <w:pPr>
              <w:rPr>
                <w:i/>
                <w:iCs/>
                <w:color w:val="000000"/>
                <w:sz w:val="18"/>
                <w:szCs w:val="18"/>
                <w:lang w:val="en-US"/>
              </w:rPr>
            </w:pPr>
            <w:r w:rsidRPr="0098629B">
              <w:rPr>
                <w:i/>
                <w:iCs/>
                <w:color w:val="000000"/>
                <w:sz w:val="18"/>
                <w:szCs w:val="18"/>
                <w:vertAlign w:val="superscript"/>
                <w:lang w:val="en-US"/>
              </w:rPr>
              <w:t xml:space="preserve">i   </w:t>
            </w:r>
            <w:r w:rsidRPr="0098629B">
              <w:rPr>
                <w:color w:val="000000"/>
                <w:sz w:val="18"/>
                <w:szCs w:val="18"/>
                <w:lang w:val="en-US"/>
              </w:rPr>
              <w:t>AAUs issued to or purchased by a Party.</w:t>
            </w:r>
          </w:p>
        </w:tc>
      </w:tr>
      <w:tr w:rsidR="005D35AC" w:rsidRPr="00757301" w14:paraId="69782F54" w14:textId="77777777" w:rsidTr="005D35AC">
        <w:trPr>
          <w:trHeight w:val="577"/>
        </w:trPr>
        <w:tc>
          <w:tcPr>
            <w:tcW w:w="9864" w:type="dxa"/>
            <w:shd w:val="clear" w:color="auto" w:fill="auto"/>
          </w:tcPr>
          <w:p w14:paraId="608F0323" w14:textId="77777777" w:rsidR="005D35AC" w:rsidRPr="0098629B" w:rsidRDefault="005D35AC" w:rsidP="005D35AC">
            <w:pPr>
              <w:rPr>
                <w:lang w:val="en-US"/>
              </w:rPr>
            </w:pPr>
            <w:r w:rsidRPr="0098629B">
              <w:rPr>
                <w:i/>
                <w:iCs/>
                <w:color w:val="000000"/>
                <w:sz w:val="18"/>
                <w:szCs w:val="18"/>
                <w:vertAlign w:val="superscript"/>
                <w:lang w:val="en-US"/>
              </w:rPr>
              <w:t xml:space="preserve">j   </w:t>
            </w:r>
            <w:r w:rsidRPr="0098629B">
              <w:rPr>
                <w:color w:val="000000"/>
                <w:sz w:val="18"/>
                <w:szCs w:val="18"/>
                <w:lang w:val="en-US"/>
              </w:rPr>
              <w:t xml:space="preserve">Units carried over from the first to the second commitment periods of the Kyoto Protocol, as described in decision 13/CMP.1 and consistent with decision 1/CMP.8. </w:t>
            </w:r>
          </w:p>
        </w:tc>
      </w:tr>
    </w:tbl>
    <w:p w14:paraId="05C194FD" w14:textId="7C08B770" w:rsidR="0051771F" w:rsidRPr="0098629B" w:rsidRDefault="0051771F" w:rsidP="005D35AC">
      <w:pPr>
        <w:rPr>
          <w:lang w:val="en-GB"/>
        </w:rPr>
      </w:pPr>
      <w:r w:rsidRPr="0098629B">
        <w:rPr>
          <w:lang w:val="en-GB"/>
        </w:rPr>
        <w:br w:type="page"/>
      </w:r>
    </w:p>
    <w:p w14:paraId="310BAE04" w14:textId="77777777" w:rsidR="00630A34" w:rsidRPr="0098629B" w:rsidRDefault="00630A34" w:rsidP="007C589E">
      <w:pPr>
        <w:pStyle w:val="Titre1Niveau1"/>
      </w:pPr>
      <w:r w:rsidRPr="00757301">
        <w:lastRenderedPageBreak/>
        <w:br w:type="page"/>
      </w:r>
      <w:bookmarkStart w:id="35" w:name="ChapIII"/>
      <w:bookmarkStart w:id="36" w:name="_Toc121149501"/>
      <w:bookmarkStart w:id="37" w:name="_Toc138344587"/>
      <w:bookmarkEnd w:id="35"/>
      <w:r w:rsidRPr="0098629B">
        <w:lastRenderedPageBreak/>
        <w:t>Chapitre III – Progrès dans l’atteinte des objectifs chiffrés et informations pertinentes – actions d’atténuation</w:t>
      </w:r>
      <w:bookmarkEnd w:id="36"/>
      <w:bookmarkEnd w:id="37"/>
    </w:p>
    <w:p w14:paraId="281F9703" w14:textId="77777777" w:rsidR="00630A34" w:rsidRPr="0098629B" w:rsidRDefault="00630A34" w:rsidP="00573042">
      <w:pPr>
        <w:pStyle w:val="Titre2Niveau2"/>
        <w:numPr>
          <w:ilvl w:val="0"/>
          <w:numId w:val="21"/>
        </w:numPr>
      </w:pPr>
      <w:bookmarkStart w:id="38" w:name="_Toc121149502"/>
      <w:bookmarkStart w:id="39" w:name="_Toc138344588"/>
      <w:r w:rsidRPr="0098629B">
        <w:t>Introduction</w:t>
      </w:r>
      <w:bookmarkEnd w:id="38"/>
      <w:bookmarkEnd w:id="39"/>
    </w:p>
    <w:p w14:paraId="5EF11379" w14:textId="3B1DA7A6" w:rsidR="00630A34" w:rsidRPr="0098629B" w:rsidRDefault="00630A34" w:rsidP="00630A34">
      <w:r w:rsidRPr="0098629B">
        <w:t xml:space="preserve">L'UE a largement dépassé son objectif de réduction </w:t>
      </w:r>
      <w:r w:rsidR="00776ED7" w:rsidRPr="0098629B">
        <w:t xml:space="preserve">pour 2020 pris </w:t>
      </w:r>
      <w:r w:rsidRPr="0098629B">
        <w:t xml:space="preserve">au titre de la </w:t>
      </w:r>
      <w:r w:rsidR="00776ED7" w:rsidRPr="0098629B">
        <w:t>C</w:t>
      </w:r>
      <w:r w:rsidRPr="0098629B">
        <w:t xml:space="preserve">onvention, ce qui signifie que ses États membres et le Royaume-Uni ont également rempli leurs obligations en matière de réduction des émissions. Comme l'indique la présentation de l'inventaire des GES de l'UE pour 2022 à la CCNUCC, les émissions totales de GES, hors UTCF et y compris l'aviation internationale, ont diminué </w:t>
      </w:r>
      <w:r w:rsidR="00B04A7C" w:rsidRPr="0098629B">
        <w:t xml:space="preserve">en 2020 </w:t>
      </w:r>
      <w:r w:rsidRPr="0098629B">
        <w:t xml:space="preserve">de 34 % dans l'UE-27 + Royaume-Uni par rapport à l'année de référence 1990, soit 1,94 milliard de tonnes de </w:t>
      </w:r>
      <w:r w:rsidR="00811B0F" w:rsidRPr="0098629B">
        <w:t>CO</w:t>
      </w:r>
      <w:r w:rsidR="00811B0F" w:rsidRPr="0098629B">
        <w:rPr>
          <w:vertAlign w:val="subscript"/>
        </w:rPr>
        <w:t>2</w:t>
      </w:r>
      <w:r w:rsidR="00891B49" w:rsidRPr="0098629B">
        <w:rPr>
          <w:vertAlign w:val="subscript"/>
        </w:rPr>
        <w:t>e</w:t>
      </w:r>
      <w:r w:rsidRPr="0098629B">
        <w:t xml:space="preserve"> (équivalent dioxyde de carbone).</w:t>
      </w:r>
    </w:p>
    <w:p w14:paraId="75D92917" w14:textId="270A553D" w:rsidR="00117FAB" w:rsidRPr="0098629B" w:rsidRDefault="00117FAB" w:rsidP="00630A34"/>
    <w:p w14:paraId="3507868C" w14:textId="77777777" w:rsidR="00117FAB" w:rsidRPr="0098629B" w:rsidRDefault="00117FAB" w:rsidP="00630A34">
      <w:r w:rsidRPr="0098629B">
        <w:t>Cette partie récapitule l’ensemble des politiques et mesures mises en place par la France dans le domaine de la réduction de ses émissions de GES en mettant l’accent sur les mesures déployées depuis le quatrième rapport bisannuel.</w:t>
      </w:r>
    </w:p>
    <w:p w14:paraId="24449B48" w14:textId="108E7421" w:rsidR="00117FAB" w:rsidRPr="0098629B" w:rsidRDefault="00117FAB" w:rsidP="00630A34">
      <w:r w:rsidRPr="0098629B">
        <w:t>La section B reprend les principales dispositions en matière de gouvernance de la politique climat de la France, en particulier la Stratégie Nationale Bas Carbone (SNBC) qui fixe différentes séquences de budget carbone mais aussi le plus récent chantier de planification écologique. Sont également indiquées les outils institutionnels de suivi de l’atteinte des objectifs que la France se fixe. L’action de la France s’inscrit dans un cadre européen de diverses législations qui sont reprises dans cette même section. La section C détaille les politiques et mesures par secteur.</w:t>
      </w:r>
    </w:p>
    <w:p w14:paraId="6184EA70" w14:textId="77777777" w:rsidR="00630A34" w:rsidRPr="0098629B" w:rsidRDefault="00630A34" w:rsidP="004D2261">
      <w:pPr>
        <w:pStyle w:val="Titre2Niveau2"/>
      </w:pPr>
      <w:bookmarkStart w:id="40" w:name="_Toc121149503"/>
      <w:bookmarkStart w:id="41" w:name="_Toc138344589"/>
      <w:r w:rsidRPr="0098629B">
        <w:t>Conception des politiques et mesures et évolutions institutionnelles pour l’atteinte des objectifs climatiques</w:t>
      </w:r>
      <w:bookmarkEnd w:id="40"/>
      <w:bookmarkEnd w:id="41"/>
    </w:p>
    <w:p w14:paraId="4322B097" w14:textId="77777777" w:rsidR="00630A34" w:rsidRPr="0098629B" w:rsidRDefault="00630A34" w:rsidP="00B04A7C">
      <w:pPr>
        <w:pStyle w:val="Titre3Niveau3"/>
      </w:pPr>
      <w:bookmarkStart w:id="42" w:name="_Toc121149504"/>
      <w:bookmarkStart w:id="43" w:name="_Toc138344590"/>
      <w:r w:rsidRPr="0098629B">
        <w:t>Les fondements institutionnels</w:t>
      </w:r>
      <w:bookmarkEnd w:id="42"/>
      <w:bookmarkEnd w:id="43"/>
    </w:p>
    <w:p w14:paraId="24DD6BE5" w14:textId="77777777" w:rsidR="00630A34" w:rsidRPr="0098629B" w:rsidRDefault="00630A34" w:rsidP="004D2261">
      <w:pPr>
        <w:pStyle w:val="Titre4niveau4"/>
      </w:pPr>
      <w:r w:rsidRPr="0098629B">
        <w:t>Au niveau de l’Etat</w:t>
      </w:r>
    </w:p>
    <w:p w14:paraId="5BDE7344" w14:textId="77777777" w:rsidR="000863E6" w:rsidRPr="0098629B" w:rsidRDefault="000863E6" w:rsidP="000863E6">
      <w:pPr>
        <w:pStyle w:val="BodyText"/>
        <w:rPr>
          <w:rFonts w:asciiTheme="minorHAnsi" w:hAnsiTheme="minorHAnsi"/>
          <w:sz w:val="22"/>
        </w:rPr>
      </w:pPr>
      <w:r w:rsidRPr="0098629B">
        <w:rPr>
          <w:rFonts w:asciiTheme="minorHAnsi" w:eastAsia="Times New Roman" w:hAnsiTheme="minorHAnsi" w:cs="Times New Roman"/>
          <w:sz w:val="22"/>
        </w:rPr>
        <w:t xml:space="preserve">Face à l’urgence climatique, le Président de la République a engagé la France dans la planification écologique et a confié à la Première ministre </w:t>
      </w:r>
      <w:r w:rsidRPr="0098629B">
        <w:rPr>
          <w:rFonts w:asciiTheme="minorHAnsi" w:hAnsiTheme="minorHAnsi" w:cs="Times New Roman"/>
          <w:sz w:val="22"/>
        </w:rPr>
        <w:t>le rôle stratégique de coordonner ce chantier</w:t>
      </w:r>
      <w:r w:rsidRPr="0098629B">
        <w:rPr>
          <w:rFonts w:asciiTheme="minorHAnsi" w:eastAsia="Times New Roman" w:hAnsiTheme="minorHAnsi" w:cs="Times New Roman"/>
          <w:sz w:val="22"/>
        </w:rPr>
        <w:t>. La planification écologique, c’est un grand mouvement de la société pour atteindre nos objectifs sur le climat, sur la biodiversité et la réduction des pollutions, en mobilisant tous les acteurs : l’Etat, les entreprises, les collectivités territoriales. Pour mener à bien ce chantier, e</w:t>
      </w:r>
      <w:r w:rsidRPr="0098629B">
        <w:rPr>
          <w:rFonts w:asciiTheme="minorHAnsi" w:hAnsiTheme="minorHAnsi"/>
          <w:sz w:val="22"/>
        </w:rPr>
        <w:t xml:space="preserve">n mai 2022, la </w:t>
      </w:r>
      <w:r w:rsidRPr="0098629B">
        <w:rPr>
          <w:rFonts w:asciiTheme="minorHAnsi" w:eastAsia="Times New Roman" w:hAnsiTheme="minorHAnsi" w:cs="Times New Roman"/>
          <w:sz w:val="22"/>
        </w:rPr>
        <w:t xml:space="preserve">Première ministre </w:t>
      </w:r>
      <w:r w:rsidRPr="0098629B">
        <w:rPr>
          <w:rFonts w:asciiTheme="minorHAnsi" w:hAnsiTheme="minorHAnsi"/>
          <w:sz w:val="22"/>
        </w:rPr>
        <w:t>a annoncé la création d’un Secrétariat général à la Planification écologique. Placé auprès d’elle, il est chargé de</w:t>
      </w:r>
      <w:r w:rsidRPr="0098629B">
        <w:rPr>
          <w:rFonts w:ascii="Calibri" w:hAnsi="Calibri" w:cs="Calibri"/>
          <w:sz w:val="22"/>
        </w:rPr>
        <w:t> </w:t>
      </w:r>
      <w:r w:rsidRPr="0098629B">
        <w:rPr>
          <w:rFonts w:asciiTheme="minorHAnsi" w:hAnsiTheme="minorHAnsi"/>
          <w:sz w:val="22"/>
        </w:rPr>
        <w:t xml:space="preserve">: </w:t>
      </w:r>
    </w:p>
    <w:p w14:paraId="7FF8CD0B" w14:textId="30AA7E5F" w:rsidR="000863E6" w:rsidRPr="0098629B" w:rsidRDefault="00117FAB" w:rsidP="00573042">
      <w:pPr>
        <w:pStyle w:val="ListParagraph"/>
        <w:numPr>
          <w:ilvl w:val="0"/>
          <w:numId w:val="15"/>
        </w:numPr>
        <w:spacing w:before="240" w:after="240"/>
        <w:rPr>
          <w:lang w:eastAsia="en-US"/>
        </w:rPr>
      </w:pPr>
      <w:r w:rsidRPr="0098629B">
        <w:rPr>
          <w:lang w:eastAsia="en-US"/>
        </w:rPr>
        <w:t>C</w:t>
      </w:r>
      <w:r w:rsidR="000863E6" w:rsidRPr="0098629B">
        <w:rPr>
          <w:lang w:eastAsia="en-US"/>
        </w:rPr>
        <w:t>oordonner l'élaboration des stratégies nationales en matière de climat, d'énergie, de biodiversité et d'économie circulaire, en s'assurant du respect des engagements européens et internationaux de la France. Il veille en particulier à la soutenabilité de ces stratégies et à leur différenciation, afin de s'adapter aux particularités de chaque territoire et d'intégrer les enjeux économiques et sociaux ;</w:t>
      </w:r>
    </w:p>
    <w:p w14:paraId="06DF1AEE" w14:textId="17BED1DD" w:rsidR="000863E6" w:rsidRPr="0098629B" w:rsidRDefault="00117FAB" w:rsidP="00573042">
      <w:pPr>
        <w:pStyle w:val="ListParagraph"/>
        <w:numPr>
          <w:ilvl w:val="0"/>
          <w:numId w:val="15"/>
        </w:numPr>
        <w:spacing w:before="240" w:after="240"/>
        <w:rPr>
          <w:lang w:eastAsia="en-US"/>
        </w:rPr>
      </w:pPr>
      <w:r w:rsidRPr="0098629B">
        <w:rPr>
          <w:lang w:eastAsia="en-US"/>
        </w:rPr>
        <w:t>V</w:t>
      </w:r>
      <w:r w:rsidR="000863E6" w:rsidRPr="0098629B">
        <w:rPr>
          <w:lang w:eastAsia="en-US"/>
        </w:rPr>
        <w:t>eiller à la mise en œuvre de ces stratégies par l'ensemble des ministères concernés et à leur déclinaison en plans d'actions ;</w:t>
      </w:r>
    </w:p>
    <w:p w14:paraId="3818E0B9" w14:textId="0E85CC7A" w:rsidR="000863E6" w:rsidRPr="0098629B" w:rsidRDefault="00117FAB" w:rsidP="00573042">
      <w:pPr>
        <w:pStyle w:val="ListParagraph"/>
        <w:numPr>
          <w:ilvl w:val="0"/>
          <w:numId w:val="15"/>
        </w:numPr>
        <w:spacing w:before="240" w:after="240"/>
        <w:rPr>
          <w:lang w:eastAsia="en-US"/>
        </w:rPr>
      </w:pPr>
      <w:r w:rsidRPr="0098629B">
        <w:rPr>
          <w:lang w:eastAsia="en-US"/>
        </w:rPr>
        <w:t>V</w:t>
      </w:r>
      <w:r w:rsidR="000863E6" w:rsidRPr="0098629B">
        <w:rPr>
          <w:lang w:eastAsia="en-US"/>
        </w:rPr>
        <w:t>eiller à l'évaluation régulière des politiques menées au titre de ces stratégies et des plans d'action et à la publication d'indicateurs pour en rendre compte ;</w:t>
      </w:r>
    </w:p>
    <w:p w14:paraId="2D71DEE4" w14:textId="3E0218D8" w:rsidR="000863E6" w:rsidRPr="0098629B" w:rsidRDefault="00117FAB" w:rsidP="00573042">
      <w:pPr>
        <w:pStyle w:val="ListParagraph"/>
        <w:numPr>
          <w:ilvl w:val="0"/>
          <w:numId w:val="15"/>
        </w:numPr>
        <w:spacing w:before="240" w:after="240"/>
        <w:rPr>
          <w:lang w:eastAsia="en-US"/>
        </w:rPr>
      </w:pPr>
      <w:r w:rsidRPr="0098629B">
        <w:rPr>
          <w:lang w:eastAsia="en-US"/>
        </w:rPr>
        <w:lastRenderedPageBreak/>
        <w:t>V</w:t>
      </w:r>
      <w:r w:rsidR="000863E6" w:rsidRPr="0098629B">
        <w:rPr>
          <w:lang w:eastAsia="en-US"/>
        </w:rPr>
        <w:t>eiller à la cohérence de l'ensemble des politiques publiques avec les stratégies susmentionnées ;</w:t>
      </w:r>
    </w:p>
    <w:p w14:paraId="0480A7D3" w14:textId="717FFCF8" w:rsidR="000863E6" w:rsidRPr="0098629B" w:rsidRDefault="00117FAB" w:rsidP="00573042">
      <w:pPr>
        <w:pStyle w:val="ListParagraph"/>
        <w:numPr>
          <w:ilvl w:val="0"/>
          <w:numId w:val="15"/>
        </w:numPr>
        <w:spacing w:before="240" w:after="240"/>
        <w:rPr>
          <w:rFonts w:asciiTheme="minorHAnsi" w:hAnsiTheme="minorHAnsi"/>
        </w:rPr>
      </w:pPr>
      <w:r w:rsidRPr="0098629B">
        <w:rPr>
          <w:lang w:eastAsia="en-US"/>
        </w:rPr>
        <w:t>P</w:t>
      </w:r>
      <w:r w:rsidR="000863E6" w:rsidRPr="0098629B">
        <w:rPr>
          <w:lang w:eastAsia="en-US"/>
        </w:rPr>
        <w:t>réparer et coordonner les saisines et les réponses du Gouvernement aux avis du Haut Conseil pour le climat.</w:t>
      </w:r>
    </w:p>
    <w:p w14:paraId="56B2F8B5" w14:textId="77777777" w:rsidR="000863E6" w:rsidRPr="0098629B" w:rsidRDefault="000863E6" w:rsidP="000863E6">
      <w:pPr>
        <w:spacing w:before="240" w:after="240"/>
        <w:rPr>
          <w:lang w:eastAsia="en-US"/>
        </w:rPr>
      </w:pPr>
      <w:r w:rsidRPr="0098629B">
        <w:rPr>
          <w:lang w:eastAsia="en-US"/>
        </w:rPr>
        <w:t>Le ministère de la Transition écologique et de la Cohésion des territoires (MTECT) et le ministère de la Transition énergétique (MTE) ont pour ambition de répondre aux enjeux environnementaux et climatiques du XXIe siècle. La coordination et l’animation de la politique domestique de lutte contre le changement climatique relèvent du Service climat et efficacité énergétique (SCEE) au sein de la Direction générale de l’énergie et du climat (DGEC), notamment via son département de lutte contre l’effet de serre (DLCES).</w:t>
      </w:r>
    </w:p>
    <w:p w14:paraId="2AFC144B" w14:textId="77777777" w:rsidR="000863E6" w:rsidRPr="0098629B" w:rsidRDefault="000863E6" w:rsidP="000863E6">
      <w:pPr>
        <w:spacing w:before="240" w:after="240"/>
        <w:rPr>
          <w:lang w:eastAsia="en-US"/>
        </w:rPr>
      </w:pPr>
      <w:r w:rsidRPr="0098629B">
        <w:rPr>
          <w:lang w:eastAsia="en-US"/>
        </w:rPr>
        <w:t>Concernant la politique en matière d’adaptation, l’Observatoire national sur les effets du réchauffement climatique (Onerc), créé le 21 février 2001 à l’initiative du Parlement, a pour mission la collecte et la diffusion d’informations sur le réchauffement et les phénomènes climatiques extrêmes. Il est rattaché à la DGEC.</w:t>
      </w:r>
    </w:p>
    <w:p w14:paraId="23A3413D" w14:textId="77777777" w:rsidR="000863E6" w:rsidRPr="0098629B" w:rsidRDefault="000863E6" w:rsidP="000863E6">
      <w:pPr>
        <w:spacing w:before="240" w:after="240"/>
        <w:rPr>
          <w:lang w:eastAsia="en-US"/>
        </w:rPr>
      </w:pPr>
      <w:r w:rsidRPr="0098629B">
        <w:rPr>
          <w:lang w:eastAsia="en-US"/>
        </w:rPr>
        <w:t>D'autres ministères apportent une contribution essentielle à la mise en œuvre de la politique climatique nationale, notamment le ministère de l’Agriculture et de la Souveraineté alimentaire, le ministère de l'Économie et des Finances, et le ministère de l’Enseignement supérieur et de la Recherche.</w:t>
      </w:r>
    </w:p>
    <w:p w14:paraId="490A7948" w14:textId="77777777" w:rsidR="000863E6" w:rsidRPr="0098629B" w:rsidRDefault="000863E6" w:rsidP="000863E6">
      <w:pPr>
        <w:spacing w:before="240" w:after="240"/>
        <w:rPr>
          <w:lang w:eastAsia="en-US"/>
        </w:rPr>
      </w:pPr>
      <w:r w:rsidRPr="0098629B">
        <w:rPr>
          <w:lang w:eastAsia="en-US"/>
        </w:rPr>
        <w:t>Des établissements publics sont également impliqués dans la mise en œuvre des politiques publiques climatiques. En particulier, l’Agence de la transition écologique (Ademe) met à disposition des entreprises, des collectivités locales, des pouvoirs publics et du grand public, ses capacités d'expertise et de conseil et participe au financement de projets. L’Agence nationale de l’habitat (ANAH) accompagne et finance la rénovation énergétique des logements des ménages les plus modestes. Enfin, l’Agence française de développement (AFD) travaille à la mise en œuvre de la finance Climat de la France dans les pays en développement.</w:t>
      </w:r>
    </w:p>
    <w:p w14:paraId="31DB9ADF" w14:textId="77777777" w:rsidR="000863E6" w:rsidRPr="0098629B" w:rsidRDefault="000863E6" w:rsidP="000863E6">
      <w:pPr>
        <w:spacing w:before="240" w:after="240"/>
        <w:rPr>
          <w:lang w:eastAsia="en-US"/>
        </w:rPr>
      </w:pPr>
      <w:r w:rsidRPr="0098629B">
        <w:rPr>
          <w:lang w:eastAsia="en-US"/>
        </w:rPr>
        <w:t xml:space="preserve">À l’initiative du Président de la République, le décret du 14 mai 2019 a créé le Haut Conseil pour le Climat, organisme indépendant chargé de conseiller les décideurs politiques sur les orientations de moyen et long termes et d’émettre des avis et recommandations sur la mise en œuvre des politiques et mesures visant la réduction des émissions de gaz à effet de serre nationales et d’apprécier leur cohérence avec les objectifs de la France sur le climat. </w:t>
      </w:r>
    </w:p>
    <w:p w14:paraId="3BED3FB2" w14:textId="6D577A48" w:rsidR="00630A34" w:rsidRPr="0098629B" w:rsidRDefault="000863E6" w:rsidP="000863E6">
      <w:pPr>
        <w:spacing w:before="240" w:after="240"/>
        <w:rPr>
          <w:lang w:eastAsia="en-US"/>
        </w:rPr>
      </w:pPr>
      <w:r w:rsidRPr="0098629B">
        <w:rPr>
          <w:lang w:eastAsia="en-US"/>
        </w:rPr>
        <w:t>Un Conseil de défense écologique a également été mis en place, réunissant les ministres principalement concernés par les enjeux environnementaux et climatiques afin de coordonner l’action transversale de l’Etat sur les sujets identifiés.</w:t>
      </w:r>
    </w:p>
    <w:p w14:paraId="17B16E3A" w14:textId="77777777" w:rsidR="00630A34" w:rsidRPr="0098629B" w:rsidRDefault="00630A34" w:rsidP="004D2261">
      <w:pPr>
        <w:pStyle w:val="Titre4niveau4"/>
      </w:pPr>
      <w:r w:rsidRPr="0098629B">
        <w:t>Au niveau des collectivités</w:t>
      </w:r>
    </w:p>
    <w:p w14:paraId="6BDDD3C3" w14:textId="2B1DF889" w:rsidR="000863E6" w:rsidRPr="0098629B" w:rsidRDefault="000863E6" w:rsidP="000863E6">
      <w:pPr>
        <w:rPr>
          <w:lang w:eastAsia="en-US"/>
        </w:rPr>
      </w:pPr>
      <w:r w:rsidRPr="0098629B">
        <w:rPr>
          <w:lang w:eastAsia="en-US"/>
        </w:rPr>
        <w:t>Les collectivités territoriales jouent avec l’État, en tant que donneurs d’ordres publics, un rôle important dans la lutte contre le changement climatique au titre de leur patrimoine, de leurs activités directes, et de manière plus globale par la mise en mouvement de l’ensemble du tissu économique et social. Leur champ local de compétences et d’actions englobe notamment le pilotage des politiques de transport, l’animation et le soutien de la filière de rénovation des bâtiments, ou encore la valorisation du potentiel énergétique de leur territoire au travers de leurs politiques économiques et d’aménagement.</w:t>
      </w:r>
    </w:p>
    <w:p w14:paraId="37D472F1" w14:textId="77777777" w:rsidR="000863E6" w:rsidRPr="0098629B" w:rsidRDefault="000863E6" w:rsidP="000863E6">
      <w:pPr>
        <w:rPr>
          <w:lang w:eastAsia="en-US"/>
        </w:rPr>
      </w:pPr>
    </w:p>
    <w:p w14:paraId="3811CA2A" w14:textId="77777777" w:rsidR="000863E6" w:rsidRPr="0098629B" w:rsidRDefault="000863E6" w:rsidP="000863E6">
      <w:pPr>
        <w:rPr>
          <w:lang w:eastAsia="en-US"/>
        </w:rPr>
      </w:pPr>
      <w:r w:rsidRPr="0098629B">
        <w:rPr>
          <w:lang w:eastAsia="en-US"/>
        </w:rPr>
        <w:t>L’action climatique des collectivités s’articule autour d’outils de planification territoriale : les Schémas régionaux d’aménagement, de développement durable et d’égalités des territoires (SRADDET), et les Plans climat-air-énergie territoriaux (PCAET) pour les intercommunalités de plus de 20 000 habitants.</w:t>
      </w:r>
    </w:p>
    <w:p w14:paraId="59417B95" w14:textId="77777777" w:rsidR="000863E6" w:rsidRPr="0098629B" w:rsidRDefault="000863E6" w:rsidP="000863E6">
      <w:pPr>
        <w:rPr>
          <w:lang w:eastAsia="en-US"/>
        </w:rPr>
      </w:pPr>
    </w:p>
    <w:p w14:paraId="1D857D82" w14:textId="21F1EDEE" w:rsidR="000863E6" w:rsidRPr="0098629B" w:rsidRDefault="000863E6" w:rsidP="000863E6">
      <w:pPr>
        <w:rPr>
          <w:lang w:eastAsia="en-US"/>
        </w:rPr>
      </w:pPr>
      <w:r w:rsidRPr="0098629B">
        <w:rPr>
          <w:lang w:eastAsia="en-US"/>
        </w:rPr>
        <w:t>Les SRADDET, mis en place par la loi NOTRe en 2016, englobent plusieurs schémas existants, dont les Schémas régionaux du climat, de l’air et de l’énergie (SRCAE), les plans régionaux de prévention et de gestion des déchets et les schémas régionaux transport/intermodalité. Il s’agit d’un document intégrateur portant sur l’aménagement, la mobilité, l’énergie et la lutte contre le changement climatique, élaboré par les Régions en coopération avec les collectivités infra. Les SRADDET fixent les orientations stratégiques et les objectifs de moyen et long termes sur chaque territoire régional en termes notamment d’atténuation et d’adaptation au changement climatique, de lutte contre la pollution atmosphérique, de maîtrise de la consommation d’énergie et de développement des énergies renouvelables et de récupération, en cohérence avec les objectifs nationaux.</w:t>
      </w:r>
    </w:p>
    <w:p w14:paraId="30584D55" w14:textId="77777777" w:rsidR="000863E6" w:rsidRPr="0098629B" w:rsidRDefault="000863E6" w:rsidP="000863E6">
      <w:pPr>
        <w:rPr>
          <w:lang w:eastAsia="en-US"/>
        </w:rPr>
      </w:pPr>
    </w:p>
    <w:p w14:paraId="252CAC4F" w14:textId="48F05B45" w:rsidR="000863E6" w:rsidRPr="0098629B" w:rsidRDefault="000863E6" w:rsidP="000863E6">
      <w:pPr>
        <w:rPr>
          <w:lang w:eastAsia="en-US"/>
        </w:rPr>
      </w:pPr>
      <w:r w:rsidRPr="0098629B">
        <w:rPr>
          <w:lang w:eastAsia="en-US"/>
        </w:rPr>
        <w:t>Bien que décentralisée, l’élaboration du SRADDET inclut des phases de concertation avec l’État, les collectivités et groupement de collectivités principalement concernés ainsi que les EPCI.</w:t>
      </w:r>
    </w:p>
    <w:p w14:paraId="47EA3B09" w14:textId="77777777" w:rsidR="000863E6" w:rsidRPr="0098629B" w:rsidRDefault="000863E6" w:rsidP="000863E6">
      <w:pPr>
        <w:rPr>
          <w:lang w:eastAsia="en-US"/>
        </w:rPr>
      </w:pPr>
    </w:p>
    <w:p w14:paraId="3DDB2280" w14:textId="08F852BF" w:rsidR="000863E6" w:rsidRPr="0098629B" w:rsidRDefault="000863E6" w:rsidP="000863E6">
      <w:pPr>
        <w:rPr>
          <w:lang w:eastAsia="en-US"/>
        </w:rPr>
      </w:pPr>
      <w:r w:rsidRPr="0098629B">
        <w:rPr>
          <w:lang w:eastAsia="en-US"/>
        </w:rPr>
        <w:t>Dans les départements d’Outre-mer, le schéma d’aménagement régional (SAR) est l'outil principal de planification de l'aménagement du territoire pour ce qui relève de la planification bas-carbone.</w:t>
      </w:r>
    </w:p>
    <w:p w14:paraId="398B105A" w14:textId="77777777" w:rsidR="000863E6" w:rsidRPr="0098629B" w:rsidRDefault="000863E6" w:rsidP="000863E6">
      <w:pPr>
        <w:rPr>
          <w:lang w:eastAsia="en-US"/>
        </w:rPr>
      </w:pPr>
    </w:p>
    <w:p w14:paraId="7F9916BF" w14:textId="5618A284" w:rsidR="000863E6" w:rsidRPr="0098629B" w:rsidRDefault="000863E6" w:rsidP="007C589E">
      <w:pPr>
        <w:rPr>
          <w:lang w:eastAsia="en-US"/>
        </w:rPr>
      </w:pPr>
      <w:r w:rsidRPr="0098629B">
        <w:rPr>
          <w:lang w:eastAsia="en-US"/>
        </w:rPr>
        <w:t xml:space="preserve">Les SAR et SRADDET </w:t>
      </w:r>
      <w:r w:rsidRPr="0098629B">
        <w:t>doivent notamment prendre en compte la stratégie nationale bas-carbone</w:t>
      </w:r>
      <w:r w:rsidRPr="0098629B">
        <w:rPr>
          <w:rFonts w:ascii="Calibri" w:hAnsi="Calibri" w:cs="Calibri"/>
        </w:rPr>
        <w:t> </w:t>
      </w:r>
      <w:r w:rsidRPr="0098629B">
        <w:t>(SNBC).</w:t>
      </w:r>
    </w:p>
    <w:p w14:paraId="515883D1" w14:textId="04746025" w:rsidR="00630A34" w:rsidRPr="0098629B" w:rsidRDefault="000863E6" w:rsidP="000863E6">
      <w:pPr>
        <w:pStyle w:val="ListParagraph"/>
        <w:spacing w:before="240" w:after="240"/>
        <w:ind w:left="0"/>
        <w:rPr>
          <w:lang w:eastAsia="en-US"/>
        </w:rPr>
      </w:pPr>
      <w:r w:rsidRPr="0098629B">
        <w:rPr>
          <w:lang w:eastAsia="en-US"/>
        </w:rPr>
        <w:t>Les PCAET remplacent les anciens Plan climat énergie territoriaux (PCET). Leur réalisation est obligatoire pour les intercommunalités de plus de 20 000 habitants existant au 1</w:t>
      </w:r>
      <w:r w:rsidRPr="0098629B">
        <w:rPr>
          <w:vertAlign w:val="superscript"/>
          <w:lang w:eastAsia="en-US"/>
        </w:rPr>
        <w:t>er</w:t>
      </w:r>
      <w:r w:rsidRPr="0098629B">
        <w:rPr>
          <w:lang w:eastAsia="en-US"/>
        </w:rPr>
        <w:t xml:space="preserve"> janvier 2017. Jusqu’à fin 2016, la réalisation des anciens PCET ne concernait que les collectivités de plus de 50 000 habitants. Le PCAET est un outil d’animation du territoire qui définit les objectifs stratégiques et opérationnels afin d’atténuer le changement climatique, de s’y adapter, de développer les énergies renouvelables et de maîtriser la consommation d’énergie, en cohérence avec les orientations nationales et régionales. Il comprend un diagnostic, une stratégie et des objectifs chiffrés, un programme d’actions, et un dispositif de suivi et d’évaluation</w:t>
      </w:r>
      <w:r w:rsidRPr="0098629B">
        <w:rPr>
          <w:rStyle w:val="FootnoteReference"/>
          <w:lang w:eastAsia="en-US"/>
        </w:rPr>
        <w:footnoteReference w:id="1"/>
      </w:r>
      <w:r w:rsidRPr="0098629B">
        <w:rPr>
          <w:lang w:eastAsia="en-US"/>
        </w:rPr>
        <w:t>.</w:t>
      </w:r>
    </w:p>
    <w:p w14:paraId="4BC5C2C4" w14:textId="77777777" w:rsidR="00630A34" w:rsidRPr="0098629B" w:rsidRDefault="00630A34" w:rsidP="00B04A7C">
      <w:pPr>
        <w:pStyle w:val="Titre3Niveau3"/>
      </w:pPr>
      <w:bookmarkStart w:id="44" w:name="_Toc121149505"/>
      <w:bookmarkStart w:id="45" w:name="_Toc138344591"/>
      <w:r w:rsidRPr="0098629B">
        <w:t>Les fondements de la politique climatique</w:t>
      </w:r>
      <w:bookmarkEnd w:id="44"/>
      <w:bookmarkEnd w:id="45"/>
    </w:p>
    <w:p w14:paraId="5DE8C374" w14:textId="77777777" w:rsidR="000863E6" w:rsidRPr="0098629B" w:rsidRDefault="000863E6" w:rsidP="000863E6">
      <w:pPr>
        <w:spacing w:before="240" w:after="240"/>
        <w:rPr>
          <w:lang w:eastAsia="en-US"/>
        </w:rPr>
      </w:pPr>
      <w:r w:rsidRPr="0098629B">
        <w:rPr>
          <w:lang w:eastAsia="en-US"/>
        </w:rPr>
        <w:t>La politique en matière de réduction des émissions de gaz à effet de serre de la France s’est renforcée au cours des dernières années.</w:t>
      </w:r>
    </w:p>
    <w:p w14:paraId="459F1215" w14:textId="77777777" w:rsidR="000863E6" w:rsidRPr="0098629B" w:rsidRDefault="000863E6" w:rsidP="000863E6">
      <w:pPr>
        <w:spacing w:before="240" w:after="240"/>
        <w:rPr>
          <w:lang w:eastAsia="en-US"/>
        </w:rPr>
      </w:pPr>
      <w:r w:rsidRPr="0098629B">
        <w:rPr>
          <w:lang w:eastAsia="en-US"/>
        </w:rPr>
        <w:t>Au cours des années 2000, la définition des politiques de lutte contre le changement climatique s’est appuyée sur des Plans Climats successifs.</w:t>
      </w:r>
    </w:p>
    <w:p w14:paraId="02857A69" w14:textId="77777777" w:rsidR="000863E6" w:rsidRPr="0098629B" w:rsidRDefault="000863E6" w:rsidP="000863E6">
      <w:pPr>
        <w:spacing w:before="240" w:after="240"/>
        <w:rPr>
          <w:lang w:eastAsia="en-US"/>
        </w:rPr>
      </w:pPr>
      <w:r w:rsidRPr="0098629B">
        <w:rPr>
          <w:lang w:eastAsia="en-US"/>
        </w:rPr>
        <w:t>En 2009 et 2010, via les lois Grenelle I et II, la France s’est engagée à diviser par quatre ses émissions de gaz à effet de serre en 2050 par rapport à leur niveau de 1990 (facteur 4).</w:t>
      </w:r>
    </w:p>
    <w:p w14:paraId="55B5CC42" w14:textId="77777777" w:rsidR="000863E6" w:rsidRPr="0098629B" w:rsidRDefault="000863E6" w:rsidP="000863E6">
      <w:pPr>
        <w:spacing w:before="240" w:after="240"/>
        <w:rPr>
          <w:lang w:eastAsia="en-US"/>
        </w:rPr>
      </w:pPr>
      <w:r w:rsidRPr="0098629B">
        <w:rPr>
          <w:lang w:eastAsia="en-US"/>
        </w:rPr>
        <w:t>En 2015, la loi sur la transition énergétique pour la croissance verte (LTECV) a défini un objectif de réduction de 40 % des émissions de gaz à effet de serre à horizon 2030 par rapport à 1990 et confirmé le « facteur 4 ». La LTECV a par ailleurs instauré la première Stratégie Nationale Bas-Carbone (SNBC) qui définit les orientations en matière de lutte contre le changement climatique ainsi que des budgets carbone, plafonds d’émission à ne pas dépasser, définis sur des périodes de cinq ans par décret. La première SNBC a été publiée en 2015.</w:t>
      </w:r>
    </w:p>
    <w:p w14:paraId="3A69F013" w14:textId="77777777" w:rsidR="000863E6" w:rsidRPr="0098629B" w:rsidRDefault="000863E6" w:rsidP="000863E6">
      <w:pPr>
        <w:spacing w:before="240" w:after="240"/>
        <w:rPr>
          <w:lang w:eastAsia="en-US"/>
        </w:rPr>
      </w:pPr>
      <w:r w:rsidRPr="0098629B">
        <w:rPr>
          <w:lang w:eastAsia="en-US"/>
        </w:rPr>
        <w:t>La</w:t>
      </w:r>
      <w:r w:rsidRPr="0098629B">
        <w:rPr>
          <w:b/>
          <w:lang w:eastAsia="en-US"/>
        </w:rPr>
        <w:t xml:space="preserve"> loi du 8 novembre 2019 relative à l’énergie et au climat (LEC</w:t>
      </w:r>
      <w:r w:rsidRPr="0098629B">
        <w:rPr>
          <w:lang w:eastAsia="en-US"/>
        </w:rPr>
        <w:t xml:space="preserve">) </w:t>
      </w:r>
      <w:r w:rsidRPr="0098629B">
        <w:rPr>
          <w:lang w:val="fr" w:eastAsia="en-US"/>
        </w:rPr>
        <w:t>a inscrit dans la loi l’objectif de neutralité carbone à horizon 2050 en précisant que les émissions d’origine anthropique doivent être divisées par un facteur d’au moins 6, les émissions résiduelles devant être compensées par des absorptions d’origine anthropique. Elle confirme l’objectif de réduction des émissions de 40 % d’ici à 2030. Elle instaure par ailleurs un ensemble de mesures couvrant différents domaines de la transition énergétique, notamment concernant la lutte contre les passoires thermiques dans le bâtiment mais aussi la création ou la révision d’outils de pilotage, de gouvernance et d’évaluation de la politique nationale sur le climat.</w:t>
      </w:r>
    </w:p>
    <w:p w14:paraId="0D2BC932" w14:textId="77777777" w:rsidR="000863E6" w:rsidRPr="0098629B" w:rsidRDefault="000863E6" w:rsidP="000863E6">
      <w:pPr>
        <w:spacing w:before="240" w:after="240"/>
        <w:rPr>
          <w:lang w:eastAsia="en-US"/>
        </w:rPr>
      </w:pPr>
      <w:r w:rsidRPr="0098629B">
        <w:rPr>
          <w:lang w:eastAsia="en-US"/>
        </w:rPr>
        <w:t xml:space="preserve">La deuxième </w:t>
      </w:r>
      <w:r w:rsidRPr="0098629B">
        <w:rPr>
          <w:b/>
          <w:lang w:eastAsia="en-US"/>
        </w:rPr>
        <w:t>Stratégie Nationale Bas-Carbone (SNBC)</w:t>
      </w:r>
      <w:r w:rsidRPr="0098629B">
        <w:rPr>
          <w:lang w:eastAsia="en-US"/>
        </w:rPr>
        <w:t xml:space="preserve"> a été adoptée par le décret n° 2020-457 du 21 avril 2020. Cette 2ème SNBC vise l’atteinte de la neutralité carbone en 2050 en conservant le point de passage intermédiaire de 40 % en 2030 par rapport à 1990. </w:t>
      </w:r>
    </w:p>
    <w:p w14:paraId="53F6D878" w14:textId="7822B9EF" w:rsidR="00630A34" w:rsidRPr="0098629B" w:rsidRDefault="000863E6" w:rsidP="00776ED7">
      <w:pPr>
        <w:spacing w:before="240" w:after="240"/>
        <w:rPr>
          <w:lang w:eastAsia="en-US"/>
        </w:rPr>
      </w:pPr>
      <w:r w:rsidRPr="0098629B">
        <w:rPr>
          <w:lang w:eastAsia="en-US"/>
        </w:rPr>
        <w:t>Les orientations sectorielles de la SNBC-2 ont été depuis, traduites au niveau législatif par des textes structurants, engageant des évolutions de long terme dans chaque secteur émetteur de GES en France</w:t>
      </w:r>
      <w:r w:rsidRPr="0098629B">
        <w:rPr>
          <w:rFonts w:ascii="Calibri" w:hAnsi="Calibri" w:cs="Calibri"/>
          <w:lang w:eastAsia="en-US"/>
        </w:rPr>
        <w:t> </w:t>
      </w:r>
      <w:r w:rsidRPr="0098629B">
        <w:rPr>
          <w:lang w:val="fr" w:eastAsia="en-US"/>
        </w:rPr>
        <w:t xml:space="preserve">: loi d’orientation des </w:t>
      </w:r>
      <w:r w:rsidRPr="0098629B">
        <w:rPr>
          <w:lang w:val="fr" w:eastAsia="en-US"/>
        </w:rPr>
        <w:lastRenderedPageBreak/>
        <w:t>mobilités, loi relative à la lutte contre le gaspillage et à l’économie circulaire)</w:t>
      </w:r>
      <w:r w:rsidRPr="0098629B">
        <w:rPr>
          <w:lang w:eastAsia="en-US"/>
        </w:rPr>
        <w:t xml:space="preserve">, loi climat et résilience (cf. Chapitre 1 – A.2 Evolutions récentes). </w:t>
      </w:r>
    </w:p>
    <w:p w14:paraId="3FDB6077" w14:textId="77777777" w:rsidR="00630A34" w:rsidRPr="0098629B" w:rsidRDefault="00630A34" w:rsidP="00B04A7C">
      <w:pPr>
        <w:pStyle w:val="Titre3Niveau3"/>
      </w:pPr>
      <w:bookmarkStart w:id="46" w:name="_Toc121149506"/>
      <w:bookmarkStart w:id="47" w:name="_Toc138344592"/>
      <w:r w:rsidRPr="0098629B">
        <w:t>Suivi et évaluation de la politique climat</w:t>
      </w:r>
      <w:bookmarkEnd w:id="46"/>
      <w:bookmarkEnd w:id="47"/>
    </w:p>
    <w:p w14:paraId="6D403B7C" w14:textId="77777777" w:rsidR="000863E6" w:rsidRPr="0098629B" w:rsidRDefault="000863E6" w:rsidP="000863E6">
      <w:pPr>
        <w:pStyle w:val="Titre4niveau4"/>
        <w:rPr>
          <w:lang w:val="fr" w:eastAsia="en-US"/>
        </w:rPr>
      </w:pPr>
      <w:r w:rsidRPr="0098629B">
        <w:rPr>
          <w:lang w:val="fr" w:eastAsia="en-US"/>
        </w:rPr>
        <w:t>Le suivi conduit par le Gouvernement</w:t>
      </w:r>
    </w:p>
    <w:p w14:paraId="5436F380" w14:textId="202B151F" w:rsidR="000863E6" w:rsidRPr="0098629B" w:rsidRDefault="000863E6" w:rsidP="000863E6">
      <w:pPr>
        <w:spacing w:before="240" w:after="240"/>
        <w:rPr>
          <w:lang w:val="fr" w:eastAsia="en-US"/>
        </w:rPr>
      </w:pPr>
      <w:r w:rsidRPr="0098629B">
        <w:rPr>
          <w:lang w:val="fr" w:eastAsia="en-US"/>
        </w:rPr>
        <w:t>La Stratégie Nationale Bas-Carbone fait l’objet d’un suivi régulier sur la base d’un ensemble de 162 indicateurs, comprenant à la fois des indicateurs de résultats (actualisés chaque année) et des indicateurs de suivi des orientations de la SNBC (actualisés tous les 2 ans). Des indicateurs de contexte et environnementaux (actualisés tous les 2 ans) complètent l’ensemble et permettent une mise en perspective des résultats</w:t>
      </w:r>
      <w:r w:rsidRPr="0098629B">
        <w:rPr>
          <w:rStyle w:val="FootnoteReference"/>
          <w:lang w:val="fr" w:eastAsia="en-US"/>
        </w:rPr>
        <w:footnoteReference w:id="2"/>
      </w:r>
      <w:r w:rsidRPr="0098629B">
        <w:rPr>
          <w:lang w:val="fr" w:eastAsia="en-US"/>
        </w:rPr>
        <w:t xml:space="preserve">. </w:t>
      </w:r>
      <w:r w:rsidRPr="0098629B">
        <w:t xml:space="preserve">Ces éléments de suivi permettent d’analyser les tendances, leur adéquation aux objectifs afin de proposer, </w:t>
      </w:r>
      <w:r w:rsidR="005D59BC" w:rsidRPr="0098629B">
        <w:t>si besoin, de nouvelles actions</w:t>
      </w:r>
      <w:r w:rsidRPr="0098629B">
        <w:rPr>
          <w:lang w:val="fr" w:eastAsia="en-US"/>
        </w:rPr>
        <w:t>.</w:t>
      </w:r>
    </w:p>
    <w:p w14:paraId="5B2869DD" w14:textId="77777777" w:rsidR="000863E6" w:rsidRPr="0098629B" w:rsidRDefault="000863E6" w:rsidP="000863E6">
      <w:pPr>
        <w:pStyle w:val="Titre4niveau4"/>
        <w:spacing w:before="240"/>
        <w:rPr>
          <w:lang w:val="fr" w:eastAsia="en-US"/>
        </w:rPr>
      </w:pPr>
      <w:r w:rsidRPr="0098629B">
        <w:rPr>
          <w:lang w:val="fr" w:eastAsia="en-US"/>
        </w:rPr>
        <w:t>L’évaluation conduite par le Gouvernement</w:t>
      </w:r>
    </w:p>
    <w:p w14:paraId="3872207F" w14:textId="77777777" w:rsidR="000863E6" w:rsidRPr="0098629B" w:rsidRDefault="000863E6" w:rsidP="000863E6">
      <w:pPr>
        <w:pStyle w:val="NormalWeb"/>
        <w:rPr>
          <w:rFonts w:ascii="Marianne" w:hAnsi="Marianne"/>
          <w:sz w:val="24"/>
        </w:rPr>
      </w:pPr>
      <w:r w:rsidRPr="0098629B">
        <w:rPr>
          <w:rFonts w:ascii="Marianne" w:hAnsi="Marianne"/>
        </w:rPr>
        <w:t xml:space="preserve">A chaque cycle, la </w:t>
      </w:r>
      <w:r w:rsidRPr="0098629B">
        <w:rPr>
          <w:rStyle w:val="Strong"/>
          <w:rFonts w:ascii="Marianne" w:hAnsi="Marianne"/>
        </w:rPr>
        <w:t>Stratégie nationale bas-carbone</w:t>
      </w:r>
      <w:r w:rsidRPr="0098629B">
        <w:rPr>
          <w:rFonts w:ascii="Marianne" w:hAnsi="Marianne"/>
        </w:rPr>
        <w:t xml:space="preserve"> fait l’objet de plusieurs évaluations complémentaires :</w:t>
      </w:r>
    </w:p>
    <w:p w14:paraId="0D55807B" w14:textId="77777777" w:rsidR="000863E6" w:rsidRPr="0098629B" w:rsidRDefault="000863E6" w:rsidP="00573042">
      <w:pPr>
        <w:numPr>
          <w:ilvl w:val="0"/>
          <w:numId w:val="20"/>
        </w:numPr>
        <w:spacing w:before="100" w:beforeAutospacing="1" w:after="100" w:afterAutospacing="1"/>
      </w:pPr>
      <w:r w:rsidRPr="0098629B">
        <w:t xml:space="preserve">La SNBC arrivant en « fin de cycle » fait l’objet d’une </w:t>
      </w:r>
      <w:r w:rsidRPr="0098629B">
        <w:rPr>
          <w:rStyle w:val="Strong"/>
        </w:rPr>
        <w:t>évaluation rétrospective</w:t>
      </w:r>
      <w:r w:rsidRPr="0098629B">
        <w:t xml:space="preserve"> visant à identifier les éventuels écarts à la trajectoire et aux objectifs cibles et à analyser leurs causes. L’évaluation rétrospective de la SNBC1 préparée en amont de la SNBC2 figure au chapitre 1.2 de la </w:t>
      </w:r>
      <w:hyperlink r:id="rId28" w:tgtFrame="_blank" w:history="1">
        <w:r w:rsidRPr="0098629B">
          <w:rPr>
            <w:rStyle w:val="Hyperlink"/>
          </w:rPr>
          <w:t>SNBC2</w:t>
        </w:r>
      </w:hyperlink>
      <w:r w:rsidRPr="0098629B">
        <w:t>. Cette évaluation constitue un retour d’expérience utile pour appréhender avec réalisme la révision de la stratégie et son scénario de référence. L’évaluation rétrospective de la SNBC2 (SNBC en vigueur) sera rendue publique en 2023 en application de la loi dite Climat et résilience (article 298) ;</w:t>
      </w:r>
    </w:p>
    <w:p w14:paraId="567629B2" w14:textId="77777777" w:rsidR="005D59BC" w:rsidRPr="0098629B" w:rsidRDefault="000863E6" w:rsidP="00573042">
      <w:pPr>
        <w:numPr>
          <w:ilvl w:val="0"/>
          <w:numId w:val="20"/>
        </w:numPr>
        <w:spacing w:before="100" w:beforeAutospacing="1" w:after="100" w:afterAutospacing="1"/>
      </w:pPr>
      <w:r w:rsidRPr="0098629B">
        <w:t xml:space="preserve">Le projet de SNBC révisée fait l’objet, en application de l’article </w:t>
      </w:r>
      <w:hyperlink r:id="rId29" w:tgtFrame="_blank" w:history="1">
        <w:r w:rsidRPr="0098629B">
          <w:rPr>
            <w:rStyle w:val="Hyperlink"/>
          </w:rPr>
          <w:t>L. 222-1 D du Code de l’environnement</w:t>
        </w:r>
      </w:hyperlink>
      <w:r w:rsidRPr="0098629B">
        <w:t xml:space="preserve">, d’une </w:t>
      </w:r>
      <w:r w:rsidRPr="0098629B">
        <w:rPr>
          <w:rStyle w:val="Strong"/>
        </w:rPr>
        <w:t>évaluation prospective</w:t>
      </w:r>
      <w:r w:rsidRPr="0098629B">
        <w:t xml:space="preserve"> précisant la façon dont les projets de budget carbone et de stratégie bas-carbone intègrent les objectifs climatiques et énergétiques de la France ainsi que les engagements européens et internationaux de la France. L’évaluation prospective préparée sur la base du projet de SNBC2 est disponible sur le </w:t>
      </w:r>
      <w:hyperlink r:id="rId30" w:tgtFrame="_blank" w:history="1">
        <w:r w:rsidRPr="0098629B">
          <w:rPr>
            <w:rStyle w:val="Hyperlink"/>
          </w:rPr>
          <w:t>site du Ministère</w:t>
        </w:r>
      </w:hyperlink>
      <w:r w:rsidRPr="0098629B">
        <w:t>. L’évaluation prospective de la future SNBC (SNBC3) sera rendue publique en 2024.</w:t>
      </w:r>
    </w:p>
    <w:p w14:paraId="2CF2E65A" w14:textId="0309B05F" w:rsidR="000863E6" w:rsidRPr="0098629B" w:rsidRDefault="000863E6" w:rsidP="00573042">
      <w:pPr>
        <w:numPr>
          <w:ilvl w:val="0"/>
          <w:numId w:val="20"/>
        </w:numPr>
        <w:spacing w:before="100" w:beforeAutospacing="1" w:after="100" w:afterAutospacing="1"/>
      </w:pPr>
      <w:r w:rsidRPr="0098629B">
        <w:rPr>
          <w:lang w:eastAsia="en-US"/>
        </w:rPr>
        <w:t xml:space="preserve">Enfin, les première et deuxième </w:t>
      </w:r>
      <w:r w:rsidR="005D59BC" w:rsidRPr="0098629B">
        <w:rPr>
          <w:lang w:eastAsia="en-US"/>
        </w:rPr>
        <w:t>SNBC</w:t>
      </w:r>
      <w:r w:rsidRPr="0098629B">
        <w:rPr>
          <w:lang w:eastAsia="en-US"/>
        </w:rPr>
        <w:t xml:space="preserve"> ont fait l’objet d’une évaluation macro-économique évaluant leurs impacts économiques et sociaux. La 2ème SNBC a également fait l’objet d’une évaluation environnementale stratégique, afin d’en évaluer l’impact sur l’environnement ; les orientations et indicateurs issus de cette évaluation sont intégrés à la SNBC2 et aux indicateurs de suivi.</w:t>
      </w:r>
    </w:p>
    <w:p w14:paraId="7D7BD16D" w14:textId="77777777" w:rsidR="000863E6" w:rsidRPr="0098629B" w:rsidRDefault="000863E6" w:rsidP="000863E6">
      <w:pPr>
        <w:spacing w:before="240" w:after="240"/>
        <w:rPr>
          <w:lang w:eastAsia="en-US"/>
        </w:rPr>
      </w:pPr>
      <w:r w:rsidRPr="0098629B">
        <w:rPr>
          <w:lang w:eastAsia="en-US"/>
        </w:rPr>
        <w:t>Par ailleurs, chaque année, le Gouvernement présente au Parlement, en annexe au projet de loi de finances, un rapport présentant un état évaluatif des moyens financiers publics et privés mis en œuvre pour financer la transition écologique et énergétique ainsi que leur adéquation avec les volumes financiers nécessaires au respect des engagements européens, de l’accord de Paris et de l’agenda 2030 du développement durable.</w:t>
      </w:r>
    </w:p>
    <w:p w14:paraId="121E2E6C" w14:textId="77777777" w:rsidR="000863E6" w:rsidRPr="0098629B" w:rsidRDefault="000863E6" w:rsidP="000863E6">
      <w:pPr>
        <w:spacing w:before="240" w:after="240"/>
        <w:rPr>
          <w:lang w:eastAsia="en-US"/>
        </w:rPr>
      </w:pPr>
      <w:r w:rsidRPr="0098629B">
        <w:rPr>
          <w:lang w:eastAsia="en-US"/>
        </w:rPr>
        <w:t>Dans le cadre de ses obligations européennes de rapportage définies dans le règlement (UE) 2018/1999 sur la gouvernance de l’union de l’énergie et de l’action pour le climat, dit règlement « Gouvernance », la France transmet tous les deux ans à la Commission européenne des informations sur les mesures adoptées, mises en œuvre ou prévues pour réduire ses émissions de GES, évalue leurs impacts (sur les émissions de GES et, lorsque cela est possible, sur les coûts) et décrit les perspectives de réduction des émissions à moyen terme, notamment au travers d’un scénario qui tient compte des mesures déjà mises en œuvre. Ces informations sont rendues publiques.</w:t>
      </w:r>
    </w:p>
    <w:p w14:paraId="2AE7A766" w14:textId="77777777" w:rsidR="000863E6" w:rsidRPr="0098629B" w:rsidRDefault="000863E6" w:rsidP="000863E6">
      <w:pPr>
        <w:spacing w:before="240" w:after="240"/>
        <w:rPr>
          <w:lang w:eastAsia="en-US"/>
        </w:rPr>
      </w:pPr>
      <w:r w:rsidRPr="0098629B">
        <w:rPr>
          <w:lang w:eastAsia="en-US"/>
        </w:rPr>
        <w:lastRenderedPageBreak/>
        <w:t>Les évaluations des politiques et mesures d’atténuation publiées dans le cadre du règlement « Gouvernance » sont réalisées par le DLCES. L’ensemble des hypothèses, méthodes de calcul et résultats des évaluations en termes de réduction des émissions de gaz à effet de serre et de coûts, sont détaillés dans les rapports soumis à la Commission</w:t>
      </w:r>
      <w:r w:rsidRPr="0098629B">
        <w:rPr>
          <w:rStyle w:val="FootnoteReference"/>
          <w:lang w:eastAsia="en-US"/>
        </w:rPr>
        <w:footnoteReference w:id="3"/>
      </w:r>
      <w:r w:rsidRPr="0098629B">
        <w:rPr>
          <w:lang w:eastAsia="en-US"/>
        </w:rPr>
        <w:t xml:space="preserve">. </w:t>
      </w:r>
    </w:p>
    <w:p w14:paraId="140DB672" w14:textId="77777777" w:rsidR="000863E6" w:rsidRPr="0098629B" w:rsidRDefault="000863E6" w:rsidP="000863E6">
      <w:pPr>
        <w:pStyle w:val="Titre4niveau4"/>
        <w:spacing w:before="240"/>
        <w:rPr>
          <w:lang w:val="fr" w:eastAsia="en-US"/>
        </w:rPr>
      </w:pPr>
      <w:r w:rsidRPr="0098629B">
        <w:rPr>
          <w:lang w:val="fr" w:eastAsia="en-US"/>
        </w:rPr>
        <w:t>L’évaluation de l’action du gouvernement par le Haut Conseil pour le climat</w:t>
      </w:r>
    </w:p>
    <w:p w14:paraId="6D1CE457" w14:textId="77777777" w:rsidR="000863E6" w:rsidRPr="0098629B" w:rsidRDefault="000863E6" w:rsidP="000863E6">
      <w:pPr>
        <w:spacing w:before="240" w:after="240"/>
        <w:rPr>
          <w:rFonts w:cs="Arial"/>
          <w:sz w:val="20"/>
          <w:szCs w:val="20"/>
        </w:rPr>
      </w:pPr>
      <w:r w:rsidRPr="0098629B">
        <w:rPr>
          <w:lang w:eastAsia="en-US"/>
        </w:rPr>
        <w:t>Le Haut Conseil pour le climat (instance créé par la loi relative à l’énergie et au climat de 2019) est chargé d’évaluer l’action climatique française de manière indépendante. En particulier, il</w:t>
      </w:r>
      <w:r w:rsidRPr="0098629B">
        <w:rPr>
          <w:rFonts w:cs="Arial"/>
          <w:sz w:val="20"/>
          <w:szCs w:val="20"/>
        </w:rPr>
        <w:t xml:space="preserve"> rend</w:t>
      </w:r>
      <w:r w:rsidRPr="0098629B">
        <w:rPr>
          <w:rFonts w:ascii="Calibri" w:hAnsi="Calibri" w:cs="Calibri"/>
          <w:sz w:val="20"/>
          <w:szCs w:val="20"/>
        </w:rPr>
        <w:t> </w:t>
      </w:r>
      <w:r w:rsidRPr="0098629B">
        <w:rPr>
          <w:rFonts w:cs="Arial"/>
          <w:sz w:val="20"/>
          <w:szCs w:val="20"/>
        </w:rPr>
        <w:t>:</w:t>
      </w:r>
    </w:p>
    <w:p w14:paraId="0870CEE7" w14:textId="77777777" w:rsidR="000863E6" w:rsidRPr="0098629B" w:rsidRDefault="000863E6" w:rsidP="00573042">
      <w:pPr>
        <w:pStyle w:val="ListParagraph"/>
        <w:numPr>
          <w:ilvl w:val="0"/>
          <w:numId w:val="19"/>
        </w:numPr>
        <w:spacing w:after="200"/>
        <w:rPr>
          <w:rFonts w:cs="Arial"/>
          <w:sz w:val="20"/>
          <w:szCs w:val="20"/>
        </w:rPr>
      </w:pPr>
      <w:r w:rsidRPr="0098629B">
        <w:rPr>
          <w:rFonts w:cs="Arial"/>
          <w:b/>
          <w:sz w:val="20"/>
          <w:szCs w:val="20"/>
        </w:rPr>
        <w:t>chaque année</w:t>
      </w:r>
      <w:r w:rsidRPr="0098629B">
        <w:rPr>
          <w:rFonts w:cs="Arial"/>
          <w:sz w:val="20"/>
          <w:szCs w:val="20"/>
        </w:rPr>
        <w:t xml:space="preserve"> autour du 1er juillet un rapport sur le respect de la trajectoire de réduction des émissions de GES établie dans la SNBC et sur la mise en œuvre des politiques climat au niveau national et territorial. Le Gouvernement doit y apporter une réponse sous 6 mois (Article L. 132-4 du Code de l’environnement)</w:t>
      </w:r>
      <w:r w:rsidRPr="0098629B">
        <w:rPr>
          <w:rFonts w:ascii="Calibri" w:hAnsi="Calibri" w:cs="Calibri"/>
          <w:sz w:val="20"/>
          <w:szCs w:val="20"/>
        </w:rPr>
        <w:t> </w:t>
      </w:r>
      <w:r w:rsidRPr="0098629B">
        <w:rPr>
          <w:rFonts w:cs="Arial"/>
          <w:sz w:val="20"/>
          <w:szCs w:val="20"/>
        </w:rPr>
        <w:t>;</w:t>
      </w:r>
    </w:p>
    <w:p w14:paraId="6ABE199B" w14:textId="77777777" w:rsidR="000863E6" w:rsidRPr="0098629B" w:rsidRDefault="000863E6" w:rsidP="00573042">
      <w:pPr>
        <w:pStyle w:val="ListParagraph"/>
        <w:numPr>
          <w:ilvl w:val="0"/>
          <w:numId w:val="19"/>
        </w:numPr>
        <w:spacing w:after="200"/>
        <w:rPr>
          <w:rFonts w:cs="Arial"/>
          <w:sz w:val="20"/>
          <w:szCs w:val="20"/>
        </w:rPr>
      </w:pPr>
      <w:r w:rsidRPr="0098629B">
        <w:rPr>
          <w:rFonts w:cs="Arial"/>
          <w:b/>
          <w:sz w:val="20"/>
          <w:szCs w:val="20"/>
        </w:rPr>
        <w:t>tous les 3 ans</w:t>
      </w:r>
      <w:r w:rsidRPr="0098629B">
        <w:rPr>
          <w:rFonts w:cs="Arial"/>
          <w:sz w:val="20"/>
          <w:szCs w:val="20"/>
        </w:rPr>
        <w:t>, un rapport évaluant l'action des collectivités territoriales en matière de réduction des émissions de gaz à effet de serre et d'adaptation au changement climatique (Article 299 de la loi dite «</w:t>
      </w:r>
      <w:r w:rsidRPr="0098629B">
        <w:rPr>
          <w:rFonts w:ascii="Calibri" w:hAnsi="Calibri" w:cs="Calibri"/>
          <w:sz w:val="20"/>
          <w:szCs w:val="20"/>
        </w:rPr>
        <w:t> </w:t>
      </w:r>
      <w:r w:rsidRPr="0098629B">
        <w:rPr>
          <w:rFonts w:cs="Arial"/>
          <w:sz w:val="20"/>
          <w:szCs w:val="20"/>
        </w:rPr>
        <w:t>climat et résilience</w:t>
      </w:r>
      <w:r w:rsidRPr="0098629B">
        <w:rPr>
          <w:rFonts w:ascii="Calibri" w:hAnsi="Calibri" w:cs="Calibri"/>
          <w:sz w:val="20"/>
          <w:szCs w:val="20"/>
        </w:rPr>
        <w:t> </w:t>
      </w:r>
      <w:r w:rsidRPr="0098629B">
        <w:rPr>
          <w:rFonts w:cs="Marianne"/>
          <w:sz w:val="20"/>
          <w:szCs w:val="20"/>
        </w:rPr>
        <w:t>»</w:t>
      </w:r>
      <w:r w:rsidRPr="0098629B">
        <w:rPr>
          <w:rFonts w:cs="Arial"/>
          <w:sz w:val="20"/>
          <w:szCs w:val="20"/>
        </w:rPr>
        <w:t>). Ce rapport d'évaluation est rendu public et fait l'objet d'une réponse du Gouvernement, elle-même rendue publique</w:t>
      </w:r>
      <w:r w:rsidRPr="0098629B">
        <w:rPr>
          <w:rFonts w:ascii="Calibri" w:hAnsi="Calibri" w:cs="Calibri"/>
          <w:sz w:val="20"/>
          <w:szCs w:val="20"/>
        </w:rPr>
        <w:t> </w:t>
      </w:r>
      <w:r w:rsidRPr="0098629B">
        <w:rPr>
          <w:rFonts w:cs="Arial"/>
          <w:sz w:val="20"/>
          <w:szCs w:val="20"/>
        </w:rPr>
        <w:t>;</w:t>
      </w:r>
    </w:p>
    <w:p w14:paraId="19E93729" w14:textId="77777777" w:rsidR="000863E6" w:rsidRPr="0098629B" w:rsidRDefault="000863E6" w:rsidP="00573042">
      <w:pPr>
        <w:pStyle w:val="ListParagraph"/>
        <w:numPr>
          <w:ilvl w:val="0"/>
          <w:numId w:val="19"/>
        </w:numPr>
        <w:spacing w:after="200"/>
        <w:rPr>
          <w:rFonts w:cs="Arial"/>
          <w:sz w:val="20"/>
          <w:szCs w:val="20"/>
        </w:rPr>
      </w:pPr>
      <w:r w:rsidRPr="0098629B">
        <w:rPr>
          <w:rFonts w:cs="Arial"/>
          <w:b/>
          <w:sz w:val="20"/>
          <w:szCs w:val="20"/>
        </w:rPr>
        <w:t xml:space="preserve">au moins tous les trois ans, </w:t>
      </w:r>
      <w:r w:rsidRPr="0098629B">
        <w:rPr>
          <w:rFonts w:cs="Arial"/>
          <w:sz w:val="20"/>
          <w:szCs w:val="20"/>
        </w:rPr>
        <w:t>un avis sur le rapport d’avancement des travaux relatifs à l’adoption et à la mise en œuvre de feuilles de routes par les secteurs fortement émetteurs de GES produit par le Gouvernement (Article 301 de la loi dite «</w:t>
      </w:r>
      <w:r w:rsidRPr="0098629B">
        <w:rPr>
          <w:rFonts w:ascii="Calibri" w:hAnsi="Calibri" w:cs="Calibri"/>
          <w:sz w:val="20"/>
          <w:szCs w:val="20"/>
        </w:rPr>
        <w:t> </w:t>
      </w:r>
      <w:r w:rsidRPr="0098629B">
        <w:rPr>
          <w:rFonts w:cs="Arial"/>
          <w:sz w:val="20"/>
          <w:szCs w:val="20"/>
        </w:rPr>
        <w:t>climat et résilience</w:t>
      </w:r>
      <w:r w:rsidRPr="0098629B">
        <w:rPr>
          <w:rFonts w:ascii="Calibri" w:hAnsi="Calibri" w:cs="Calibri"/>
          <w:sz w:val="20"/>
          <w:szCs w:val="20"/>
        </w:rPr>
        <w:t> </w:t>
      </w:r>
      <w:r w:rsidRPr="0098629B">
        <w:rPr>
          <w:rFonts w:cs="Marianne"/>
          <w:sz w:val="20"/>
          <w:szCs w:val="20"/>
        </w:rPr>
        <w:t>»</w:t>
      </w:r>
      <w:r w:rsidRPr="0098629B">
        <w:rPr>
          <w:rFonts w:cs="Arial"/>
          <w:sz w:val="20"/>
          <w:szCs w:val="20"/>
        </w:rPr>
        <w:t>)</w:t>
      </w:r>
      <w:r w:rsidRPr="0098629B">
        <w:rPr>
          <w:rFonts w:ascii="Calibri" w:hAnsi="Calibri" w:cs="Calibri"/>
          <w:sz w:val="20"/>
          <w:szCs w:val="20"/>
        </w:rPr>
        <w:t>.</w:t>
      </w:r>
    </w:p>
    <w:p w14:paraId="7B2D9D4F" w14:textId="22F5F04B" w:rsidR="00630A34" w:rsidRPr="0098629B" w:rsidRDefault="000863E6" w:rsidP="000863E6">
      <w:pPr>
        <w:rPr>
          <w:lang w:eastAsia="en-US"/>
        </w:rPr>
      </w:pPr>
      <w:r w:rsidRPr="0098629B">
        <w:rPr>
          <w:rFonts w:cs="Arial"/>
          <w:sz w:val="20"/>
          <w:szCs w:val="20"/>
        </w:rPr>
        <w:t>Ses rapports contribuent à remettre à intervalle régulier la question climatique au centre du débat politique. Ils apportent un éclairage indépendant sur la politique du gouvernement en matière de climat</w:t>
      </w:r>
      <w:r w:rsidR="00630A34" w:rsidRPr="0098629B">
        <w:rPr>
          <w:lang w:eastAsia="en-US"/>
        </w:rPr>
        <w:t>.</w:t>
      </w:r>
    </w:p>
    <w:p w14:paraId="1FF8E90C" w14:textId="77777777" w:rsidR="00630A34" w:rsidRPr="0098629B" w:rsidRDefault="00630A34" w:rsidP="00B04A7C">
      <w:pPr>
        <w:pStyle w:val="Titre3Niveau3"/>
        <w:rPr>
          <w:lang w:eastAsia="en-US"/>
        </w:rPr>
      </w:pPr>
      <w:bookmarkStart w:id="48" w:name="_Toc121149508"/>
      <w:bookmarkStart w:id="49" w:name="_Toc138344593"/>
      <w:r w:rsidRPr="0098629B">
        <w:rPr>
          <w:lang w:eastAsia="en-US"/>
        </w:rPr>
        <w:t>Mise en œuvre des politiques européennes</w:t>
      </w:r>
      <w:bookmarkEnd w:id="48"/>
      <w:bookmarkEnd w:id="49"/>
    </w:p>
    <w:p w14:paraId="6CCF1667" w14:textId="77777777" w:rsidR="000863E6" w:rsidRPr="0098629B" w:rsidRDefault="000863E6" w:rsidP="000863E6">
      <w:pPr>
        <w:rPr>
          <w:lang w:eastAsia="en-US"/>
        </w:rPr>
      </w:pPr>
      <w:r w:rsidRPr="0098629B">
        <w:rPr>
          <w:lang w:eastAsia="en-US"/>
        </w:rPr>
        <w:t>La France définit son action climatique dans le cadre engageant des objectifs climat-énergie et des règlementations sectorielles de l'Union européenne.</w:t>
      </w:r>
    </w:p>
    <w:p w14:paraId="5F9B58DD" w14:textId="77777777" w:rsidR="000863E6" w:rsidRPr="0098629B" w:rsidRDefault="000863E6" w:rsidP="000863E6">
      <w:pPr>
        <w:rPr>
          <w:lang w:eastAsia="en-US"/>
        </w:rPr>
      </w:pPr>
    </w:p>
    <w:p w14:paraId="65AD0268" w14:textId="31E5A6F8" w:rsidR="000863E6" w:rsidRPr="0098629B" w:rsidRDefault="000863E6" w:rsidP="000863E6">
      <w:pPr>
        <w:rPr>
          <w:lang w:eastAsia="en-US"/>
        </w:rPr>
      </w:pPr>
      <w:r w:rsidRPr="0098629B">
        <w:rPr>
          <w:lang w:eastAsia="en-US"/>
        </w:rPr>
        <w:t>Dans le cadre du pacte vert pour l'Europe, l'Union européenne s'est fixée l'objectif d'atteindre la neutralité climatique en 2050 et s'est engagée pour cela à accélérer sa réduction d'émissions de gaz à effet de serre d'ici 2030 en la rehaussant de -</w:t>
      </w:r>
      <w:r w:rsidR="005D59BC" w:rsidRPr="0098629B">
        <w:rPr>
          <w:lang w:eastAsia="en-US"/>
        </w:rPr>
        <w:t>4</w:t>
      </w:r>
      <w:r w:rsidRPr="0098629B">
        <w:rPr>
          <w:lang w:eastAsia="en-US"/>
        </w:rPr>
        <w:t>0 % à au moins -55 % net par rapport à 1990 (incluant les absorptions).</w:t>
      </w:r>
    </w:p>
    <w:p w14:paraId="39422DBE" w14:textId="77777777" w:rsidR="000863E6" w:rsidRPr="0098629B" w:rsidRDefault="000863E6" w:rsidP="000863E6">
      <w:pPr>
        <w:rPr>
          <w:lang w:eastAsia="en-US"/>
        </w:rPr>
      </w:pPr>
    </w:p>
    <w:p w14:paraId="3AE1A352" w14:textId="0E2C3E6C" w:rsidR="000863E6" w:rsidRPr="0098629B" w:rsidRDefault="000863E6" w:rsidP="000863E6">
      <w:pPr>
        <w:rPr>
          <w:lang w:eastAsia="en-US"/>
        </w:rPr>
      </w:pPr>
      <w:r w:rsidRPr="0098629B">
        <w:rPr>
          <w:lang w:eastAsia="en-US"/>
        </w:rPr>
        <w:t>La Loi Européenne pour le Climat (LEC) de juillet 2021 rende juridiquement contraignant ces objectifs européens à horizon 2030 et 2050, tout en limitant la contribution à l'objectif 2030 du puits carbone européen à 225 Mt</w:t>
      </w:r>
      <w:r w:rsidR="00811B0F" w:rsidRPr="0098629B">
        <w:t>CO</w:t>
      </w:r>
      <w:r w:rsidR="00811B0F" w:rsidRPr="0098629B">
        <w:rPr>
          <w:vertAlign w:val="subscript"/>
        </w:rPr>
        <w:t>2</w:t>
      </w:r>
      <w:r w:rsidR="00891B49" w:rsidRPr="0098629B">
        <w:rPr>
          <w:vertAlign w:val="subscript"/>
        </w:rPr>
        <w:t>e</w:t>
      </w:r>
      <w:r w:rsidRPr="0098629B">
        <w:rPr>
          <w:lang w:eastAsia="en-US"/>
        </w:rPr>
        <w:t xml:space="preserve"> (-2,2%), soit l'équivalent du niveau attendu selon le règlement LULUCF actuel. </w:t>
      </w:r>
    </w:p>
    <w:p w14:paraId="7D435DB2" w14:textId="77777777" w:rsidR="000863E6" w:rsidRPr="0098629B" w:rsidRDefault="000863E6" w:rsidP="000863E6">
      <w:pPr>
        <w:rPr>
          <w:lang w:eastAsia="en-US"/>
        </w:rPr>
      </w:pPr>
    </w:p>
    <w:p w14:paraId="1C6E7EDC" w14:textId="77777777" w:rsidR="000863E6" w:rsidRPr="0098629B" w:rsidRDefault="000863E6" w:rsidP="000863E6">
      <w:pPr>
        <w:rPr>
          <w:lang w:eastAsia="en-US"/>
        </w:rPr>
      </w:pPr>
      <w:r w:rsidRPr="0098629B">
        <w:rPr>
          <w:lang w:eastAsia="en-US"/>
        </w:rPr>
        <w:t>Ce nouvel objectif renforcé a été communiqué, le 18 décembre 2020, à la CCNUCC dans le cadre de la contribution déterminée au niveau national (CDN) de l'Union européenne et de ses États membres.</w:t>
      </w:r>
    </w:p>
    <w:p w14:paraId="560587E0" w14:textId="77777777" w:rsidR="000863E6" w:rsidRPr="0098629B" w:rsidRDefault="000863E6" w:rsidP="000863E6">
      <w:pPr>
        <w:rPr>
          <w:lang w:eastAsia="en-US"/>
        </w:rPr>
      </w:pPr>
    </w:p>
    <w:p w14:paraId="2D3A80EE" w14:textId="77777777" w:rsidR="000863E6" w:rsidRPr="0098629B" w:rsidRDefault="000863E6" w:rsidP="000863E6">
      <w:pPr>
        <w:rPr>
          <w:lang w:eastAsia="en-US"/>
        </w:rPr>
      </w:pPr>
      <w:r w:rsidRPr="0098629B">
        <w:rPr>
          <w:lang w:eastAsia="en-US"/>
        </w:rPr>
        <w:t>En juillet 2021, la Commission européenne a publié un paquet législatif appelé « Fit for 55 », consistant en 13 propositions de révision ou de nouveaux textes législatifs assorties d'études d'impact, vise à aligner le cadre énergie-climat de l'Union européenne avec cette nouvelle ambition climatique à l'horizon 2030 et l'atteinte de la neutralité carbone de l'Union européenne au plus tard en 2050.</w:t>
      </w:r>
    </w:p>
    <w:p w14:paraId="3870FB29" w14:textId="77777777" w:rsidR="000863E6" w:rsidRPr="0098629B" w:rsidRDefault="000863E6" w:rsidP="000863E6">
      <w:pPr>
        <w:rPr>
          <w:lang w:eastAsia="en-US"/>
        </w:rPr>
      </w:pPr>
    </w:p>
    <w:p w14:paraId="61601F6C" w14:textId="77777777" w:rsidR="000863E6" w:rsidRPr="0098629B" w:rsidRDefault="000863E6" w:rsidP="000863E6">
      <w:pPr>
        <w:rPr>
          <w:lang w:eastAsia="en-US"/>
        </w:rPr>
      </w:pPr>
      <w:r w:rsidRPr="0098629B">
        <w:rPr>
          <w:lang w:eastAsia="en-US"/>
        </w:rPr>
        <w:t xml:space="preserve">Ce paquet « Fit for 55 » conserve le cadre précédent d'action climat - énergie actuel reposant sur les 3 piliers suivants avec un alignement de leurs objectifs respectifs sur cette ambition rehaussée : </w:t>
      </w:r>
    </w:p>
    <w:p w14:paraId="3FA24FAC" w14:textId="77777777" w:rsidR="000863E6" w:rsidRPr="0098629B" w:rsidRDefault="000863E6" w:rsidP="00573042">
      <w:pPr>
        <w:pStyle w:val="ListParagraph"/>
        <w:numPr>
          <w:ilvl w:val="0"/>
          <w:numId w:val="22"/>
        </w:numPr>
        <w:rPr>
          <w:lang w:eastAsia="en-US"/>
        </w:rPr>
      </w:pPr>
      <w:r w:rsidRPr="0098629B">
        <w:rPr>
          <w:lang w:eastAsia="en-US"/>
        </w:rPr>
        <w:t>Le marché carbone européen (« EU ETS », European Union Emission Trading System) avec un objectif de réduction des émissions rehaussé de - 43% à - 61% par rapport à 1990 (correspondant à une réduction d'émissions de - 64% pour les installations industrielles fixes) ;</w:t>
      </w:r>
    </w:p>
    <w:p w14:paraId="50D7405E" w14:textId="77777777" w:rsidR="000863E6" w:rsidRPr="0098629B" w:rsidRDefault="000863E6" w:rsidP="00573042">
      <w:pPr>
        <w:pStyle w:val="ListParagraph"/>
        <w:numPr>
          <w:ilvl w:val="0"/>
          <w:numId w:val="22"/>
        </w:numPr>
        <w:rPr>
          <w:lang w:eastAsia="en-US"/>
        </w:rPr>
      </w:pPr>
      <w:r w:rsidRPr="0098629B">
        <w:rPr>
          <w:lang w:eastAsia="en-US"/>
        </w:rPr>
        <w:t>Le règlement sur le partage de l'effort entre Etats membres (" ESR ", Effort Sharing Regulation) avec un objectif rehaussé de - 30% à - 40% par rapport à 2005 sur les secteurs de l'agriculture, du bâtiment, des transports, des déchets et de l'industrie non couverte par l'EU ETS historique ;</w:t>
      </w:r>
    </w:p>
    <w:p w14:paraId="6CCD298B" w14:textId="4AF6FCD0" w:rsidR="000863E6" w:rsidRPr="0098629B" w:rsidRDefault="000863E6" w:rsidP="00573042">
      <w:pPr>
        <w:pStyle w:val="ListParagraph"/>
        <w:numPr>
          <w:ilvl w:val="0"/>
          <w:numId w:val="22"/>
        </w:numPr>
        <w:rPr>
          <w:lang w:eastAsia="en-US"/>
        </w:rPr>
      </w:pPr>
      <w:r w:rsidRPr="0098629B">
        <w:rPr>
          <w:lang w:eastAsia="en-US"/>
        </w:rPr>
        <w:lastRenderedPageBreak/>
        <w:t xml:space="preserve">Un cadre de comptabilisation des émissions et absorptions du secteur des terres et de la forêt (règlement « LULUCF », Land Use, Land-Use Change and Forestry) avec un objectif de 310 M de tonnes de </w:t>
      </w:r>
      <w:r w:rsidR="00811B0F" w:rsidRPr="0098629B">
        <w:t>CO</w:t>
      </w:r>
      <w:r w:rsidR="00811B0F" w:rsidRPr="0098629B">
        <w:rPr>
          <w:vertAlign w:val="subscript"/>
        </w:rPr>
        <w:t>2</w:t>
      </w:r>
      <w:r w:rsidRPr="0098629B">
        <w:rPr>
          <w:lang w:eastAsia="en-US"/>
        </w:rPr>
        <w:t xml:space="preserve"> équivalent pour le puits de carbone européen.</w:t>
      </w:r>
    </w:p>
    <w:p w14:paraId="15BF99B5" w14:textId="77777777" w:rsidR="000863E6" w:rsidRPr="0098629B" w:rsidRDefault="000863E6" w:rsidP="000863E6">
      <w:pPr>
        <w:rPr>
          <w:lang w:eastAsia="en-US"/>
        </w:rPr>
      </w:pPr>
    </w:p>
    <w:p w14:paraId="727870EB" w14:textId="77777777" w:rsidR="000863E6" w:rsidRPr="0098629B" w:rsidRDefault="000863E6" w:rsidP="000863E6">
      <w:pPr>
        <w:rPr>
          <w:lang w:eastAsia="en-US"/>
        </w:rPr>
      </w:pPr>
      <w:r w:rsidRPr="0098629B">
        <w:rPr>
          <w:lang w:eastAsia="en-US"/>
        </w:rPr>
        <w:t>Outre le rehaussement de l'objectif global de réduction, l'Union européenne met en place également une réforme de son marché carbone européen, notamment en élargissant son champ d'application au transport maritime. Elle met également en place un nouveau marché carbone européen porté sur les consommations énergétiques liées aux transports routiers et aux bâtiments. Afin d'atténuer l'impact de ce nouveau marché carbone, l'Union européenne et ses Etats membres créent un Fonds Social pour le Climat (FSC) visant à accompagner les ménages les plus vulnérables et microentreprises vers des solutions bas carbone.</w:t>
      </w:r>
    </w:p>
    <w:p w14:paraId="1190E21B" w14:textId="77777777" w:rsidR="000863E6" w:rsidRPr="0098629B" w:rsidRDefault="000863E6" w:rsidP="000863E6">
      <w:pPr>
        <w:rPr>
          <w:lang w:eastAsia="en-US"/>
        </w:rPr>
      </w:pPr>
      <w:r w:rsidRPr="0098629B">
        <w:rPr>
          <w:lang w:eastAsia="en-US"/>
        </w:rPr>
        <w:t>Viennent en complément et en soutien de ces outils climatiques des politiques et mesures sectorielles révisées elles aussi à la hausse dans le domaine de l'énergie avec des objectifs plus ambitieux :</w:t>
      </w:r>
    </w:p>
    <w:p w14:paraId="7E3EEDA9" w14:textId="77777777" w:rsidR="000863E6" w:rsidRPr="0098629B" w:rsidRDefault="000863E6" w:rsidP="00573042">
      <w:pPr>
        <w:pStyle w:val="ListParagraph"/>
        <w:numPr>
          <w:ilvl w:val="0"/>
          <w:numId w:val="23"/>
        </w:numPr>
        <w:rPr>
          <w:lang w:eastAsia="en-US"/>
        </w:rPr>
      </w:pPr>
      <w:r w:rsidRPr="0098629B">
        <w:rPr>
          <w:lang w:eastAsia="en-US"/>
        </w:rPr>
        <w:t>Augmentation de 32% actuellement à 40% de la part des énergies renouvelables dans la consommation énergétique finale brute;</w:t>
      </w:r>
    </w:p>
    <w:p w14:paraId="4F307404" w14:textId="77777777" w:rsidR="000863E6" w:rsidRPr="0098629B" w:rsidRDefault="000863E6" w:rsidP="00573042">
      <w:pPr>
        <w:pStyle w:val="ListParagraph"/>
        <w:numPr>
          <w:ilvl w:val="0"/>
          <w:numId w:val="23"/>
        </w:numPr>
        <w:rPr>
          <w:lang w:eastAsia="en-US"/>
        </w:rPr>
      </w:pPr>
      <w:r w:rsidRPr="0098629B">
        <w:rPr>
          <w:lang w:eastAsia="en-US"/>
        </w:rPr>
        <w:t>Diminution de 32,5% en énergie primaire et en énergie finale actuellement à au moins 36% de la consommation d'énergie finale et 39% de la consommation d'énergie primaire par rapport au scénario de référence Baseline 2007.</w:t>
      </w:r>
    </w:p>
    <w:p w14:paraId="10DF8E9B" w14:textId="77777777" w:rsidR="000863E6" w:rsidRPr="0098629B" w:rsidRDefault="000863E6" w:rsidP="000863E6">
      <w:pPr>
        <w:rPr>
          <w:lang w:eastAsia="en-US"/>
        </w:rPr>
      </w:pPr>
    </w:p>
    <w:p w14:paraId="6B6E78EB" w14:textId="3DC9ABD2" w:rsidR="000863E6" w:rsidRPr="0098629B" w:rsidRDefault="000863E6" w:rsidP="000863E6">
      <w:pPr>
        <w:rPr>
          <w:lang w:eastAsia="en-US"/>
        </w:rPr>
      </w:pPr>
      <w:r w:rsidRPr="0098629B">
        <w:rPr>
          <w:lang w:eastAsia="en-US"/>
        </w:rPr>
        <w:t xml:space="preserve">Le paquet « Fit for 55 » révise en ce sens la législation en matière d'énergie dans le cadre des directives sur les énergies renouvelables, sur l'efficacité énergétique, et sur la fiscalité de l'énergie, et également en matière de transports (règlement sur les normes d'émissions de </w:t>
      </w:r>
      <w:r w:rsidR="00811B0F" w:rsidRPr="0098629B">
        <w:t>CO</w:t>
      </w:r>
      <w:r w:rsidR="00811B0F" w:rsidRPr="0098629B">
        <w:rPr>
          <w:vertAlign w:val="subscript"/>
        </w:rPr>
        <w:t>2</w:t>
      </w:r>
      <w:r w:rsidRPr="0098629B">
        <w:rPr>
          <w:lang w:eastAsia="en-US"/>
        </w:rPr>
        <w:t xml:space="preserve"> des véhicules légers, carburants alternatifs dans les différents modes de transport). Ce corpus législatif vise à accélérer la décarbonation de l'économie européenne à travers tous les secteurs afin de permettre l'atteinte par les Etats membres de leurs objectifs climatiques. </w:t>
      </w:r>
    </w:p>
    <w:p w14:paraId="0821BA73" w14:textId="77777777" w:rsidR="000863E6" w:rsidRPr="0098629B" w:rsidRDefault="000863E6" w:rsidP="000863E6">
      <w:pPr>
        <w:rPr>
          <w:lang w:eastAsia="en-US"/>
        </w:rPr>
      </w:pPr>
      <w:r w:rsidRPr="0098629B">
        <w:rPr>
          <w:lang w:eastAsia="en-US"/>
        </w:rPr>
        <w:t>Afin de maintenir la compétitivité des secteurs exposés au risque de « fuites de carbone », un mécanisme d'ajustement carbone aux frontières (MACF) est créé sur des secteurs pilotes (acier, ciment, électricité, engrais, aluminium) et en cohérence avec le marché carbone européen renforcé, avec une mise en œuvre effective à compter de 2026.</w:t>
      </w:r>
    </w:p>
    <w:p w14:paraId="6547866F" w14:textId="49A42886" w:rsidR="00630A34" w:rsidRPr="0098629B" w:rsidRDefault="000863E6" w:rsidP="000863E6">
      <w:pPr>
        <w:rPr>
          <w:lang w:eastAsia="en-US"/>
        </w:rPr>
      </w:pPr>
      <w:r w:rsidRPr="0098629B">
        <w:rPr>
          <w:lang w:eastAsia="en-US"/>
        </w:rPr>
        <w:t xml:space="preserve">Ces propositions font l'objet de négociations approfondies entre le Parlement européen et le Conseil de l'Union européenne (Etats membres). Des accords ont été trouvés à date sur plusieurs textes (ESR, LULUCF, </w:t>
      </w:r>
      <w:r w:rsidR="00811B0F" w:rsidRPr="0098629B">
        <w:t>CO</w:t>
      </w:r>
      <w:r w:rsidR="00811B0F" w:rsidRPr="0098629B">
        <w:rPr>
          <w:vertAlign w:val="subscript"/>
        </w:rPr>
        <w:t>2</w:t>
      </w:r>
      <w:r w:rsidRPr="0098629B">
        <w:rPr>
          <w:lang w:eastAsia="en-US"/>
        </w:rPr>
        <w:t xml:space="preserve"> des véhicules, MACF) sous présidence tchèque</w:t>
      </w:r>
      <w:r w:rsidR="00B04A7C" w:rsidRPr="0098629B">
        <w:rPr>
          <w:lang w:eastAsia="en-US"/>
        </w:rPr>
        <w:t xml:space="preserve"> du Conseil de l’Union européenne</w:t>
      </w:r>
      <w:r w:rsidRPr="0098629B">
        <w:rPr>
          <w:lang w:eastAsia="en-US"/>
        </w:rPr>
        <w:t>. D’autres textes devraient également aboutir prochainement à un accord (EU ETS, FSC, …). L'adoption définitive de ces textes législatifs devrait être effective début 2023.</w:t>
      </w:r>
    </w:p>
    <w:p w14:paraId="03FD4AD6" w14:textId="072AAD3B" w:rsidR="00630A34" w:rsidRPr="0098629B" w:rsidRDefault="00630A34" w:rsidP="004D2261">
      <w:pPr>
        <w:pStyle w:val="Titre2Niveau2"/>
        <w:rPr>
          <w:lang w:eastAsia="en-US"/>
        </w:rPr>
      </w:pPr>
      <w:bookmarkStart w:id="50" w:name="_Toc121149509"/>
      <w:bookmarkStart w:id="51" w:name="_Toc138344594"/>
      <w:r w:rsidRPr="0098629B">
        <w:rPr>
          <w:lang w:eastAsia="en-US"/>
        </w:rPr>
        <w:t>Les politiques et mesures et leurs effets</w:t>
      </w:r>
      <w:bookmarkEnd w:id="50"/>
      <w:bookmarkEnd w:id="51"/>
    </w:p>
    <w:p w14:paraId="4E23F12F" w14:textId="6E3BEC65" w:rsidR="00117FAB" w:rsidRPr="0098629B" w:rsidRDefault="00117FAB" w:rsidP="00117FAB">
      <w:pPr>
        <w:spacing w:after="120"/>
        <w:rPr>
          <w:rFonts w:asciiTheme="minorHAnsi" w:hAnsiTheme="minorHAnsi" w:cs="Arial"/>
          <w:szCs w:val="22"/>
        </w:rPr>
      </w:pPr>
      <w:r w:rsidRPr="0098629B">
        <w:rPr>
          <w:rFonts w:asciiTheme="minorHAnsi" w:hAnsiTheme="minorHAnsi" w:cs="Arial"/>
          <w:szCs w:val="22"/>
        </w:rPr>
        <w:t xml:space="preserve">Au cours du quinquennat précédent (2017-2022), les orientations sectorielles de la SNBC-2 ont été </w:t>
      </w:r>
      <w:r w:rsidRPr="0098629B">
        <w:rPr>
          <w:rFonts w:asciiTheme="minorHAnsi" w:hAnsiTheme="minorHAnsi" w:cs="Arial"/>
          <w:b/>
          <w:szCs w:val="22"/>
        </w:rPr>
        <w:t>progressivement traduites au niveau législatif par des textes structurants pour la réduction des émissions de gaz à effet de serre</w:t>
      </w:r>
      <w:r w:rsidRPr="0098629B">
        <w:rPr>
          <w:rFonts w:asciiTheme="minorHAnsi" w:hAnsiTheme="minorHAnsi" w:cs="Arial"/>
          <w:szCs w:val="22"/>
        </w:rPr>
        <w:t>, engageant des évolutions de long terme dans chaque secteur de l’économie.</w:t>
      </w:r>
    </w:p>
    <w:tbl>
      <w:tblPr>
        <w:tblStyle w:val="ListTable7Colorful-Accent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696"/>
        <w:gridCol w:w="1134"/>
        <w:gridCol w:w="1134"/>
        <w:gridCol w:w="1236"/>
        <w:gridCol w:w="1298"/>
        <w:gridCol w:w="1298"/>
      </w:tblGrid>
      <w:tr w:rsidR="00117FAB" w:rsidRPr="0098629B" w14:paraId="5A339C39" w14:textId="77777777" w:rsidTr="005D59BC">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127" w:type="dxa"/>
            <w:tcBorders>
              <w:bottom w:val="none" w:sz="0" w:space="0" w:color="auto"/>
              <w:right w:val="none" w:sz="0" w:space="0" w:color="auto"/>
            </w:tcBorders>
            <w:noWrap/>
          </w:tcPr>
          <w:p w14:paraId="53E881DF" w14:textId="77777777" w:rsidR="00117FAB" w:rsidRPr="0098629B" w:rsidRDefault="00117FAB" w:rsidP="00891B49">
            <w:pPr>
              <w:jc w:val="center"/>
              <w:rPr>
                <w:rFonts w:ascii="Arial" w:hAnsi="Arial" w:cs="Arial"/>
                <w:color w:val="000000"/>
                <w:sz w:val="20"/>
                <w:szCs w:val="20"/>
              </w:rPr>
            </w:pPr>
          </w:p>
        </w:tc>
        <w:tc>
          <w:tcPr>
            <w:tcW w:w="1696" w:type="dxa"/>
            <w:tcBorders>
              <w:bottom w:val="none" w:sz="0" w:space="0" w:color="auto"/>
            </w:tcBorders>
            <w:vAlign w:val="center"/>
            <w:hideMark/>
          </w:tcPr>
          <w:p w14:paraId="19CB3423" w14:textId="77777777" w:rsidR="00117FAB" w:rsidRPr="0098629B" w:rsidRDefault="00117FAB" w:rsidP="00891B49">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98629B">
              <w:rPr>
                <w:rFonts w:ascii="Arial" w:hAnsi="Arial" w:cs="Arial"/>
                <w:b/>
                <w:i w:val="0"/>
                <w:color w:val="000000"/>
                <w:sz w:val="20"/>
                <w:szCs w:val="20"/>
              </w:rPr>
              <w:t>Loi hydrocarbures (2017)</w:t>
            </w:r>
          </w:p>
        </w:tc>
        <w:tc>
          <w:tcPr>
            <w:tcW w:w="1134" w:type="dxa"/>
            <w:tcBorders>
              <w:bottom w:val="none" w:sz="0" w:space="0" w:color="auto"/>
            </w:tcBorders>
            <w:vAlign w:val="center"/>
            <w:hideMark/>
          </w:tcPr>
          <w:p w14:paraId="239BDA50" w14:textId="77777777" w:rsidR="00117FAB" w:rsidRPr="0098629B"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98629B">
              <w:rPr>
                <w:rFonts w:ascii="Arial" w:hAnsi="Arial" w:cs="Arial"/>
                <w:b/>
                <w:i w:val="0"/>
                <w:color w:val="000000"/>
                <w:sz w:val="20"/>
                <w:szCs w:val="20"/>
              </w:rPr>
              <w:t>ELAN (2018)</w:t>
            </w:r>
          </w:p>
        </w:tc>
        <w:tc>
          <w:tcPr>
            <w:tcW w:w="1134" w:type="dxa"/>
            <w:tcBorders>
              <w:bottom w:val="none" w:sz="0" w:space="0" w:color="auto"/>
            </w:tcBorders>
            <w:vAlign w:val="center"/>
            <w:hideMark/>
          </w:tcPr>
          <w:p w14:paraId="2D13005C" w14:textId="77777777" w:rsidR="00117FAB" w:rsidRPr="0098629B"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98629B">
              <w:rPr>
                <w:rFonts w:ascii="Arial" w:hAnsi="Arial" w:cs="Arial"/>
                <w:b/>
                <w:i w:val="0"/>
                <w:color w:val="000000"/>
                <w:sz w:val="20"/>
                <w:szCs w:val="20"/>
              </w:rPr>
              <w:t>EGALIM (2018)</w:t>
            </w:r>
          </w:p>
        </w:tc>
        <w:tc>
          <w:tcPr>
            <w:tcW w:w="1236" w:type="dxa"/>
            <w:tcBorders>
              <w:bottom w:val="none" w:sz="0" w:space="0" w:color="auto"/>
            </w:tcBorders>
            <w:vAlign w:val="center"/>
            <w:hideMark/>
          </w:tcPr>
          <w:p w14:paraId="4D01A655" w14:textId="77777777" w:rsidR="00117FAB" w:rsidRPr="0098629B"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98629B">
              <w:rPr>
                <w:rFonts w:ascii="Arial" w:hAnsi="Arial" w:cs="Arial"/>
                <w:b/>
                <w:i w:val="0"/>
                <w:color w:val="000000"/>
                <w:sz w:val="20"/>
                <w:szCs w:val="20"/>
              </w:rPr>
              <w:t>LEC (2019)</w:t>
            </w:r>
          </w:p>
        </w:tc>
        <w:tc>
          <w:tcPr>
            <w:tcW w:w="1298" w:type="dxa"/>
            <w:tcBorders>
              <w:bottom w:val="none" w:sz="0" w:space="0" w:color="auto"/>
            </w:tcBorders>
            <w:vAlign w:val="center"/>
            <w:hideMark/>
          </w:tcPr>
          <w:p w14:paraId="5356EDB5" w14:textId="77777777" w:rsidR="00117FAB" w:rsidRPr="0098629B"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98629B">
              <w:rPr>
                <w:rFonts w:ascii="Arial" w:hAnsi="Arial" w:cs="Arial"/>
                <w:b/>
                <w:i w:val="0"/>
                <w:color w:val="000000"/>
                <w:sz w:val="20"/>
                <w:szCs w:val="20"/>
              </w:rPr>
              <w:t>LOM (2019)</w:t>
            </w:r>
          </w:p>
        </w:tc>
        <w:tc>
          <w:tcPr>
            <w:tcW w:w="1298" w:type="dxa"/>
            <w:tcBorders>
              <w:bottom w:val="none" w:sz="0" w:space="0" w:color="auto"/>
            </w:tcBorders>
            <w:vAlign w:val="center"/>
            <w:hideMark/>
          </w:tcPr>
          <w:p w14:paraId="48EA28FF" w14:textId="77777777" w:rsidR="00117FAB" w:rsidRPr="0098629B"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98629B">
              <w:rPr>
                <w:rFonts w:ascii="Arial" w:hAnsi="Arial" w:cs="Arial"/>
                <w:b/>
                <w:i w:val="0"/>
                <w:color w:val="000000"/>
                <w:sz w:val="20"/>
                <w:szCs w:val="20"/>
              </w:rPr>
              <w:t>AGEC  (2020)</w:t>
            </w:r>
          </w:p>
        </w:tc>
      </w:tr>
      <w:tr w:rsidR="00117FAB" w:rsidRPr="0098629B" w14:paraId="4C4179FC" w14:textId="77777777" w:rsidTr="005D59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08FD0B88" w14:textId="77777777" w:rsidR="00117FAB" w:rsidRPr="0098629B" w:rsidRDefault="00117FAB" w:rsidP="00891B49">
            <w:pPr>
              <w:rPr>
                <w:rFonts w:ascii="Arial" w:hAnsi="Arial" w:cs="Arial"/>
                <w:color w:val="000000"/>
                <w:sz w:val="20"/>
                <w:szCs w:val="20"/>
              </w:rPr>
            </w:pPr>
            <w:r w:rsidRPr="0098629B">
              <w:rPr>
                <w:rFonts w:ascii="Arial" w:hAnsi="Arial" w:cs="Arial"/>
                <w:color w:val="000000"/>
                <w:sz w:val="20"/>
                <w:szCs w:val="20"/>
              </w:rPr>
              <w:t>Transports</w:t>
            </w:r>
          </w:p>
        </w:tc>
        <w:tc>
          <w:tcPr>
            <w:tcW w:w="1696" w:type="dxa"/>
            <w:noWrap/>
            <w:hideMark/>
          </w:tcPr>
          <w:p w14:paraId="6EB00532"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71C4301E"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0E76F0E7"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36" w:type="dxa"/>
            <w:noWrap/>
            <w:hideMark/>
          </w:tcPr>
          <w:p w14:paraId="04048718"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3CBF4789"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w:t>
            </w:r>
          </w:p>
        </w:tc>
        <w:tc>
          <w:tcPr>
            <w:tcW w:w="1298" w:type="dxa"/>
            <w:noWrap/>
            <w:hideMark/>
          </w:tcPr>
          <w:p w14:paraId="112825DE"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r>
      <w:tr w:rsidR="00117FAB" w:rsidRPr="0098629B" w14:paraId="739401B4" w14:textId="77777777" w:rsidTr="005D59BC">
        <w:trPr>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06F18534" w14:textId="77777777" w:rsidR="00117FAB" w:rsidRPr="0098629B" w:rsidRDefault="00117FAB" w:rsidP="00891B49">
            <w:pPr>
              <w:rPr>
                <w:rFonts w:ascii="Arial" w:hAnsi="Arial" w:cs="Arial"/>
                <w:color w:val="000000"/>
                <w:sz w:val="20"/>
                <w:szCs w:val="20"/>
              </w:rPr>
            </w:pPr>
            <w:r w:rsidRPr="0098629B">
              <w:rPr>
                <w:rFonts w:ascii="Arial" w:hAnsi="Arial" w:cs="Arial"/>
                <w:color w:val="000000"/>
                <w:sz w:val="20"/>
                <w:szCs w:val="20"/>
              </w:rPr>
              <w:t>Bâtiments</w:t>
            </w:r>
          </w:p>
        </w:tc>
        <w:tc>
          <w:tcPr>
            <w:tcW w:w="1696" w:type="dxa"/>
            <w:noWrap/>
            <w:hideMark/>
          </w:tcPr>
          <w:p w14:paraId="7A8FC865"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7907C6D8"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w:t>
            </w:r>
          </w:p>
        </w:tc>
        <w:tc>
          <w:tcPr>
            <w:tcW w:w="1134" w:type="dxa"/>
            <w:noWrap/>
            <w:hideMark/>
          </w:tcPr>
          <w:p w14:paraId="3A644BEC"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36" w:type="dxa"/>
            <w:noWrap/>
            <w:hideMark/>
          </w:tcPr>
          <w:p w14:paraId="34C17587"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w:t>
            </w:r>
          </w:p>
        </w:tc>
        <w:tc>
          <w:tcPr>
            <w:tcW w:w="1298" w:type="dxa"/>
            <w:noWrap/>
            <w:hideMark/>
          </w:tcPr>
          <w:p w14:paraId="7CC678E2"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651862D2"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r>
      <w:tr w:rsidR="00117FAB" w:rsidRPr="0098629B" w14:paraId="62732343" w14:textId="77777777" w:rsidTr="005D59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10125A6B" w14:textId="77777777" w:rsidR="00117FAB" w:rsidRPr="0098629B" w:rsidRDefault="00117FAB" w:rsidP="00891B49">
            <w:pPr>
              <w:rPr>
                <w:rFonts w:ascii="Arial" w:hAnsi="Arial" w:cs="Arial"/>
                <w:color w:val="000000"/>
                <w:sz w:val="20"/>
                <w:szCs w:val="20"/>
              </w:rPr>
            </w:pPr>
            <w:r w:rsidRPr="0098629B">
              <w:rPr>
                <w:rFonts w:ascii="Arial" w:hAnsi="Arial" w:cs="Arial"/>
                <w:color w:val="000000"/>
                <w:sz w:val="20"/>
                <w:szCs w:val="20"/>
              </w:rPr>
              <w:t>Agriculture</w:t>
            </w:r>
          </w:p>
        </w:tc>
        <w:tc>
          <w:tcPr>
            <w:tcW w:w="1696" w:type="dxa"/>
            <w:noWrap/>
            <w:hideMark/>
          </w:tcPr>
          <w:p w14:paraId="2B237072"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099D9A63"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7E387AB0"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w:t>
            </w:r>
          </w:p>
        </w:tc>
        <w:tc>
          <w:tcPr>
            <w:tcW w:w="1236" w:type="dxa"/>
            <w:noWrap/>
            <w:hideMark/>
          </w:tcPr>
          <w:p w14:paraId="57C7B104"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22DEC2B1"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56DFCAC7"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17FAB" w:rsidRPr="0098629B" w14:paraId="12E0BDB4" w14:textId="77777777" w:rsidTr="005D59BC">
        <w:trPr>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761C9B8D" w14:textId="77777777" w:rsidR="00117FAB" w:rsidRPr="0098629B" w:rsidRDefault="00117FAB" w:rsidP="00891B49">
            <w:pPr>
              <w:rPr>
                <w:rFonts w:ascii="Arial" w:hAnsi="Arial" w:cs="Arial"/>
                <w:color w:val="000000"/>
                <w:sz w:val="20"/>
                <w:szCs w:val="20"/>
              </w:rPr>
            </w:pPr>
            <w:r w:rsidRPr="0098629B">
              <w:rPr>
                <w:rFonts w:ascii="Arial" w:hAnsi="Arial" w:cs="Arial"/>
                <w:color w:val="000000"/>
                <w:sz w:val="20"/>
                <w:szCs w:val="20"/>
              </w:rPr>
              <w:t>Industrie</w:t>
            </w:r>
          </w:p>
        </w:tc>
        <w:tc>
          <w:tcPr>
            <w:tcW w:w="1696" w:type="dxa"/>
            <w:noWrap/>
            <w:hideMark/>
          </w:tcPr>
          <w:p w14:paraId="428864BC"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058D6B86"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1D62A463"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36" w:type="dxa"/>
            <w:noWrap/>
            <w:hideMark/>
          </w:tcPr>
          <w:p w14:paraId="6C491FFC"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4C5D0553"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27A227E1"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 </w:t>
            </w:r>
          </w:p>
        </w:tc>
      </w:tr>
      <w:tr w:rsidR="00117FAB" w:rsidRPr="0098629B" w14:paraId="5563B478" w14:textId="77777777" w:rsidTr="005D59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52DA697F" w14:textId="77777777" w:rsidR="00117FAB" w:rsidRPr="0098629B" w:rsidRDefault="00117FAB" w:rsidP="00891B49">
            <w:pPr>
              <w:rPr>
                <w:rFonts w:ascii="Arial" w:hAnsi="Arial" w:cs="Arial"/>
                <w:color w:val="000000"/>
                <w:sz w:val="20"/>
                <w:szCs w:val="20"/>
              </w:rPr>
            </w:pPr>
            <w:r w:rsidRPr="0098629B">
              <w:rPr>
                <w:rFonts w:ascii="Arial" w:hAnsi="Arial" w:cs="Arial"/>
                <w:color w:val="000000"/>
                <w:sz w:val="20"/>
                <w:szCs w:val="20"/>
              </w:rPr>
              <w:t>Production d'énergie</w:t>
            </w:r>
          </w:p>
        </w:tc>
        <w:tc>
          <w:tcPr>
            <w:tcW w:w="1696" w:type="dxa"/>
            <w:noWrap/>
            <w:hideMark/>
          </w:tcPr>
          <w:p w14:paraId="200E1570"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w:t>
            </w:r>
          </w:p>
        </w:tc>
        <w:tc>
          <w:tcPr>
            <w:tcW w:w="1134" w:type="dxa"/>
            <w:noWrap/>
            <w:hideMark/>
          </w:tcPr>
          <w:p w14:paraId="57593D88"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159A6E10"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36" w:type="dxa"/>
            <w:noWrap/>
            <w:hideMark/>
          </w:tcPr>
          <w:p w14:paraId="607D259D"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w:t>
            </w:r>
          </w:p>
        </w:tc>
        <w:tc>
          <w:tcPr>
            <w:tcW w:w="1298" w:type="dxa"/>
            <w:noWrap/>
            <w:hideMark/>
          </w:tcPr>
          <w:p w14:paraId="3C18F504"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247C7365" w14:textId="77777777" w:rsidR="00117FAB" w:rsidRPr="0098629B"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r>
      <w:tr w:rsidR="00117FAB" w:rsidRPr="0098629B" w14:paraId="26BBE6F6" w14:textId="77777777" w:rsidTr="005D59BC">
        <w:trPr>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6D0F4412" w14:textId="77777777" w:rsidR="00117FAB" w:rsidRPr="0098629B" w:rsidRDefault="00117FAB" w:rsidP="00891B49">
            <w:pPr>
              <w:rPr>
                <w:rFonts w:ascii="Arial" w:hAnsi="Arial" w:cs="Arial"/>
                <w:color w:val="000000"/>
                <w:sz w:val="20"/>
                <w:szCs w:val="20"/>
              </w:rPr>
            </w:pPr>
            <w:r w:rsidRPr="0098629B">
              <w:rPr>
                <w:rFonts w:ascii="Arial" w:hAnsi="Arial" w:cs="Arial"/>
                <w:color w:val="000000"/>
                <w:sz w:val="20"/>
                <w:szCs w:val="20"/>
              </w:rPr>
              <w:t>Déchets</w:t>
            </w:r>
          </w:p>
        </w:tc>
        <w:tc>
          <w:tcPr>
            <w:tcW w:w="1696" w:type="dxa"/>
            <w:noWrap/>
            <w:hideMark/>
          </w:tcPr>
          <w:p w14:paraId="7DB356A1"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640F5480"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134" w:type="dxa"/>
            <w:noWrap/>
            <w:hideMark/>
          </w:tcPr>
          <w:p w14:paraId="3B298FA3"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 </w:t>
            </w:r>
          </w:p>
        </w:tc>
        <w:tc>
          <w:tcPr>
            <w:tcW w:w="1236" w:type="dxa"/>
            <w:noWrap/>
            <w:hideMark/>
          </w:tcPr>
          <w:p w14:paraId="44783196"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52132B5F"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 </w:t>
            </w:r>
          </w:p>
        </w:tc>
        <w:tc>
          <w:tcPr>
            <w:tcW w:w="1298" w:type="dxa"/>
            <w:noWrap/>
            <w:hideMark/>
          </w:tcPr>
          <w:p w14:paraId="4473BA39" w14:textId="77777777" w:rsidR="00117FAB" w:rsidRPr="0098629B"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8629B">
              <w:rPr>
                <w:rFonts w:ascii="Arial" w:hAnsi="Arial" w:cs="Arial"/>
                <w:color w:val="000000"/>
                <w:sz w:val="20"/>
                <w:szCs w:val="20"/>
              </w:rPr>
              <w:t>X</w:t>
            </w:r>
          </w:p>
        </w:tc>
      </w:tr>
    </w:tbl>
    <w:p w14:paraId="1198456F" w14:textId="77777777" w:rsidR="00117FAB" w:rsidRPr="0098629B" w:rsidRDefault="00117FAB" w:rsidP="00117FAB">
      <w:pPr>
        <w:spacing w:after="120"/>
        <w:rPr>
          <w:rFonts w:ascii="Arial" w:eastAsiaTheme="majorEastAsia" w:hAnsi="Arial" w:cs="Arial"/>
          <w:b/>
          <w:i/>
          <w:iCs/>
          <w:color w:val="365F91" w:themeColor="accent1" w:themeShade="BF"/>
          <w:sz w:val="20"/>
          <w:szCs w:val="20"/>
        </w:rPr>
      </w:pPr>
    </w:p>
    <w:p w14:paraId="19AC738A" w14:textId="77777777" w:rsidR="00117FAB" w:rsidRPr="0098629B" w:rsidRDefault="00117FAB" w:rsidP="006E0C3B">
      <w:pPr>
        <w:pStyle w:val="titreencadre"/>
        <w:rPr>
          <w:rFonts w:eastAsiaTheme="majorEastAsia"/>
        </w:rPr>
      </w:pPr>
      <w:r w:rsidRPr="0098629B">
        <w:rPr>
          <w:rFonts w:eastAsiaTheme="majorEastAsia"/>
        </w:rPr>
        <w:t>Loi mettant fin à l’exploration et à la production d’hydrocarbures en France - 2017</w:t>
      </w:r>
    </w:p>
    <w:p w14:paraId="07D9422A" w14:textId="77777777" w:rsidR="00117FAB" w:rsidRPr="0098629B" w:rsidRDefault="00117FAB" w:rsidP="00117FAB">
      <w:pPr>
        <w:rPr>
          <w:rFonts w:asciiTheme="minorHAnsi" w:hAnsiTheme="minorHAnsi" w:cs="Arial"/>
          <w:szCs w:val="22"/>
        </w:rPr>
      </w:pPr>
      <w:r w:rsidRPr="0098629B">
        <w:rPr>
          <w:rFonts w:asciiTheme="minorHAnsi" w:hAnsiTheme="minorHAnsi" w:cs="Arial"/>
          <w:szCs w:val="22"/>
        </w:rPr>
        <w:t>Cette loi prévoit</w:t>
      </w:r>
      <w:r w:rsidRPr="0098629B">
        <w:rPr>
          <w:rFonts w:ascii="Calibri" w:hAnsi="Calibri" w:cs="Calibri"/>
          <w:szCs w:val="22"/>
        </w:rPr>
        <w:t> </w:t>
      </w:r>
      <w:r w:rsidRPr="0098629B">
        <w:rPr>
          <w:rFonts w:asciiTheme="minorHAnsi" w:hAnsiTheme="minorHAnsi" w:cs="Arial"/>
          <w:szCs w:val="22"/>
        </w:rPr>
        <w:t>:</w:t>
      </w:r>
    </w:p>
    <w:p w14:paraId="34CBEE3F" w14:textId="77777777" w:rsidR="00117FAB" w:rsidRPr="0098629B" w:rsidRDefault="00117FAB" w:rsidP="00573042">
      <w:pPr>
        <w:numPr>
          <w:ilvl w:val="0"/>
          <w:numId w:val="55"/>
        </w:numPr>
        <w:spacing w:after="120" w:line="259" w:lineRule="auto"/>
        <w:contextualSpacing/>
        <w:rPr>
          <w:rFonts w:asciiTheme="minorHAnsi" w:hAnsiTheme="minorHAnsi" w:cs="Arial"/>
          <w:szCs w:val="22"/>
        </w:rPr>
      </w:pPr>
      <w:r w:rsidRPr="0098629B">
        <w:rPr>
          <w:rFonts w:asciiTheme="minorHAnsi" w:hAnsiTheme="minorHAnsi" w:cs="Arial"/>
          <w:szCs w:val="22"/>
        </w:rPr>
        <w:lastRenderedPageBreak/>
        <w:t xml:space="preserve">L’interdiction du renouvellement des concessions d’exploitation existantes au-delà de 2040, </w:t>
      </w:r>
    </w:p>
    <w:p w14:paraId="0E7FA814" w14:textId="77777777" w:rsidR="00117FAB" w:rsidRPr="0098629B" w:rsidRDefault="00117FAB" w:rsidP="00573042">
      <w:pPr>
        <w:numPr>
          <w:ilvl w:val="0"/>
          <w:numId w:val="55"/>
        </w:numPr>
        <w:spacing w:after="120" w:line="259" w:lineRule="auto"/>
        <w:contextualSpacing/>
        <w:rPr>
          <w:rFonts w:asciiTheme="minorHAnsi" w:hAnsiTheme="minorHAnsi" w:cs="Arial"/>
          <w:szCs w:val="22"/>
        </w:rPr>
      </w:pPr>
      <w:r w:rsidRPr="0098629B">
        <w:rPr>
          <w:rFonts w:asciiTheme="minorHAnsi" w:hAnsiTheme="minorHAnsi" w:cs="Arial"/>
          <w:szCs w:val="22"/>
        </w:rPr>
        <w:t xml:space="preserve">L’interdiction de délivrer de nouveaux permis de recherche d’hydrocarbures dès 2017. </w:t>
      </w:r>
    </w:p>
    <w:p w14:paraId="525FBBCA" w14:textId="77777777" w:rsidR="00117FAB" w:rsidRPr="0098629B" w:rsidRDefault="00117FAB" w:rsidP="00117FAB">
      <w:pPr>
        <w:spacing w:after="120"/>
        <w:rPr>
          <w:rFonts w:asciiTheme="minorHAnsi" w:hAnsiTheme="minorHAnsi" w:cs="Arial"/>
          <w:szCs w:val="22"/>
        </w:rPr>
      </w:pPr>
      <w:r w:rsidRPr="0098629B">
        <w:rPr>
          <w:rFonts w:asciiTheme="minorHAnsi" w:hAnsiTheme="minorHAnsi" w:cs="Arial"/>
          <w:szCs w:val="22"/>
        </w:rPr>
        <w:t>La production de pétrole brut sur le territoire français a ainsi été divisée par plus de cinq depuis la fin des années 1980. Elle s’élevait en 2020 à 645 milliers de tonnes.</w:t>
      </w:r>
    </w:p>
    <w:p w14:paraId="3DB41AE3" w14:textId="40B3F410" w:rsidR="00117FAB" w:rsidRPr="0098629B" w:rsidRDefault="00117FAB" w:rsidP="006E0C3B">
      <w:pPr>
        <w:pStyle w:val="titreencadre"/>
        <w:rPr>
          <w:rFonts w:eastAsiaTheme="majorEastAsia"/>
        </w:rPr>
      </w:pPr>
      <w:r w:rsidRPr="0098629B">
        <w:rPr>
          <w:rFonts w:eastAsiaTheme="majorEastAsia"/>
        </w:rPr>
        <w:t>Loi portant évolution du logement, de l’aménagement et du numérique (ELAN) – 2018</w:t>
      </w:r>
    </w:p>
    <w:p w14:paraId="41783C86" w14:textId="77777777" w:rsidR="00117FAB" w:rsidRPr="0098629B" w:rsidRDefault="00117FAB" w:rsidP="00117FAB">
      <w:pPr>
        <w:spacing w:after="120"/>
        <w:rPr>
          <w:rFonts w:asciiTheme="minorHAnsi" w:hAnsiTheme="minorHAnsi" w:cs="Arial"/>
          <w:szCs w:val="22"/>
        </w:rPr>
      </w:pPr>
      <w:r w:rsidRPr="0098629B">
        <w:rPr>
          <w:rFonts w:asciiTheme="minorHAnsi" w:hAnsiTheme="minorHAnsi" w:cs="Arial"/>
          <w:szCs w:val="22"/>
        </w:rPr>
        <w:t xml:space="preserve">Cette loi entend faciliter la démarche de construction tout en responsabilisant les acteurs dans la réduction des consommations énergétiques des bâtiments. Cette loi a ainsi notamment posé les bases de la réglementation environnementale des bâtiments neufs, appelée RE2020 entrée en vigueur au 1er janvier 2022, en remplacement de la réglementation thermique antérieure (RT2012). </w:t>
      </w:r>
    </w:p>
    <w:p w14:paraId="3CB6B426" w14:textId="77777777" w:rsidR="00117FAB" w:rsidRPr="0098629B" w:rsidRDefault="00117FAB" w:rsidP="006E0C3B">
      <w:pPr>
        <w:pStyle w:val="titreencadre"/>
        <w:rPr>
          <w:rFonts w:eastAsiaTheme="majorEastAsia"/>
        </w:rPr>
      </w:pPr>
      <w:r w:rsidRPr="0098629B">
        <w:rPr>
          <w:rFonts w:eastAsiaTheme="majorEastAsia"/>
        </w:rPr>
        <w:t>Loi pour l’équilibre des relations commerciales dans le secteur agricole et alimentaire et une alimentation saine, durable et accessible à tous (EGALIM) – 2018</w:t>
      </w:r>
    </w:p>
    <w:p w14:paraId="4829FCFB" w14:textId="77777777" w:rsidR="00117FAB" w:rsidRPr="0098629B" w:rsidRDefault="00117FAB" w:rsidP="00117FAB">
      <w:pPr>
        <w:spacing w:after="120"/>
        <w:rPr>
          <w:rFonts w:asciiTheme="minorHAnsi" w:hAnsiTheme="minorHAnsi" w:cs="Arial"/>
          <w:szCs w:val="22"/>
        </w:rPr>
      </w:pPr>
      <w:r w:rsidRPr="0098629B">
        <w:rPr>
          <w:rFonts w:asciiTheme="minorHAnsi" w:hAnsiTheme="minorHAnsi" w:cs="Arial"/>
          <w:szCs w:val="22"/>
        </w:rPr>
        <w:t>Cette loi vise à enclencher un changement significatif dans notre manière de nous nourrir pour soutenir un système agricole plus respectueux de l’environnement. En particulier, la loi EGALIM</w:t>
      </w:r>
      <w:r w:rsidRPr="0098629B">
        <w:rPr>
          <w:rFonts w:ascii="Calibri" w:hAnsi="Calibri" w:cs="Calibri"/>
          <w:szCs w:val="22"/>
        </w:rPr>
        <w:t> </w:t>
      </w:r>
      <w:r w:rsidRPr="0098629B">
        <w:rPr>
          <w:rFonts w:asciiTheme="minorHAnsi" w:hAnsiTheme="minorHAnsi" w:cs="Arial"/>
          <w:szCs w:val="22"/>
        </w:rPr>
        <w:t>:</w:t>
      </w:r>
    </w:p>
    <w:p w14:paraId="0DDB0799" w14:textId="77777777" w:rsidR="00117FAB" w:rsidRPr="0098629B" w:rsidRDefault="00117FAB" w:rsidP="00573042">
      <w:pPr>
        <w:numPr>
          <w:ilvl w:val="0"/>
          <w:numId w:val="54"/>
        </w:numPr>
        <w:spacing w:after="120" w:line="259" w:lineRule="auto"/>
        <w:contextualSpacing/>
        <w:rPr>
          <w:rFonts w:asciiTheme="minorHAnsi" w:hAnsiTheme="minorHAnsi" w:cs="Arial"/>
          <w:szCs w:val="22"/>
        </w:rPr>
      </w:pPr>
      <w:r w:rsidRPr="0098629B">
        <w:rPr>
          <w:rFonts w:asciiTheme="minorHAnsi" w:hAnsiTheme="minorHAnsi" w:cs="Arial"/>
          <w:szCs w:val="22"/>
        </w:rPr>
        <w:t>Prévoit un soutien aux systèmes de production biologique en réglementant la part minimale en produits de qualité et durables, au 1er janvier 2022 servis en restauration collective</w:t>
      </w:r>
      <w:r w:rsidRPr="0098629B">
        <w:rPr>
          <w:rFonts w:ascii="Calibri" w:hAnsi="Calibri" w:cs="Calibri"/>
          <w:szCs w:val="22"/>
        </w:rPr>
        <w:t> </w:t>
      </w:r>
      <w:r w:rsidRPr="0098629B">
        <w:rPr>
          <w:rFonts w:asciiTheme="minorHAnsi" w:hAnsiTheme="minorHAnsi" w:cs="Arial"/>
          <w:szCs w:val="22"/>
        </w:rPr>
        <w:t xml:space="preserve">; </w:t>
      </w:r>
    </w:p>
    <w:p w14:paraId="26BF26F7" w14:textId="77777777" w:rsidR="00117FAB" w:rsidRPr="0098629B" w:rsidRDefault="00117FAB" w:rsidP="00573042">
      <w:pPr>
        <w:numPr>
          <w:ilvl w:val="0"/>
          <w:numId w:val="54"/>
        </w:numPr>
        <w:spacing w:after="120" w:line="259" w:lineRule="auto"/>
        <w:contextualSpacing/>
        <w:rPr>
          <w:rFonts w:asciiTheme="minorHAnsi" w:hAnsiTheme="minorHAnsi" w:cs="Arial"/>
          <w:szCs w:val="22"/>
        </w:rPr>
      </w:pPr>
      <w:r w:rsidRPr="0098629B">
        <w:rPr>
          <w:rFonts w:asciiTheme="minorHAnsi" w:hAnsiTheme="minorHAnsi" w:cs="Arial"/>
          <w:szCs w:val="22"/>
        </w:rPr>
        <w:t>Introduit la proposition d’un menu végétarien hebdomadaire par semaine dans les services de restauration collective dans un cadre expérimental.</w:t>
      </w:r>
    </w:p>
    <w:p w14:paraId="0E4695EB" w14:textId="77777777" w:rsidR="00117FAB" w:rsidRPr="0098629B" w:rsidRDefault="00117FAB" w:rsidP="00117FAB">
      <w:pPr>
        <w:spacing w:after="120"/>
        <w:ind w:left="720"/>
        <w:contextualSpacing/>
        <w:rPr>
          <w:rFonts w:ascii="Arial" w:hAnsi="Arial" w:cs="Arial"/>
          <w:sz w:val="20"/>
          <w:szCs w:val="20"/>
        </w:rPr>
      </w:pPr>
    </w:p>
    <w:p w14:paraId="44F21716" w14:textId="77777777" w:rsidR="00117FAB" w:rsidRPr="0098629B" w:rsidRDefault="00117FAB" w:rsidP="006E0C3B">
      <w:pPr>
        <w:pStyle w:val="titreencadre"/>
        <w:rPr>
          <w:rFonts w:eastAsiaTheme="majorEastAsia"/>
        </w:rPr>
      </w:pPr>
      <w:r w:rsidRPr="0098629B">
        <w:rPr>
          <w:rFonts w:eastAsiaTheme="majorEastAsia"/>
        </w:rPr>
        <w:t>Loi relative à l’énergie et au climat (LEC) - 2019</w:t>
      </w:r>
    </w:p>
    <w:p w14:paraId="166C821C" w14:textId="77777777" w:rsidR="00117FAB" w:rsidRPr="0098629B" w:rsidRDefault="00117FAB" w:rsidP="00117FAB">
      <w:pPr>
        <w:rPr>
          <w:rFonts w:asciiTheme="minorHAnsi" w:hAnsiTheme="minorHAnsi" w:cs="Arial"/>
          <w:szCs w:val="22"/>
        </w:rPr>
      </w:pPr>
      <w:r w:rsidRPr="0098629B">
        <w:rPr>
          <w:rFonts w:asciiTheme="minorHAnsi" w:hAnsiTheme="minorHAnsi" w:cs="Arial"/>
          <w:szCs w:val="22"/>
        </w:rPr>
        <w:t>Cette loi a inscrit dans la législation française l’objectif d’une neutralité carbone en 2050 et a fait de la France l’un des tous premiers pays occidentaux à traduire cette ambition dans la loi. Pour y parvenir, la loi prévoit un ensemble de mesures portant sur quatre axes principaux</w:t>
      </w:r>
      <w:r w:rsidRPr="0098629B">
        <w:rPr>
          <w:rFonts w:ascii="Calibri" w:hAnsi="Calibri" w:cs="Calibri"/>
          <w:szCs w:val="22"/>
        </w:rPr>
        <w:t> </w:t>
      </w:r>
      <w:r w:rsidRPr="0098629B">
        <w:rPr>
          <w:rFonts w:asciiTheme="minorHAnsi" w:hAnsiTheme="minorHAnsi" w:cs="Arial"/>
          <w:szCs w:val="22"/>
        </w:rPr>
        <w:t>:</w:t>
      </w:r>
    </w:p>
    <w:p w14:paraId="5BC81ADA" w14:textId="77777777" w:rsidR="00117FAB" w:rsidRPr="0098629B" w:rsidRDefault="00117FAB" w:rsidP="00573042">
      <w:pPr>
        <w:numPr>
          <w:ilvl w:val="0"/>
          <w:numId w:val="56"/>
        </w:numPr>
        <w:spacing w:after="120" w:line="259" w:lineRule="auto"/>
        <w:contextualSpacing/>
        <w:jc w:val="left"/>
        <w:rPr>
          <w:rFonts w:asciiTheme="minorHAnsi" w:hAnsiTheme="minorHAnsi" w:cs="Arial"/>
          <w:szCs w:val="22"/>
        </w:rPr>
      </w:pPr>
      <w:r w:rsidRPr="0098629B">
        <w:rPr>
          <w:rFonts w:asciiTheme="minorHAnsi" w:hAnsiTheme="minorHAnsi" w:cs="Arial"/>
          <w:szCs w:val="22"/>
        </w:rPr>
        <w:t>Réduire notre dépendance aux énergies fossiles et développer les énergies renouvelables</w:t>
      </w:r>
    </w:p>
    <w:p w14:paraId="26BAFD41" w14:textId="77777777" w:rsidR="00117FAB" w:rsidRPr="0098629B" w:rsidRDefault="00117FAB" w:rsidP="00573042">
      <w:pPr>
        <w:numPr>
          <w:ilvl w:val="0"/>
          <w:numId w:val="56"/>
        </w:numPr>
        <w:spacing w:after="120" w:line="259" w:lineRule="auto"/>
        <w:contextualSpacing/>
        <w:jc w:val="left"/>
        <w:rPr>
          <w:rFonts w:asciiTheme="minorHAnsi" w:hAnsiTheme="minorHAnsi" w:cs="Arial"/>
          <w:szCs w:val="22"/>
        </w:rPr>
      </w:pPr>
      <w:r w:rsidRPr="0098629B">
        <w:rPr>
          <w:rFonts w:asciiTheme="minorHAnsi" w:hAnsiTheme="minorHAnsi" w:cs="Arial"/>
          <w:szCs w:val="22"/>
        </w:rPr>
        <w:t>Lutter contre les passoires thermiques</w:t>
      </w:r>
    </w:p>
    <w:p w14:paraId="6E927B34" w14:textId="77777777" w:rsidR="00117FAB" w:rsidRPr="0098629B" w:rsidRDefault="00117FAB" w:rsidP="00573042">
      <w:pPr>
        <w:numPr>
          <w:ilvl w:val="0"/>
          <w:numId w:val="56"/>
        </w:numPr>
        <w:spacing w:after="120" w:line="259" w:lineRule="auto"/>
        <w:contextualSpacing/>
        <w:jc w:val="left"/>
        <w:rPr>
          <w:rFonts w:asciiTheme="minorHAnsi" w:hAnsiTheme="minorHAnsi" w:cs="Arial"/>
          <w:szCs w:val="22"/>
        </w:rPr>
      </w:pPr>
      <w:r w:rsidRPr="0098629B">
        <w:rPr>
          <w:rFonts w:asciiTheme="minorHAnsi" w:hAnsiTheme="minorHAnsi" w:cs="Arial"/>
          <w:szCs w:val="22"/>
        </w:rPr>
        <w:t>Mettre en place de nouveaux outils de pilotage, de gouvernance et d’évaluation de l’action climatique</w:t>
      </w:r>
    </w:p>
    <w:p w14:paraId="048D7CDF" w14:textId="77777777" w:rsidR="00117FAB" w:rsidRPr="0098629B" w:rsidRDefault="00117FAB" w:rsidP="00573042">
      <w:pPr>
        <w:numPr>
          <w:ilvl w:val="0"/>
          <w:numId w:val="56"/>
        </w:numPr>
        <w:spacing w:after="120" w:line="259" w:lineRule="auto"/>
        <w:contextualSpacing/>
        <w:jc w:val="left"/>
        <w:rPr>
          <w:rFonts w:asciiTheme="minorHAnsi" w:hAnsiTheme="minorHAnsi" w:cs="Arial"/>
          <w:szCs w:val="22"/>
        </w:rPr>
      </w:pPr>
      <w:r w:rsidRPr="0098629B">
        <w:rPr>
          <w:rFonts w:asciiTheme="minorHAnsi" w:hAnsiTheme="minorHAnsi" w:cs="Arial"/>
          <w:szCs w:val="22"/>
        </w:rPr>
        <w:t xml:space="preserve">Réguler le secteur de l’électricité et du gaz </w:t>
      </w:r>
    </w:p>
    <w:p w14:paraId="42FC179B" w14:textId="77777777" w:rsidR="00117FAB" w:rsidRPr="0098629B" w:rsidRDefault="00117FAB" w:rsidP="00117FAB">
      <w:pPr>
        <w:rPr>
          <w:rFonts w:ascii="Arial" w:eastAsiaTheme="majorEastAsia" w:hAnsi="Arial" w:cs="Arial"/>
          <w:b/>
          <w:i/>
          <w:iCs/>
          <w:color w:val="365F91" w:themeColor="accent1" w:themeShade="BF"/>
          <w:sz w:val="20"/>
          <w:szCs w:val="20"/>
        </w:rPr>
      </w:pPr>
    </w:p>
    <w:p w14:paraId="5C226FAC" w14:textId="77777777" w:rsidR="00117FAB" w:rsidRPr="0098629B" w:rsidRDefault="00117FAB" w:rsidP="006E0C3B">
      <w:pPr>
        <w:pStyle w:val="titreencadre"/>
        <w:rPr>
          <w:rFonts w:eastAsiaTheme="majorEastAsia"/>
        </w:rPr>
      </w:pPr>
      <w:r w:rsidRPr="0098629B">
        <w:rPr>
          <w:rFonts w:eastAsiaTheme="majorEastAsia"/>
        </w:rPr>
        <w:t>Loi d’orientation des mobilités (LOM) - 2019</w:t>
      </w:r>
    </w:p>
    <w:p w14:paraId="3022F593" w14:textId="77777777" w:rsidR="00117FAB" w:rsidRPr="0098629B" w:rsidRDefault="00117FAB" w:rsidP="00117FAB">
      <w:pPr>
        <w:rPr>
          <w:rFonts w:asciiTheme="minorHAnsi" w:hAnsiTheme="minorHAnsi" w:cs="Arial"/>
          <w:szCs w:val="22"/>
        </w:rPr>
      </w:pPr>
      <w:r w:rsidRPr="0098629B">
        <w:rPr>
          <w:rFonts w:asciiTheme="minorHAnsi" w:hAnsiTheme="minorHAnsi" w:cs="Arial"/>
          <w:szCs w:val="22"/>
        </w:rPr>
        <w:t>Cette loi transforme en profondeur la politique des mobilités en visant des transports du quotidien, à la fois plus faciles, moins coûteux et plus propres. Les mesures de cette loi s’articulent autour de trois piliers</w:t>
      </w:r>
      <w:r w:rsidRPr="0098629B">
        <w:rPr>
          <w:rFonts w:ascii="Calibri" w:hAnsi="Calibri" w:cs="Calibri"/>
          <w:szCs w:val="22"/>
        </w:rPr>
        <w:t> </w:t>
      </w:r>
      <w:r w:rsidRPr="0098629B">
        <w:rPr>
          <w:rFonts w:asciiTheme="minorHAnsi" w:hAnsiTheme="minorHAnsi" w:cs="Arial"/>
          <w:szCs w:val="22"/>
        </w:rPr>
        <w:t xml:space="preserve">: </w:t>
      </w:r>
    </w:p>
    <w:p w14:paraId="4833C4F2" w14:textId="77777777" w:rsidR="00117FAB" w:rsidRPr="0098629B" w:rsidRDefault="00117FAB" w:rsidP="00573042">
      <w:pPr>
        <w:numPr>
          <w:ilvl w:val="0"/>
          <w:numId w:val="52"/>
        </w:numPr>
        <w:spacing w:after="120" w:line="259" w:lineRule="auto"/>
        <w:contextualSpacing/>
        <w:jc w:val="left"/>
        <w:rPr>
          <w:rFonts w:asciiTheme="minorHAnsi" w:hAnsiTheme="minorHAnsi" w:cs="Arial"/>
          <w:szCs w:val="22"/>
        </w:rPr>
      </w:pPr>
      <w:r w:rsidRPr="0098629B">
        <w:rPr>
          <w:rFonts w:asciiTheme="minorHAnsi" w:hAnsiTheme="minorHAnsi" w:cs="Arial"/>
          <w:szCs w:val="22"/>
        </w:rPr>
        <w:t>Investir plus et mieux dans les transports du quotidien</w:t>
      </w:r>
    </w:p>
    <w:p w14:paraId="051748C4" w14:textId="77777777" w:rsidR="00117FAB" w:rsidRPr="0098629B" w:rsidRDefault="00117FAB" w:rsidP="00573042">
      <w:pPr>
        <w:numPr>
          <w:ilvl w:val="0"/>
          <w:numId w:val="52"/>
        </w:numPr>
        <w:spacing w:after="120" w:line="259" w:lineRule="auto"/>
        <w:contextualSpacing/>
        <w:jc w:val="left"/>
        <w:rPr>
          <w:rFonts w:asciiTheme="minorHAnsi" w:hAnsiTheme="minorHAnsi" w:cs="Arial"/>
          <w:szCs w:val="22"/>
        </w:rPr>
      </w:pPr>
      <w:r w:rsidRPr="0098629B">
        <w:rPr>
          <w:rFonts w:asciiTheme="minorHAnsi" w:hAnsiTheme="minorHAnsi" w:cs="Arial"/>
          <w:szCs w:val="22"/>
        </w:rPr>
        <w:t>Faciliter et encourager le déploiement de nouvelles solutions pour permettre à tous de se déplacer</w:t>
      </w:r>
    </w:p>
    <w:p w14:paraId="694F3A4D" w14:textId="77777777" w:rsidR="00117FAB" w:rsidRPr="0098629B" w:rsidRDefault="00117FAB" w:rsidP="00573042">
      <w:pPr>
        <w:numPr>
          <w:ilvl w:val="0"/>
          <w:numId w:val="52"/>
        </w:numPr>
        <w:spacing w:after="120" w:line="259" w:lineRule="auto"/>
        <w:contextualSpacing/>
        <w:jc w:val="left"/>
        <w:rPr>
          <w:rFonts w:asciiTheme="minorHAnsi" w:hAnsiTheme="minorHAnsi" w:cs="Arial"/>
          <w:szCs w:val="22"/>
        </w:rPr>
      </w:pPr>
      <w:r w:rsidRPr="0098629B">
        <w:rPr>
          <w:rFonts w:asciiTheme="minorHAnsi" w:hAnsiTheme="minorHAnsi" w:cs="Arial"/>
          <w:szCs w:val="22"/>
        </w:rPr>
        <w:t>Engager la transition vers une mobilité plus propre</w:t>
      </w:r>
    </w:p>
    <w:p w14:paraId="1F7C9788" w14:textId="77777777" w:rsidR="00117FAB" w:rsidRPr="0098629B" w:rsidRDefault="00117FAB" w:rsidP="00117FAB">
      <w:pPr>
        <w:rPr>
          <w:rFonts w:ascii="Arial" w:eastAsiaTheme="majorEastAsia" w:hAnsi="Arial" w:cs="Arial"/>
          <w:b/>
          <w:i/>
          <w:iCs/>
          <w:color w:val="365F91" w:themeColor="accent1" w:themeShade="BF"/>
          <w:sz w:val="20"/>
          <w:szCs w:val="20"/>
        </w:rPr>
      </w:pPr>
    </w:p>
    <w:p w14:paraId="09CE040B" w14:textId="77777777" w:rsidR="00117FAB" w:rsidRPr="0098629B" w:rsidRDefault="00117FAB" w:rsidP="006E0C3B">
      <w:pPr>
        <w:pStyle w:val="titreencadre"/>
        <w:rPr>
          <w:rFonts w:eastAsiaTheme="majorEastAsia"/>
        </w:rPr>
      </w:pPr>
      <w:r w:rsidRPr="0098629B">
        <w:rPr>
          <w:rFonts w:eastAsiaTheme="majorEastAsia"/>
        </w:rPr>
        <w:t>Loi Anti-gaspillage pour une économie circulaire (AGEC) - 2020</w:t>
      </w:r>
    </w:p>
    <w:p w14:paraId="3F7DBFFC" w14:textId="77777777" w:rsidR="00117FAB" w:rsidRPr="0098629B" w:rsidRDefault="00117FAB" w:rsidP="00117FAB">
      <w:pPr>
        <w:rPr>
          <w:rFonts w:asciiTheme="minorHAnsi" w:hAnsiTheme="minorHAnsi" w:cs="Arial"/>
          <w:szCs w:val="22"/>
        </w:rPr>
      </w:pPr>
      <w:r w:rsidRPr="0098629B">
        <w:rPr>
          <w:rFonts w:asciiTheme="minorHAnsi" w:hAnsiTheme="minorHAnsi" w:cs="Arial"/>
          <w:szCs w:val="22"/>
        </w:rPr>
        <w:t>Cette loi entend changer notre modèle de production et de consommation afin de limiter les déchets et préserver les ressources naturelles, la biodiversité et le climat. Pour y parvenir, la loi prévoit un ensemble de mesures portant sur cinq axes principaux</w:t>
      </w:r>
      <w:r w:rsidRPr="0098629B">
        <w:rPr>
          <w:rFonts w:ascii="Calibri" w:hAnsi="Calibri" w:cs="Calibri"/>
          <w:szCs w:val="22"/>
        </w:rPr>
        <w:t> </w:t>
      </w:r>
      <w:r w:rsidRPr="0098629B">
        <w:rPr>
          <w:rFonts w:asciiTheme="minorHAnsi" w:hAnsiTheme="minorHAnsi" w:cs="Arial"/>
          <w:szCs w:val="22"/>
        </w:rPr>
        <w:t>:</w:t>
      </w:r>
    </w:p>
    <w:p w14:paraId="563B03E8" w14:textId="77777777" w:rsidR="00117FAB" w:rsidRPr="0098629B" w:rsidRDefault="00117FAB" w:rsidP="00573042">
      <w:pPr>
        <w:numPr>
          <w:ilvl w:val="0"/>
          <w:numId w:val="53"/>
        </w:numPr>
        <w:spacing w:after="120" w:line="259" w:lineRule="auto"/>
        <w:contextualSpacing/>
        <w:jc w:val="left"/>
        <w:rPr>
          <w:rFonts w:asciiTheme="minorHAnsi" w:hAnsiTheme="minorHAnsi" w:cs="Arial"/>
          <w:szCs w:val="22"/>
        </w:rPr>
      </w:pPr>
      <w:r w:rsidRPr="0098629B">
        <w:rPr>
          <w:rFonts w:asciiTheme="minorHAnsi" w:hAnsiTheme="minorHAnsi" w:cs="Arial"/>
          <w:szCs w:val="22"/>
        </w:rPr>
        <w:t>Sortir du plastique jetable</w:t>
      </w:r>
    </w:p>
    <w:p w14:paraId="3111C18F" w14:textId="77777777" w:rsidR="00117FAB" w:rsidRPr="0098629B" w:rsidRDefault="00117FAB" w:rsidP="00573042">
      <w:pPr>
        <w:numPr>
          <w:ilvl w:val="0"/>
          <w:numId w:val="53"/>
        </w:numPr>
        <w:spacing w:after="120" w:line="259" w:lineRule="auto"/>
        <w:contextualSpacing/>
        <w:jc w:val="left"/>
        <w:rPr>
          <w:rFonts w:asciiTheme="minorHAnsi" w:hAnsiTheme="minorHAnsi" w:cs="Arial"/>
          <w:szCs w:val="22"/>
        </w:rPr>
      </w:pPr>
      <w:r w:rsidRPr="0098629B">
        <w:rPr>
          <w:rFonts w:asciiTheme="minorHAnsi" w:hAnsiTheme="minorHAnsi" w:cs="Arial"/>
          <w:szCs w:val="22"/>
        </w:rPr>
        <w:t>Mieux informer les consommateurs</w:t>
      </w:r>
    </w:p>
    <w:p w14:paraId="113B6278" w14:textId="77777777" w:rsidR="00117FAB" w:rsidRPr="0098629B" w:rsidRDefault="00117FAB" w:rsidP="00573042">
      <w:pPr>
        <w:numPr>
          <w:ilvl w:val="0"/>
          <w:numId w:val="53"/>
        </w:numPr>
        <w:spacing w:after="120" w:line="259" w:lineRule="auto"/>
        <w:contextualSpacing/>
        <w:jc w:val="left"/>
        <w:rPr>
          <w:rFonts w:asciiTheme="minorHAnsi" w:hAnsiTheme="minorHAnsi" w:cs="Arial"/>
          <w:szCs w:val="22"/>
        </w:rPr>
      </w:pPr>
      <w:r w:rsidRPr="0098629B">
        <w:rPr>
          <w:rFonts w:asciiTheme="minorHAnsi" w:hAnsiTheme="minorHAnsi" w:cs="Arial"/>
          <w:szCs w:val="22"/>
        </w:rPr>
        <w:t>Lutter contre le gaspillage et pour le réemploi solidaire</w:t>
      </w:r>
    </w:p>
    <w:p w14:paraId="2E3D4F11" w14:textId="77777777" w:rsidR="00117FAB" w:rsidRPr="0098629B" w:rsidRDefault="00117FAB" w:rsidP="00573042">
      <w:pPr>
        <w:numPr>
          <w:ilvl w:val="0"/>
          <w:numId w:val="53"/>
        </w:numPr>
        <w:spacing w:after="120" w:line="259" w:lineRule="auto"/>
        <w:contextualSpacing/>
        <w:jc w:val="left"/>
        <w:rPr>
          <w:rFonts w:asciiTheme="minorHAnsi" w:hAnsiTheme="minorHAnsi" w:cs="Arial"/>
          <w:szCs w:val="22"/>
        </w:rPr>
      </w:pPr>
      <w:r w:rsidRPr="0098629B">
        <w:rPr>
          <w:rFonts w:asciiTheme="minorHAnsi" w:hAnsiTheme="minorHAnsi" w:cs="Arial"/>
          <w:szCs w:val="22"/>
        </w:rPr>
        <w:t>Agir contre l’obsolescence programmée</w:t>
      </w:r>
    </w:p>
    <w:p w14:paraId="010EFEDE" w14:textId="77777777" w:rsidR="00117FAB" w:rsidRPr="0098629B" w:rsidRDefault="00117FAB" w:rsidP="00573042">
      <w:pPr>
        <w:numPr>
          <w:ilvl w:val="0"/>
          <w:numId w:val="53"/>
        </w:numPr>
        <w:spacing w:after="120" w:line="259" w:lineRule="auto"/>
        <w:contextualSpacing/>
        <w:jc w:val="left"/>
        <w:rPr>
          <w:rFonts w:asciiTheme="minorHAnsi" w:hAnsiTheme="minorHAnsi"/>
          <w:szCs w:val="22"/>
        </w:rPr>
      </w:pPr>
      <w:r w:rsidRPr="0098629B">
        <w:rPr>
          <w:rFonts w:asciiTheme="minorHAnsi" w:hAnsiTheme="minorHAnsi" w:cs="Arial"/>
          <w:szCs w:val="22"/>
        </w:rPr>
        <w:t>Mieux produire</w:t>
      </w:r>
    </w:p>
    <w:p w14:paraId="37544D43" w14:textId="77777777" w:rsidR="00117FAB" w:rsidRPr="0098629B" w:rsidRDefault="00117FAB" w:rsidP="00117FAB">
      <w:pPr>
        <w:spacing w:after="120"/>
        <w:ind w:left="720"/>
        <w:contextualSpacing/>
      </w:pPr>
    </w:p>
    <w:p w14:paraId="1559FBE9" w14:textId="77777777" w:rsidR="00117FAB" w:rsidRPr="0098629B" w:rsidRDefault="00117FAB" w:rsidP="006E0C3B">
      <w:pPr>
        <w:pStyle w:val="titreencadre"/>
      </w:pPr>
      <w:r w:rsidRPr="0098629B">
        <w:t>La loi n°2021-1104 du 22 août 2021 portant lutte contre le dérèglement climatique et renforcement de la résilience face à ses effets (dite Loi « climat et résilience »)</w:t>
      </w:r>
    </w:p>
    <w:p w14:paraId="7AF04CB0" w14:textId="2D5EFFA7" w:rsidR="00117FAB" w:rsidRPr="0098629B" w:rsidRDefault="00117FAB" w:rsidP="00117FAB">
      <w:pPr>
        <w:autoSpaceDE w:val="0"/>
        <w:autoSpaceDN w:val="0"/>
        <w:adjustRightInd w:val="0"/>
        <w:spacing w:after="120"/>
        <w:rPr>
          <w:rFonts w:asciiTheme="minorHAnsi" w:hAnsiTheme="minorHAnsi" w:cs="Arial"/>
          <w:szCs w:val="22"/>
        </w:rPr>
      </w:pPr>
      <w:r w:rsidRPr="0098629B">
        <w:rPr>
          <w:rFonts w:asciiTheme="minorHAnsi" w:hAnsiTheme="minorHAnsi" w:cs="Arial"/>
          <w:szCs w:val="22"/>
        </w:rPr>
        <w:t xml:space="preserve">Cette loi transversale a été adoptée par le Parlement le 20 juillet 2021. Elle vient traduire les dispositions de nature législative recommandées par des citoyens dans le cadre de la Convention citoyenne pour le climat mise en place </w:t>
      </w:r>
      <w:r w:rsidRPr="0098629B">
        <w:rPr>
          <w:rFonts w:asciiTheme="minorHAnsi" w:hAnsiTheme="minorHAnsi" w:cs="Arial"/>
          <w:szCs w:val="22"/>
        </w:rPr>
        <w:lastRenderedPageBreak/>
        <w:t>par le Président de la République (2019-2020). Cette loi vient compléter et accélérer les mesures adoptées sous le quinquennat en fixant des objectifs ou des calendriers plus ambitieux ou en créant de nouveaux leviers pour atteindre nos objectifs. Par exemple, la LOM a rendu obligatoire la mise en place de ZFE-m pour les métropoles et les EPCI dépassant régulièrement les valeurs limites normées en matière de pollution atmosphérique. La loi climat et résilience va plus loin en rendant obligatoire la mise en place de ZFE-m dans les agglomérations de plus de 150 000 habitants d’ici le 31 décembre 2024, ce qui représente la mise en place de 33 ZFE-m supplémentaires (par rapport aux 10 ZFE-m obligatoires en application de la LOM. La loi climat et résilience vise également à accompagner l’évolution des comportements notamment à travers la formation à ces enjeux dès le plus jeune âge, la régulation de la publicité, etc. pour rendre possible la transition écologique du pays. Sa portée dépasse largement l’impact directement mesurable des dispositions ayant pu faire l’objet d’une évaluation climatique dans l’étude d’impact de la loi.</w:t>
      </w:r>
    </w:p>
    <w:p w14:paraId="1A3E00ED" w14:textId="77777777" w:rsidR="00117FAB" w:rsidRPr="0098629B" w:rsidRDefault="00117FAB" w:rsidP="00117FAB">
      <w:pPr>
        <w:spacing w:after="120"/>
        <w:rPr>
          <w:rFonts w:asciiTheme="minorHAnsi" w:hAnsiTheme="minorHAnsi" w:cs="Arial"/>
          <w:szCs w:val="22"/>
        </w:rPr>
      </w:pPr>
    </w:p>
    <w:p w14:paraId="3B940DE7" w14:textId="3082853B" w:rsidR="00117FAB" w:rsidRPr="0098629B" w:rsidRDefault="00117FAB" w:rsidP="00117FAB">
      <w:pPr>
        <w:spacing w:after="120"/>
        <w:rPr>
          <w:rFonts w:asciiTheme="minorHAnsi" w:hAnsiTheme="minorHAnsi" w:cs="Arial"/>
          <w:szCs w:val="22"/>
        </w:rPr>
      </w:pPr>
      <w:r w:rsidRPr="0098629B">
        <w:rPr>
          <w:rFonts w:asciiTheme="minorHAnsi" w:hAnsiTheme="minorHAnsi" w:cs="Arial"/>
          <w:szCs w:val="22"/>
        </w:rPr>
        <w:t>Pour accompagner les changements profonds que nous impose cette transition, le Gouvernement a déployé des moyens budgétaires conséquents. 30 des 100 milliards d’euros du plan «</w:t>
      </w:r>
      <w:r w:rsidRPr="0098629B">
        <w:rPr>
          <w:rFonts w:ascii="Calibri" w:hAnsi="Calibri" w:cs="Calibri"/>
          <w:szCs w:val="22"/>
        </w:rPr>
        <w:t> </w:t>
      </w:r>
      <w:r w:rsidRPr="0098629B">
        <w:rPr>
          <w:rFonts w:asciiTheme="minorHAnsi" w:hAnsiTheme="minorHAnsi" w:cs="Arial"/>
          <w:szCs w:val="22"/>
        </w:rPr>
        <w:t>France Relance</w:t>
      </w:r>
      <w:r w:rsidRPr="0098629B">
        <w:rPr>
          <w:rFonts w:ascii="Calibri" w:hAnsi="Calibri" w:cs="Calibri"/>
          <w:szCs w:val="22"/>
        </w:rPr>
        <w:t> </w:t>
      </w:r>
      <w:r w:rsidRPr="0098629B">
        <w:rPr>
          <w:rFonts w:cs="Marianne"/>
          <w:szCs w:val="22"/>
        </w:rPr>
        <w:t>»</w:t>
      </w:r>
      <w:r w:rsidRPr="0098629B">
        <w:rPr>
          <w:rFonts w:asciiTheme="minorHAnsi" w:hAnsiTheme="minorHAnsi" w:cs="Arial"/>
          <w:szCs w:val="22"/>
        </w:rPr>
        <w:t xml:space="preserve"> annoncé pour faire face aux effets de la crise sanitaire liée à la Covid-19 ont ainsi été spécifiquement destinés au financement de la transition écologique</w:t>
      </w:r>
      <w:r w:rsidRPr="0098629B">
        <w:rPr>
          <w:rFonts w:ascii="Calibri" w:hAnsi="Calibri" w:cs="Calibri"/>
          <w:szCs w:val="22"/>
        </w:rPr>
        <w:t> </w:t>
      </w:r>
      <w:r w:rsidRPr="0098629B">
        <w:rPr>
          <w:rFonts w:asciiTheme="minorHAnsi" w:hAnsiTheme="minorHAnsi" w:cs="Arial"/>
          <w:szCs w:val="22"/>
        </w:rPr>
        <w:t xml:space="preserve">: soutien </w:t>
      </w:r>
      <w:r w:rsidRPr="0098629B">
        <w:rPr>
          <w:rFonts w:cs="Marianne"/>
          <w:szCs w:val="22"/>
        </w:rPr>
        <w:t>à</w:t>
      </w:r>
      <w:r w:rsidRPr="0098629B">
        <w:rPr>
          <w:rFonts w:asciiTheme="minorHAnsi" w:hAnsiTheme="minorHAnsi" w:cs="Arial"/>
          <w:szCs w:val="22"/>
        </w:rPr>
        <w:t xml:space="preserve"> la d</w:t>
      </w:r>
      <w:r w:rsidRPr="0098629B">
        <w:rPr>
          <w:rFonts w:cs="Marianne"/>
          <w:szCs w:val="22"/>
        </w:rPr>
        <w:t>é</w:t>
      </w:r>
      <w:r w:rsidRPr="0098629B">
        <w:rPr>
          <w:rFonts w:asciiTheme="minorHAnsi" w:hAnsiTheme="minorHAnsi" w:cs="Arial"/>
          <w:szCs w:val="22"/>
        </w:rPr>
        <w:t>carbonation de l</w:t>
      </w:r>
      <w:r w:rsidRPr="0098629B">
        <w:rPr>
          <w:rFonts w:cs="Marianne"/>
          <w:szCs w:val="22"/>
        </w:rPr>
        <w:t>’</w:t>
      </w:r>
      <w:r w:rsidRPr="0098629B">
        <w:rPr>
          <w:rFonts w:asciiTheme="minorHAnsi" w:hAnsiTheme="minorHAnsi" w:cs="Arial"/>
          <w:szCs w:val="22"/>
        </w:rPr>
        <w:t>industrie (1,2 Md</w:t>
      </w:r>
      <w:r w:rsidRPr="0098629B">
        <w:rPr>
          <w:rFonts w:cs="Marianne"/>
          <w:szCs w:val="22"/>
        </w:rPr>
        <w:t>€</w:t>
      </w:r>
      <w:r w:rsidRPr="0098629B">
        <w:rPr>
          <w:rFonts w:asciiTheme="minorHAnsi" w:hAnsiTheme="minorHAnsi" w:cs="Arial"/>
          <w:szCs w:val="22"/>
        </w:rPr>
        <w:t xml:space="preserve">), </w:t>
      </w:r>
      <w:r w:rsidRPr="0098629B">
        <w:rPr>
          <w:rFonts w:cs="Marianne"/>
          <w:szCs w:val="22"/>
        </w:rPr>
        <w:t>à</w:t>
      </w:r>
      <w:r w:rsidRPr="0098629B">
        <w:rPr>
          <w:rFonts w:asciiTheme="minorHAnsi" w:hAnsiTheme="minorHAnsi" w:cs="Arial"/>
          <w:szCs w:val="22"/>
        </w:rPr>
        <w:t xml:space="preserve"> la r</w:t>
      </w:r>
      <w:r w:rsidRPr="0098629B">
        <w:rPr>
          <w:rFonts w:cs="Marianne"/>
          <w:szCs w:val="22"/>
        </w:rPr>
        <w:t>é</w:t>
      </w:r>
      <w:r w:rsidRPr="0098629B">
        <w:rPr>
          <w:rFonts w:asciiTheme="minorHAnsi" w:hAnsiTheme="minorHAnsi" w:cs="Arial"/>
          <w:szCs w:val="22"/>
        </w:rPr>
        <w:t>novation thermique (6,7 Md</w:t>
      </w:r>
      <w:r w:rsidRPr="0098629B">
        <w:rPr>
          <w:rFonts w:cs="Marianne"/>
          <w:szCs w:val="22"/>
        </w:rPr>
        <w:t>€</w:t>
      </w:r>
      <w:r w:rsidRPr="0098629B">
        <w:rPr>
          <w:rFonts w:asciiTheme="minorHAnsi" w:hAnsiTheme="minorHAnsi" w:cs="Arial"/>
          <w:szCs w:val="22"/>
        </w:rPr>
        <w:t>), au verdissement des transports (8,8 Md€), à la transition des filières automobiles et aéronautiques (2,6 Md€), à la transition agricole (1,3 Md€) et à l’économie circulaire (0,5 Md€).</w:t>
      </w:r>
    </w:p>
    <w:p w14:paraId="2D212F68" w14:textId="77777777" w:rsidR="00117FAB" w:rsidRPr="0098629B" w:rsidRDefault="00117FAB" w:rsidP="00117FAB">
      <w:pPr>
        <w:spacing w:after="120"/>
        <w:rPr>
          <w:rFonts w:asciiTheme="minorHAnsi" w:hAnsiTheme="minorHAnsi" w:cs="Arial"/>
          <w:szCs w:val="22"/>
        </w:rPr>
      </w:pPr>
      <w:r w:rsidRPr="0098629B">
        <w:rPr>
          <w:rFonts w:asciiTheme="minorHAnsi" w:hAnsiTheme="minorHAnsi" w:cs="Arial"/>
          <w:szCs w:val="22"/>
        </w:rPr>
        <w:t>Le Président de la République a annoncé le 12 octobre 2021 un grand plan d’investissements « France 2030 », doté de 30 milliards d’euros déployés sur 5 ans dont la moitié sont dédiés à la transition écologique. Ce plan vise à stimuler l’innovation technologique et à accompagner les transitions de nos secteurs d’excellence, qu’il s’agisse de l’énergie, de l’automobile, ou de l’aéronautique. 8 milliards d’euros sont prévus pour le secteur de l’énergie, afin de construire une France décarbonée et résiliente, notamment en développant l'hydrogène vert et en décarbonant notre industrie. 4 milliards d’euros sont également programmés pour les « transports du futur », avec pour objectif de produire 2 millions de véhicules électriques ou hydrides par an, ainsi que le premier avion bas carbone.</w:t>
      </w:r>
    </w:p>
    <w:p w14:paraId="0B446A48" w14:textId="4B5F0BE3" w:rsidR="00117FAB" w:rsidRPr="0098629B" w:rsidRDefault="00117FAB" w:rsidP="007C589E">
      <w:pPr>
        <w:spacing w:after="120"/>
        <w:rPr>
          <w:rFonts w:asciiTheme="minorHAnsi" w:hAnsiTheme="minorHAnsi" w:cs="Arial"/>
          <w:szCs w:val="22"/>
        </w:rPr>
      </w:pPr>
      <w:r w:rsidRPr="0098629B">
        <w:rPr>
          <w:rFonts w:asciiTheme="minorHAnsi" w:hAnsiTheme="minorHAnsi" w:cs="Arial"/>
          <w:szCs w:val="22"/>
        </w:rPr>
        <w:t>Par ailleurs, le Président de la République a annoncé le 10 février 2022 une multiplication par 10 des capacités de production solaires à horizon 2050 (dépassement de 100 GW installés en 2050), le doublement des capacités de production d’éolien terrestre et la création d’une cinquantaine de parcs éoliens en mer (environ 40 GW). Il a également annoncé la construction de six réacteurs de types EPR2 d’ici 2050 ainsi que le lancement d’études pour la construction de huit réacteurs EPR2 supplémentaires. Ce nouveau programme pourrait conduire à la mise en service de 25 GW de nouvelles capacités nucléaires d’ici 2050. Le développement accéléré des énergies renouvelables et la relance d’un programme nucléaire en France contribueront à l’atteinte d’un mix électrique totalement décarboné à l'horizon 2050.</w:t>
      </w:r>
    </w:p>
    <w:p w14:paraId="1857D8F6" w14:textId="77777777" w:rsidR="005D59BC" w:rsidRPr="0098629B" w:rsidRDefault="005D59BC" w:rsidP="007C589E">
      <w:pPr>
        <w:spacing w:after="120"/>
        <w:rPr>
          <w:rFonts w:ascii="Arial" w:hAnsi="Arial" w:cs="Arial"/>
          <w:sz w:val="20"/>
          <w:szCs w:val="20"/>
        </w:rPr>
      </w:pPr>
    </w:p>
    <w:p w14:paraId="272CA68C" w14:textId="2FAC62AB" w:rsidR="00630A34" w:rsidRPr="0098629B" w:rsidRDefault="00630A34" w:rsidP="00573042">
      <w:pPr>
        <w:pStyle w:val="Titre3Niveau3"/>
        <w:numPr>
          <w:ilvl w:val="1"/>
          <w:numId w:val="58"/>
        </w:numPr>
        <w:rPr>
          <w:lang w:eastAsia="en-US"/>
        </w:rPr>
      </w:pPr>
      <w:bookmarkStart w:id="52" w:name="_Toc121149510"/>
      <w:bookmarkStart w:id="53" w:name="_Toc138344595"/>
      <w:r w:rsidRPr="0098629B">
        <w:rPr>
          <w:lang w:eastAsia="en-US"/>
        </w:rPr>
        <w:t>Les transports</w:t>
      </w:r>
      <w:bookmarkEnd w:id="52"/>
      <w:bookmarkEnd w:id="53"/>
    </w:p>
    <w:p w14:paraId="0E803751" w14:textId="2AE02380" w:rsidR="0018240E" w:rsidRPr="0098629B" w:rsidRDefault="0018240E" w:rsidP="0018240E">
      <w:pPr>
        <w:spacing w:before="240" w:after="240"/>
      </w:pPr>
      <w:r w:rsidRPr="0098629B">
        <w:t>Le secteur des transports est le premier poste d’émissions de gaz à effet de serre en France, représentant 30 % des émissions en 2021. Les enjeux sont particulièrement forts pour le transport routier qui représente 94 % des émissions du secteur. Le dioxyde de carbone (</w:t>
      </w:r>
      <w:r w:rsidR="00811B0F" w:rsidRPr="0098629B">
        <w:t>CO</w:t>
      </w:r>
      <w:r w:rsidR="00811B0F" w:rsidRPr="0098629B">
        <w:rPr>
          <w:vertAlign w:val="subscript"/>
        </w:rPr>
        <w:t>2</w:t>
      </w:r>
      <w:r w:rsidRPr="0098629B">
        <w:t>) est le principal gaz à effet de serre émis par les transports (96</w:t>
      </w:r>
      <w:r w:rsidR="00D05B43" w:rsidRPr="0098629B">
        <w:t> </w:t>
      </w:r>
      <w:r w:rsidRPr="0098629B">
        <w:t>%), suivi des gaz fluorés émis par les systèmes de froid et climatisation (2,7 %) et d’autres gaz à effet de serre (1,3 %) comme le protoxyde d’azote (</w:t>
      </w:r>
      <w:r w:rsidR="00891B49" w:rsidRPr="0098629B">
        <w:t>N</w:t>
      </w:r>
      <w:r w:rsidR="00891B49" w:rsidRPr="0098629B">
        <w:rPr>
          <w:vertAlign w:val="subscript"/>
        </w:rPr>
        <w:t>2</w:t>
      </w:r>
      <w:r w:rsidR="00891B49" w:rsidRPr="0098629B">
        <w:t>O</w:t>
      </w:r>
      <w:r w:rsidRPr="0098629B">
        <w:t>) et le méthane (</w:t>
      </w:r>
      <w:r w:rsidR="00891B49" w:rsidRPr="0098629B">
        <w:t>CH</w:t>
      </w:r>
      <w:r w:rsidR="00891B49" w:rsidRPr="0098629B">
        <w:rPr>
          <w:vertAlign w:val="subscript"/>
        </w:rPr>
        <w:t>4</w:t>
      </w:r>
      <w:r w:rsidRPr="0098629B">
        <w:t>), émis en faibles quantités lors de la combustion.</w:t>
      </w:r>
    </w:p>
    <w:p w14:paraId="67D6C550" w14:textId="31D3BB87" w:rsidR="0018240E" w:rsidRPr="0098629B" w:rsidRDefault="0018240E" w:rsidP="0018240E">
      <w:pPr>
        <w:pStyle w:val="Titre4niveau4"/>
        <w:spacing w:before="240"/>
      </w:pPr>
      <w:r w:rsidRPr="0098629B">
        <w:t xml:space="preserve">Mesures visant à réduire les émissions de </w:t>
      </w:r>
      <w:r w:rsidR="00811B0F" w:rsidRPr="0098629B">
        <w:t>CO</w:t>
      </w:r>
      <w:r w:rsidR="00811B0F" w:rsidRPr="0098629B">
        <w:rPr>
          <w:vertAlign w:val="subscript"/>
        </w:rPr>
        <w:t>2</w:t>
      </w:r>
      <w:r w:rsidRPr="0098629B">
        <w:t xml:space="preserve"> des transports</w:t>
      </w:r>
    </w:p>
    <w:p w14:paraId="355C7251" w14:textId="547D8684" w:rsidR="0018240E" w:rsidRPr="0098629B" w:rsidRDefault="0018240E" w:rsidP="0018240E">
      <w:pPr>
        <w:spacing w:before="240" w:after="240"/>
      </w:pPr>
      <w:r w:rsidRPr="0098629B">
        <w:t xml:space="preserve">Les mesures mises en œuvre pour réduire les émissions de </w:t>
      </w:r>
      <w:r w:rsidR="00811B0F" w:rsidRPr="0098629B">
        <w:t>CO</w:t>
      </w:r>
      <w:r w:rsidR="00811B0F" w:rsidRPr="0098629B">
        <w:rPr>
          <w:vertAlign w:val="subscript"/>
        </w:rPr>
        <w:t>2</w:t>
      </w:r>
      <w:r w:rsidRPr="0098629B">
        <w:t xml:space="preserve"> des transports visent à accroître massivement la part de véhicules à faibles émissions dans le parc, améliorer l’efficacité énergétique des véhicules, favoriser le développement des biocarburants, augmenter le taux d’occupation des véhicules et soutenir le report modal.</w:t>
      </w:r>
    </w:p>
    <w:p w14:paraId="369A689D" w14:textId="77777777" w:rsidR="0018240E" w:rsidRPr="0098629B" w:rsidRDefault="0018240E" w:rsidP="0018240E">
      <w:pPr>
        <w:spacing w:before="240" w:after="240"/>
      </w:pPr>
      <w:r w:rsidRPr="0098629B">
        <w:t>Les mesures visant à réduire les émissions de gaz à effet de serre des transports ont fait l’objet de renforcements depuis 2019, notamment dans le cadre de la loi d’orientation des mobilités et de la loi climat résilience.</w:t>
      </w:r>
    </w:p>
    <w:p w14:paraId="5CAC2B0C" w14:textId="77777777" w:rsidR="0018240E" w:rsidRPr="0098629B" w:rsidRDefault="0018240E" w:rsidP="0018240E">
      <w:pPr>
        <w:spacing w:before="240" w:after="240"/>
        <w:rPr>
          <w:b/>
          <w:noProof/>
        </w:rPr>
      </w:pPr>
      <w:r w:rsidRPr="0098629B">
        <w:rPr>
          <w:b/>
          <w:noProof/>
        </w:rPr>
        <w:lastRenderedPageBreak/>
        <w:t>Le développement des véhicules à faibles émissions et l</w:t>
      </w:r>
      <w:r w:rsidRPr="0098629B">
        <w:rPr>
          <w:b/>
        </w:rPr>
        <w:t>’amélioration de l’efficacité énergétique des véhicules neufs du transport routier</w:t>
      </w:r>
    </w:p>
    <w:p w14:paraId="53FC474C" w14:textId="77777777" w:rsidR="0018240E" w:rsidRPr="0098629B" w:rsidRDefault="0018240E" w:rsidP="0018240E">
      <w:pPr>
        <w:spacing w:before="240" w:after="240"/>
        <w:rPr>
          <w:noProof/>
        </w:rPr>
      </w:pPr>
      <w:r w:rsidRPr="0098629B">
        <w:rPr>
          <w:noProof/>
        </w:rPr>
        <w:t>La Stratégie Nationale Bas-Carbone (SNBC) vise à décarboner les véhicules en promouvant pour les voitures particulières l’électrification progressive du parc de véhicules ; pour les véhicules lourds le développement d’un mix plus diversifié (électrification y compris via des solutions piles à combustible avec de l’hydrogène vert, développement de véhicules au gaz avec incitation au développement du gaz renouvelable).</w:t>
      </w:r>
    </w:p>
    <w:p w14:paraId="10480395" w14:textId="491A7F6B" w:rsidR="0018240E" w:rsidRPr="0098629B" w:rsidRDefault="0018240E" w:rsidP="0018240E">
      <w:pPr>
        <w:spacing w:before="240" w:after="240"/>
      </w:pPr>
      <w:r w:rsidRPr="0098629B">
        <w:t xml:space="preserve">Les mesures relatives à la décarbonation des véhicules sont à la fois d’ordre législatif et réglementaire (règlements européens établissant des normes de performance d’émissions de </w:t>
      </w:r>
      <w:r w:rsidR="00811B0F" w:rsidRPr="0098629B">
        <w:t>CO</w:t>
      </w:r>
      <w:r w:rsidR="00811B0F" w:rsidRPr="0098629B">
        <w:rPr>
          <w:vertAlign w:val="subscript"/>
        </w:rPr>
        <w:t>2</w:t>
      </w:r>
      <w:r w:rsidRPr="0098629B">
        <w:t xml:space="preserve"> des véhicules neufs, objectifs de fin de vente des véhicules neufs figurant dans la loi d’orientation des mobilités et la loi climat et résilience, obligation d’incorporation de véhicules à faibles émissions lors du renouvellement des flottes de personnes morales), fiscal et financier (notamment bonus-malus à l’achat, prime à la conversion) et incluent des mesures en faveur du développement des infrastructures de recharge et de déploiement de zones à faibles émissions.</w:t>
      </w:r>
    </w:p>
    <w:p w14:paraId="35BE1DDB" w14:textId="77777777" w:rsidR="0018240E" w:rsidRPr="0098629B" w:rsidRDefault="0018240E" w:rsidP="0018240E">
      <w:pPr>
        <w:spacing w:before="240" w:after="240"/>
        <w:rPr>
          <w:b/>
          <w:i/>
          <w:u w:val="single"/>
        </w:rPr>
      </w:pPr>
      <w:r w:rsidRPr="0098629B">
        <w:rPr>
          <w:b/>
          <w:i/>
          <w:u w:val="single"/>
        </w:rPr>
        <w:t>Voitures particulières</w:t>
      </w:r>
    </w:p>
    <w:p w14:paraId="598C3346" w14:textId="2C04F2AF" w:rsidR="0018240E" w:rsidRPr="0098629B" w:rsidRDefault="0018240E" w:rsidP="0018240E">
      <w:pPr>
        <w:spacing w:before="240" w:after="240"/>
      </w:pPr>
      <w:r w:rsidRPr="0098629B">
        <w:t xml:space="preserve">Concernant les voitures, les </w:t>
      </w:r>
      <w:r w:rsidRPr="0098629B">
        <w:rPr>
          <w:b/>
        </w:rPr>
        <w:t>règlements européens</w:t>
      </w:r>
      <w:r w:rsidRPr="0098629B">
        <w:t xml:space="preserve"> successifs ont imposé des objectifs de réduction d’émissions dans les ventes de voitures neuves. Un premier règlement de 2009 modifié par un règlement de 2014 a ainsi imposé aux constructeurs automobiles d’abaisser le plafond d’émissions moyennes de </w:t>
      </w:r>
      <w:r w:rsidR="00811B0F" w:rsidRPr="0098629B">
        <w:t>CO</w:t>
      </w:r>
      <w:r w:rsidR="00811B0F" w:rsidRPr="0098629B">
        <w:rPr>
          <w:vertAlign w:val="subscript"/>
        </w:rPr>
        <w:t>2</w:t>
      </w:r>
      <w:r w:rsidRPr="0098629B">
        <w:t xml:space="preserve"> des voitures particulières neuves à 130 g</w:t>
      </w:r>
      <w:r w:rsidR="00811B0F" w:rsidRPr="0098629B">
        <w:t>CO</w:t>
      </w:r>
      <w:r w:rsidR="00811B0F" w:rsidRPr="0098629B">
        <w:rPr>
          <w:vertAlign w:val="subscript"/>
        </w:rPr>
        <w:t>2</w:t>
      </w:r>
      <w:r w:rsidRPr="0098629B">
        <w:t>/km NEDC en 2015 puis 95 g</w:t>
      </w:r>
      <w:r w:rsidR="00811B0F" w:rsidRPr="0098629B">
        <w:t>CO</w:t>
      </w:r>
      <w:r w:rsidR="00811B0F" w:rsidRPr="0098629B">
        <w:rPr>
          <w:vertAlign w:val="subscript"/>
        </w:rPr>
        <w:t>2</w:t>
      </w:r>
      <w:r w:rsidRPr="0098629B">
        <w:t xml:space="preserve">/km NEDC en 2020 (cette cible étant traduite en 2021 en valeur WLTP). Le règlement européen n° 2019/631 du 17 avril 2019 prévoit un renforcement des objectifs fixés aux constructeurs de voitures avec une réduction de 15% des émissions à compter de 2025 puis 37,5% à compter de 2030 par rapport à la cible 2021. Dans le cadre du paquet Ajustement à l’objectif 55, l’accord provisoire obtenu au niveau européen prévoit des objectifs de réduction des émissions de 55% en 2030 et de 100% en 2035 par rapport à la cible 2021, soit une fin de vente des voitures neuves à moteur thermique en 2035. </w:t>
      </w:r>
    </w:p>
    <w:p w14:paraId="7297E0AA" w14:textId="77777777" w:rsidR="0018240E" w:rsidRPr="0098629B" w:rsidRDefault="0018240E" w:rsidP="0018240E">
      <w:pPr>
        <w:spacing w:before="240" w:after="240"/>
        <w:rPr>
          <w:noProof/>
        </w:rPr>
      </w:pPr>
      <w:r w:rsidRPr="0098629B">
        <w:t>Au niveau national, d</w:t>
      </w:r>
      <w:r w:rsidRPr="0098629B">
        <w:rPr>
          <w:noProof/>
        </w:rPr>
        <w:t xml:space="preserve">es objectifs d’incorporation de véhicules à faibles émissions (électriques ou hybrides rechargeables) lors </w:t>
      </w:r>
      <w:r w:rsidRPr="0098629B">
        <w:rPr>
          <w:b/>
          <w:noProof/>
        </w:rPr>
        <w:t>du renouvellement des flottes</w:t>
      </w:r>
      <w:r w:rsidRPr="0098629B">
        <w:rPr>
          <w:noProof/>
        </w:rPr>
        <w:t xml:space="preserve"> sont fixés depuis 2015 pour les parcs automobiles gérés par l’État, ses établissements publics et les collectivités, ainsi que pour les loueurs de véhicules et les exploitants de taxis et de voitures de transport avec chauffeur (VTC). La loi d’orientation des mobilités (2019) a prévu un renforcement des cibles à atteindre ainsi que l’introduction d’une nouvelle cible portant cette fois sur les véhicules à très faibles émissions (électriques ou hydrogène) pour les flottes publiques et une extension du champ de la mesure aux entreprises privées gérant directement ou indirectement des flottes de plus de 100 véhicules</w:t>
      </w:r>
      <w:r w:rsidRPr="0098629B">
        <w:rPr>
          <w:noProof/>
          <w:color w:val="FF0000"/>
        </w:rPr>
        <w:t xml:space="preserve">. </w:t>
      </w:r>
      <w:r w:rsidRPr="0098629B">
        <w:rPr>
          <w:noProof/>
        </w:rPr>
        <w:t>La loi  climat et résilience a fixé un réhaussement de l’objectif d'achat de véhicules à faibles émissions lors des renouvellements de flottes à 70% à compter de 2026 pour l'Etat (au lieu de 50%), à 40% à compter de 2025 puis 70% à compter de 2030 pour les collectivités locales, à 40% à compter de 2027 puis 70% à compter de 2030 pour les flottes privées et les loueurs de flottes de plus de 100 véhicules. La transposition de la Directive Véhicules Propres (2019/1161) en 2021 a rehaussé les objectifs de véhicules à très faibles émissions (électriques ou hydrogène) à 45 % pour l'Etat à compter de 2030 (au lieu de 37,4%) et à 40 % pour les collectivités locales à compter de 2030 (au lieu de 37,4 %)</w:t>
      </w:r>
    </w:p>
    <w:p w14:paraId="4792CA9A" w14:textId="62D83CFE" w:rsidR="0018240E" w:rsidRPr="0098629B" w:rsidRDefault="0018240E" w:rsidP="0018240E">
      <w:pPr>
        <w:spacing w:before="240" w:after="240"/>
      </w:pPr>
      <w:r w:rsidRPr="0098629B">
        <w:t>Au niveau national, la loi climat-résilience fixe un objectif de limitation à 5% maximum des ventes de voitures particulières neuves émettant plus de 123 g</w:t>
      </w:r>
      <w:r w:rsidR="00811B0F" w:rsidRPr="0098629B">
        <w:t>CO</w:t>
      </w:r>
      <w:r w:rsidR="00811B0F" w:rsidRPr="0098629B">
        <w:rPr>
          <w:vertAlign w:val="subscript"/>
        </w:rPr>
        <w:t>2</w:t>
      </w:r>
      <w:r w:rsidRPr="0098629B">
        <w:t>/km WLTP (95 g</w:t>
      </w:r>
      <w:r w:rsidR="00811B0F" w:rsidRPr="0098629B">
        <w:t>CO</w:t>
      </w:r>
      <w:r w:rsidR="00811B0F" w:rsidRPr="0098629B">
        <w:rPr>
          <w:vertAlign w:val="subscript"/>
        </w:rPr>
        <w:t>2</w:t>
      </w:r>
      <w:r w:rsidRPr="0098629B">
        <w:t>/km NEDC), d’ici le 1</w:t>
      </w:r>
      <w:r w:rsidRPr="0098629B">
        <w:rPr>
          <w:vertAlign w:val="superscript"/>
        </w:rPr>
        <w:t>er</w:t>
      </w:r>
      <w:r w:rsidRPr="0098629B">
        <w:t xml:space="preserve"> janvier 2030.</w:t>
      </w:r>
    </w:p>
    <w:p w14:paraId="65733EB3" w14:textId="77777777" w:rsidR="0018240E" w:rsidRPr="0098629B" w:rsidRDefault="0018240E" w:rsidP="0018240E">
      <w:pPr>
        <w:spacing w:before="240" w:after="240"/>
        <w:rPr>
          <w:noProof/>
        </w:rPr>
      </w:pPr>
      <w:r w:rsidRPr="0098629B">
        <w:t xml:space="preserve">Différents dispositifs fiscaux et financiers visent à inciter l’acquisition de véhicules faiblement émetteurs. </w:t>
      </w:r>
      <w:r w:rsidRPr="0098629B">
        <w:rPr>
          <w:noProof/>
        </w:rPr>
        <w:t>La loi climat-résilience affirme le principe d’un maintien des dispositifs d'aide/incitation à l'acquisition de véhicules propres jusqu'en 2030, les dispositifs ayant vocation à être ajustés en fonction de l'atteinte des objectifs et des conditions économiques.</w:t>
      </w:r>
    </w:p>
    <w:p w14:paraId="1139412E" w14:textId="412D30E7" w:rsidR="0018240E" w:rsidRPr="0098629B" w:rsidRDefault="0018240E" w:rsidP="0018240E">
      <w:pPr>
        <w:spacing w:before="240" w:after="240"/>
      </w:pPr>
      <w:r w:rsidRPr="0098629B">
        <w:t xml:space="preserve">Le dispositif de bonus-malus, mis en place depuis 2008, vise à récompenser, via un bonus, les acquéreurs de voitures neuves émettant le moins de </w:t>
      </w:r>
      <w:r w:rsidR="00811B0F" w:rsidRPr="0098629B">
        <w:t>CO</w:t>
      </w:r>
      <w:r w:rsidR="00811B0F" w:rsidRPr="0098629B">
        <w:rPr>
          <w:vertAlign w:val="subscript"/>
        </w:rPr>
        <w:t>2</w:t>
      </w:r>
      <w:r w:rsidRPr="0098629B">
        <w:t>, et à pénaliser, via un malus fiscal, ceux qui optent pour les modèles les plus émetteurs. Les montants et les seuils sont revus périodiquement afin de conserver l’effet incitatif du dispositif. Au 1</w:t>
      </w:r>
      <w:r w:rsidRPr="0098629B">
        <w:rPr>
          <w:vertAlign w:val="superscript"/>
        </w:rPr>
        <w:t>er</w:t>
      </w:r>
      <w:r w:rsidRPr="0098629B">
        <w:t xml:space="preserve"> septembre 2022, le </w:t>
      </w:r>
      <w:r w:rsidRPr="0098629B">
        <w:rPr>
          <w:b/>
        </w:rPr>
        <w:t>malus</w:t>
      </w:r>
      <w:r w:rsidRPr="0098629B">
        <w:t xml:space="preserve"> s’applique aux véhicules émettant plus de 128 g</w:t>
      </w:r>
      <w:r w:rsidR="00811B0F" w:rsidRPr="0098629B">
        <w:t>CO</w:t>
      </w:r>
      <w:r w:rsidR="00811B0F" w:rsidRPr="0098629B">
        <w:rPr>
          <w:vertAlign w:val="subscript"/>
        </w:rPr>
        <w:t>2</w:t>
      </w:r>
      <w:r w:rsidRPr="0098629B">
        <w:t>/km (dans le nouveau cycle WLTP) et correspond à une majoration du prix d'achat allant de 50 € à 40</w:t>
      </w:r>
      <w:r w:rsidRPr="0098629B">
        <w:rPr>
          <w:rFonts w:ascii="Calibri" w:hAnsi="Calibri" w:cs="Calibri"/>
        </w:rPr>
        <w:t> </w:t>
      </w:r>
      <w:r w:rsidRPr="0098629B">
        <w:t>000</w:t>
      </w:r>
      <w:r w:rsidRPr="0098629B">
        <w:rPr>
          <w:rFonts w:ascii="Calibri" w:hAnsi="Calibri" w:cs="Calibri"/>
        </w:rPr>
        <w:t> </w:t>
      </w:r>
      <w:r w:rsidRPr="0098629B">
        <w:t xml:space="preserve">€ (plafonné à 50% du montant </w:t>
      </w:r>
      <w:r w:rsidRPr="0098629B">
        <w:lastRenderedPageBreak/>
        <w:t xml:space="preserve">d’achat TTC du véhicule). Plus le modèle est émetteur de </w:t>
      </w:r>
      <w:r w:rsidR="00811B0F" w:rsidRPr="0098629B">
        <w:t>CO</w:t>
      </w:r>
      <w:r w:rsidR="00811B0F" w:rsidRPr="0098629B">
        <w:rPr>
          <w:vertAlign w:val="subscript"/>
        </w:rPr>
        <w:t>2</w:t>
      </w:r>
      <w:r w:rsidRPr="0098629B">
        <w:t>, plus le malus augmente.</w:t>
      </w:r>
      <w:r w:rsidRPr="0098629B">
        <w:rPr>
          <w:noProof/>
        </w:rPr>
        <w:t xml:space="preserve"> </w:t>
      </w:r>
      <w:r w:rsidRPr="0098629B">
        <w:t>Un malus poids, démarrant à 1</w:t>
      </w:r>
      <w:r w:rsidRPr="0098629B">
        <w:rPr>
          <w:rFonts w:ascii="Calibri" w:hAnsi="Calibri" w:cs="Calibri"/>
        </w:rPr>
        <w:t> </w:t>
      </w:r>
      <w:r w:rsidRPr="0098629B">
        <w:t>800 kg, a aussi été mis en place depuis le 1</w:t>
      </w:r>
      <w:r w:rsidRPr="0098629B">
        <w:rPr>
          <w:vertAlign w:val="superscript"/>
        </w:rPr>
        <w:t>er</w:t>
      </w:r>
      <w:r w:rsidRPr="0098629B">
        <w:t xml:space="preserve"> janvier 2022 pour les véhicules thermiques et les véhicules hybrides rechargeables d’une autonomie électrique en ville inférieure à 50 km. </w:t>
      </w:r>
      <w:r w:rsidRPr="0098629B">
        <w:rPr>
          <w:noProof/>
        </w:rPr>
        <w:t>Au 1</w:t>
      </w:r>
      <w:r w:rsidRPr="0098629B">
        <w:rPr>
          <w:noProof/>
          <w:vertAlign w:val="superscript"/>
        </w:rPr>
        <w:t>er</w:t>
      </w:r>
      <w:r w:rsidRPr="0098629B">
        <w:rPr>
          <w:noProof/>
        </w:rPr>
        <w:t xml:space="preserve"> septembre 2022, le </w:t>
      </w:r>
      <w:r w:rsidRPr="0098629B">
        <w:rPr>
          <w:b/>
          <w:noProof/>
        </w:rPr>
        <w:t xml:space="preserve">bonus </w:t>
      </w:r>
      <w:r w:rsidRPr="0098629B">
        <w:rPr>
          <w:noProof/>
        </w:rPr>
        <w:t xml:space="preserve">pour une voiture électrique neuve s’élève jusqu’à 6 000 € pour les particuliers et 4 000€ pour une personne morale. Si l’achat d’un véhicule moins émetteur s’accompagne de la mise au rebut d’un véhicule thermique ancien, une prime complémentaire, dite prime à la conversion, est versée. </w:t>
      </w:r>
      <w:r w:rsidRPr="0098629B">
        <w:t>Son montant pour une voiture électrique neuve s’élève jusqu’à 5</w:t>
      </w:r>
      <w:r w:rsidRPr="0098629B">
        <w:rPr>
          <w:rFonts w:ascii="Calibri" w:hAnsi="Calibri" w:cs="Calibri"/>
        </w:rPr>
        <w:t> </w:t>
      </w:r>
      <w:r w:rsidRPr="0098629B">
        <w:t>000 € pour les particuliers (sous conditions de ressources et de kilométrage) et 2</w:t>
      </w:r>
      <w:r w:rsidRPr="0098629B">
        <w:rPr>
          <w:rFonts w:ascii="Calibri" w:hAnsi="Calibri" w:cs="Calibri"/>
        </w:rPr>
        <w:t> </w:t>
      </w:r>
      <w:r w:rsidRPr="0098629B">
        <w:t xml:space="preserve">500 € pour les personnes morales. </w:t>
      </w:r>
    </w:p>
    <w:p w14:paraId="5C86479E" w14:textId="77777777" w:rsidR="0018240E" w:rsidRPr="0098629B" w:rsidRDefault="0018240E" w:rsidP="0018240E">
      <w:pPr>
        <w:spacing w:before="240" w:after="240"/>
      </w:pPr>
      <w:r w:rsidRPr="0098629B">
        <w:t>Pour les personnes habitant ou travaillant dans une zone à faible émission mobilité (ZFE), dont l’accès est restreint pour les véhicules les plus polluants,</w:t>
      </w:r>
      <w:r w:rsidRPr="0098629B">
        <w:rPr>
          <w:noProof/>
        </w:rPr>
        <w:t xml:space="preserve"> l’Etat accorde une surprime équivalente à l'éventuelle aide versée par la collectivité territoriale, dans la limite de 1 000 €.</w:t>
      </w:r>
    </w:p>
    <w:p w14:paraId="2676644C" w14:textId="4409C26C" w:rsidR="0018240E" w:rsidRPr="0098629B" w:rsidRDefault="0018240E" w:rsidP="0018240E">
      <w:pPr>
        <w:spacing w:before="240" w:after="240"/>
      </w:pPr>
      <w:r w:rsidRPr="0098629B">
        <w:t>Un dispositif de microcrédit pour l’acquisition d’un véhicule propre permet aux personnes exclues du réseau bancaire classique d'acheter ou de louer une voiture, une camionnette ou un véhicule à deux</w:t>
      </w:r>
      <w:r w:rsidR="00117FAB" w:rsidRPr="0098629B">
        <w:t xml:space="preserve"> </w:t>
      </w:r>
      <w:r w:rsidRPr="0098629B">
        <w:t>trois roues ou quadricycle à moteur peu polluant. Garanti à 50 % par l'État, le montant du crédit varie en fonction des revenus du ménage. Depuis le 6 février 2022, son montant maximal atteint désormais 8</w:t>
      </w:r>
      <w:r w:rsidRPr="0098629B">
        <w:rPr>
          <w:rFonts w:ascii="Calibri" w:hAnsi="Calibri" w:cs="Calibri"/>
        </w:rPr>
        <w:t> </w:t>
      </w:r>
      <w:r w:rsidRPr="0098629B">
        <w:t>000 €, remboursable sur sept ans, contre 5</w:t>
      </w:r>
      <w:r w:rsidRPr="0098629B">
        <w:rPr>
          <w:rFonts w:ascii="Calibri" w:hAnsi="Calibri" w:cs="Calibri"/>
        </w:rPr>
        <w:t> </w:t>
      </w:r>
      <w:r w:rsidRPr="0098629B">
        <w:t>000 € remboursables sur cinq ans précédemment. Le microcrédit est cumulable avec le bonus écologique et la prime à la conversion.</w:t>
      </w:r>
    </w:p>
    <w:p w14:paraId="26F280AB" w14:textId="77777777" w:rsidR="0018240E" w:rsidRPr="0098629B" w:rsidRDefault="0018240E" w:rsidP="0018240E">
      <w:pPr>
        <w:spacing w:before="240" w:after="240"/>
      </w:pPr>
      <w:r w:rsidRPr="0098629B">
        <w:t>Une expérimentation de prêt à taux zéro est prévue à partir du 1</w:t>
      </w:r>
      <w:r w:rsidRPr="0098629B">
        <w:rPr>
          <w:vertAlign w:val="superscript"/>
        </w:rPr>
        <w:t>er</w:t>
      </w:r>
      <w:r w:rsidRPr="0098629B">
        <w:t xml:space="preserve"> janvier 2023 pour deux ans. Il sera ouvert aux ménages modestes et aux microentreprises, domiciliés ou justifiant d’une activité professionnelle dans les ZFE en dépassement des normes de qualité de l’air, ou dans une intercommunalité limitrophe de celles-ci, pour l’achat ou la location de véhicules à faibles émissions. Le prêt peut atteindre un montant de 30</w:t>
      </w:r>
      <w:r w:rsidRPr="0098629B">
        <w:rPr>
          <w:rFonts w:ascii="Calibri" w:hAnsi="Calibri" w:cs="Calibri"/>
        </w:rPr>
        <w:t> </w:t>
      </w:r>
      <w:r w:rsidRPr="0098629B">
        <w:t>000€ (respectivement, 10</w:t>
      </w:r>
      <w:r w:rsidRPr="0098629B">
        <w:rPr>
          <w:rFonts w:ascii="Calibri" w:hAnsi="Calibri" w:cs="Calibri"/>
        </w:rPr>
        <w:t> </w:t>
      </w:r>
      <w:r w:rsidRPr="0098629B">
        <w:t>000€ en cas de recours à la location longue durée ou à la location avec option d’achat) remboursable sur sept ans (respectivement, la durée du contrat de location).</w:t>
      </w:r>
    </w:p>
    <w:p w14:paraId="403ED76B" w14:textId="61E85908" w:rsidR="0018240E" w:rsidRPr="0098629B" w:rsidRDefault="0018240E" w:rsidP="0018240E">
      <w:pPr>
        <w:spacing w:before="240" w:after="240"/>
        <w:rPr>
          <w:noProof/>
        </w:rPr>
      </w:pPr>
      <w:r w:rsidRPr="0098629B">
        <w:t xml:space="preserve">La taxe sur les véhicules de société est une taxe annuelle portant sur les véhicules d’entreprises destinés au transport de passagers, </w:t>
      </w:r>
      <w:r w:rsidRPr="0098629B">
        <w:rPr>
          <w:noProof/>
        </w:rPr>
        <w:t>assise sur</w:t>
      </w:r>
      <w:r w:rsidRPr="0098629B">
        <w:rPr>
          <w:rFonts w:ascii="Calibri" w:hAnsi="Calibri" w:cs="Calibri"/>
          <w:noProof/>
        </w:rPr>
        <w:t> </w:t>
      </w:r>
      <w:r w:rsidRPr="0098629B">
        <w:rPr>
          <w:noProof/>
        </w:rPr>
        <w:t xml:space="preserve">: les émissions de </w:t>
      </w:r>
      <w:r w:rsidR="00811B0F" w:rsidRPr="0098629B">
        <w:t>CO</w:t>
      </w:r>
      <w:r w:rsidR="00811B0F" w:rsidRPr="0098629B">
        <w:rPr>
          <w:vertAlign w:val="subscript"/>
        </w:rPr>
        <w:t>2</w:t>
      </w:r>
      <w:r w:rsidRPr="0098629B">
        <w:rPr>
          <w:noProof/>
        </w:rPr>
        <w:t xml:space="preserve"> d'une part ; l'énergie utilisée et l'année de mise en circulation du véhicule, d'autre part. D’autres avantages fiscaux existent pour les véhicules de société à faibles émissions comme l’augmentation du montant maximum amortissable et l’abattement de l’avantage en nature.</w:t>
      </w:r>
    </w:p>
    <w:p w14:paraId="45DAFFA9" w14:textId="77777777" w:rsidR="0018240E" w:rsidRPr="0098629B" w:rsidRDefault="0018240E" w:rsidP="0018240E">
      <w:pPr>
        <w:spacing w:before="240" w:after="240"/>
        <w:rPr>
          <w:noProof/>
        </w:rPr>
      </w:pPr>
      <w:r w:rsidRPr="0098629B">
        <w:rPr>
          <w:noProof/>
        </w:rPr>
        <w:t xml:space="preserve">Les mesures déjà engagées ont permis une croissance très rapide de la part de marché des voitures particulières électriques et hybrides rechargeables en France. </w:t>
      </w:r>
    </w:p>
    <w:p w14:paraId="7D8EBD6C" w14:textId="77777777" w:rsidR="0018240E" w:rsidRPr="0098629B" w:rsidRDefault="0018240E" w:rsidP="0018240E">
      <w:pPr>
        <w:spacing w:before="240" w:after="240"/>
        <w:rPr>
          <w:noProof/>
        </w:rPr>
      </w:pPr>
      <w:r w:rsidRPr="0098629B">
        <w:rPr>
          <w:noProof/>
        </w:rPr>
        <w:t>Comme le montre le graphique suivant, la part de marché des voitures électriques a crû de manière très rapide de 1,9% de part de marché en 2019 à 9,7% en 2021 et 12,7% sur les dix premiers mois de l’année 2022. En 2021, 164</w:t>
      </w:r>
      <w:r w:rsidRPr="0098629B">
        <w:rPr>
          <w:rFonts w:ascii="Calibri" w:hAnsi="Calibri" w:cs="Calibri"/>
          <w:noProof/>
        </w:rPr>
        <w:t> </w:t>
      </w:r>
      <w:r w:rsidRPr="0098629B">
        <w:rPr>
          <w:noProof/>
        </w:rPr>
        <w:t xml:space="preserve">000 voitures électriques ont ainsi été vendues en France. La part des voitures hybrides rechargeables a également crû de 0,8% en 2019 à 8,3% en 2021 avant un léger repli à 7,9% sur les dix premiers mois de l’année 2022. </w:t>
      </w:r>
    </w:p>
    <w:p w14:paraId="6805DFED" w14:textId="77777777" w:rsidR="0018240E" w:rsidRPr="0098629B" w:rsidRDefault="0018240E" w:rsidP="0018240E">
      <w:pPr>
        <w:spacing w:before="240" w:after="240"/>
        <w:rPr>
          <w:noProof/>
        </w:rPr>
      </w:pPr>
    </w:p>
    <w:p w14:paraId="446C8580" w14:textId="77777777" w:rsidR="0018240E" w:rsidRPr="0098629B" w:rsidRDefault="0018240E" w:rsidP="0018240E">
      <w:pPr>
        <w:jc w:val="center"/>
        <w:rPr>
          <w:rFonts w:ascii="CIDFont+F1" w:eastAsiaTheme="minorHAnsi" w:hAnsi="CIDFont+F1" w:cs="CIDFont+F1"/>
          <w:sz w:val="20"/>
          <w:szCs w:val="20"/>
          <w:lang w:eastAsia="en-US"/>
        </w:rPr>
      </w:pPr>
      <w:r w:rsidRPr="0098629B">
        <w:rPr>
          <w:rFonts w:ascii="CIDFont+F1" w:eastAsiaTheme="minorHAnsi" w:hAnsi="CIDFont+F1" w:cs="CIDFont+F1"/>
          <w:noProof/>
          <w:sz w:val="20"/>
          <w:szCs w:val="20"/>
        </w:rPr>
        <w:lastRenderedPageBreak/>
        <w:drawing>
          <wp:inline distT="0" distB="0" distL="0" distR="0" wp14:anchorId="2163675A" wp14:editId="7D80AA74">
            <wp:extent cx="5817210" cy="28492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033" cy="2855036"/>
                    </a:xfrm>
                    <a:prstGeom prst="rect">
                      <a:avLst/>
                    </a:prstGeom>
                    <a:noFill/>
                  </pic:spPr>
                </pic:pic>
              </a:graphicData>
            </a:graphic>
          </wp:inline>
        </w:drawing>
      </w:r>
    </w:p>
    <w:p w14:paraId="124A69C0" w14:textId="77777777" w:rsidR="0018240E" w:rsidRPr="0098629B" w:rsidRDefault="0018240E" w:rsidP="0018240E">
      <w:pPr>
        <w:pStyle w:val="FootnoteText"/>
        <w:rPr>
          <w:rFonts w:eastAsiaTheme="minorHAnsi"/>
          <w:lang w:eastAsia="en-US"/>
        </w:rPr>
      </w:pPr>
      <w:r w:rsidRPr="0098629B">
        <w:rPr>
          <w:rFonts w:eastAsiaTheme="minorHAnsi"/>
          <w:lang w:eastAsia="en-US"/>
        </w:rPr>
        <w:t>2022(p) : calcul sur les dix premiers mois de l’année</w:t>
      </w:r>
    </w:p>
    <w:p w14:paraId="4BC7B3F4" w14:textId="6C920599" w:rsidR="0018240E" w:rsidRPr="0098629B" w:rsidRDefault="0018240E" w:rsidP="0018240E">
      <w:pPr>
        <w:pStyle w:val="Caption"/>
        <w:rPr>
          <w:rFonts w:eastAsiaTheme="minorHAnsi"/>
        </w:rPr>
      </w:pPr>
      <w:bookmarkStart w:id="54" w:name="_Toc122694392"/>
      <w:bookmarkStart w:id="55" w:name="_Toc123916619"/>
      <w:r w:rsidRPr="0098629B">
        <w:t xml:space="preserve">Figure </w:t>
      </w:r>
      <w:fldSimple w:instr=" SEQ Figure \* ARABIC ">
        <w:r w:rsidR="006B0E73">
          <w:rPr>
            <w:noProof/>
          </w:rPr>
          <w:t>13</w:t>
        </w:r>
      </w:fldSimple>
      <w:r w:rsidRPr="0098629B">
        <w:t xml:space="preserve"> : </w:t>
      </w:r>
      <w:r w:rsidRPr="0098629B">
        <w:rPr>
          <w:rFonts w:eastAsiaTheme="minorHAnsi"/>
        </w:rPr>
        <w:t>Evolution des ventes de voitures électriques (VE) et hybrides rechargeables (VHR)</w:t>
      </w:r>
      <w:bookmarkEnd w:id="54"/>
      <w:bookmarkEnd w:id="55"/>
    </w:p>
    <w:p w14:paraId="474F833D" w14:textId="77777777" w:rsidR="0018240E" w:rsidRPr="0098629B" w:rsidRDefault="0018240E" w:rsidP="0018240E">
      <w:pPr>
        <w:pStyle w:val="Caption"/>
        <w:rPr>
          <w:rFonts w:eastAsiaTheme="minorHAnsi"/>
        </w:rPr>
      </w:pPr>
      <w:r w:rsidRPr="0098629B">
        <w:rPr>
          <w:rFonts w:eastAsiaTheme="minorHAnsi"/>
        </w:rPr>
        <w:t>Source : SDES, RSVERO</w:t>
      </w:r>
    </w:p>
    <w:p w14:paraId="506A8EB4" w14:textId="58C0C4EF" w:rsidR="0018240E" w:rsidRPr="0098629B" w:rsidRDefault="0018240E" w:rsidP="0018240E">
      <w:pPr>
        <w:spacing w:before="240" w:after="240"/>
      </w:pPr>
      <w:r w:rsidRPr="0098629B">
        <w:rPr>
          <w:noProof/>
        </w:rPr>
        <w:t xml:space="preserve">Par ailleurs, les cibles d’émissions unitaires pour les voitures particulières neuves (95g </w:t>
      </w:r>
      <w:r w:rsidR="00811B0F" w:rsidRPr="0098629B">
        <w:t>CO</w:t>
      </w:r>
      <w:r w:rsidR="00811B0F" w:rsidRPr="0098629B">
        <w:rPr>
          <w:vertAlign w:val="subscript"/>
        </w:rPr>
        <w:t>2</w:t>
      </w:r>
      <w:r w:rsidRPr="0098629B">
        <w:rPr>
          <w:noProof/>
        </w:rPr>
        <w:t xml:space="preserve">/km, mesurées selon l’ancien cycle d’homologation NEDC, à partir de l’année 2020) ont bien été atteintes. L’objectif est décliné, à partir de l’année 2021, selon le nouveau cycle d’homologation WLTP, mis en place pour mieux évaluer les émissions réelles. </w:t>
      </w:r>
    </w:p>
    <w:p w14:paraId="22F17D8A" w14:textId="77777777" w:rsidR="0018240E" w:rsidRPr="0098629B" w:rsidRDefault="0018240E" w:rsidP="0018240E">
      <w:pPr>
        <w:spacing w:before="240" w:after="240"/>
        <w:rPr>
          <w:b/>
          <w:i/>
          <w:u w:val="single"/>
        </w:rPr>
      </w:pPr>
      <w:r w:rsidRPr="0098629B">
        <w:rPr>
          <w:b/>
          <w:i/>
          <w:u w:val="single"/>
        </w:rPr>
        <w:t>Véhicules utilitaires légers</w:t>
      </w:r>
    </w:p>
    <w:p w14:paraId="2569CB0F" w14:textId="679992E4" w:rsidR="0018240E" w:rsidRPr="0098629B" w:rsidRDefault="0018240E" w:rsidP="0018240E">
      <w:pPr>
        <w:spacing w:before="240" w:after="240"/>
      </w:pPr>
      <w:r w:rsidRPr="0098629B">
        <w:t>Le règlement européen n° 510/2011 a imposé aux constructeurs d’abaisser progressivement les émissions moyennes des véhicules utilitaires légers neufs à 175 g</w:t>
      </w:r>
      <w:r w:rsidR="00811B0F" w:rsidRPr="0098629B">
        <w:t>CO</w:t>
      </w:r>
      <w:r w:rsidR="00811B0F" w:rsidRPr="0098629B">
        <w:rPr>
          <w:vertAlign w:val="subscript"/>
        </w:rPr>
        <w:t>2</w:t>
      </w:r>
      <w:r w:rsidRPr="0098629B">
        <w:t>/km NEDC entre 2014 et 2017. Un niveau d’émissions moyen de 147 g</w:t>
      </w:r>
      <w:r w:rsidR="00811B0F" w:rsidRPr="0098629B">
        <w:t>CO</w:t>
      </w:r>
      <w:r w:rsidR="00811B0F" w:rsidRPr="0098629B">
        <w:rPr>
          <w:vertAlign w:val="subscript"/>
        </w:rPr>
        <w:t>2</w:t>
      </w:r>
      <w:r w:rsidRPr="0098629B">
        <w:t xml:space="preserve">/km NEDC a été fixé pour 2020 (cette cible étant traduite en 2021 en valeur WLTP). Le règlement n° 2019/361 du 17 avril 2019 prévoit un renforcement des objectifs avec une réduction de 15 % des émissions à compter de 2025 puis 31 % en 2030 par rapport à la cible 2021. Dans le cadre du paquet Ajustement à l’objectif 55, l’accord provisoire obtenu au niveau européen prévoit des objectifs de réduction de 50% en 2030 et de 100% en 2035 par rapport à la cible 2021, soit une fin de vente des véhicules utilitaires légers neufs thermiques en 2035. </w:t>
      </w:r>
    </w:p>
    <w:p w14:paraId="669FD391" w14:textId="77777777" w:rsidR="0018240E" w:rsidRPr="0098629B" w:rsidRDefault="0018240E" w:rsidP="0018240E">
      <w:pPr>
        <w:spacing w:before="100" w:beforeAutospacing="1" w:after="100" w:afterAutospacing="1"/>
      </w:pPr>
      <w:r w:rsidRPr="0098629B">
        <w:t>Les camionnettes électriques neuves bénéficient d’un bonus qui s’élève jusqu’à 7 000€ pour une personne physique (5 000€ pour des personnes morales), dans la limite de 40% du montant TTC du véhicule. Si l’achat d’un véhicule moins émetteur s’accompagne de la mise au rebut d’un véhicule ancien, et sous certaines conditions, une prime à la conversion peut également être versée. Depuis le 26 juillet 2021, son montant atteint Les acquéreurs de camionnettes faiblement émettrices sont également éligibles aux dispositifs de microcrédit et de prêt à taux zéro (qui sera mis en place à compter de 2023).</w:t>
      </w:r>
    </w:p>
    <w:p w14:paraId="1C8448B4" w14:textId="77777777" w:rsidR="0018240E" w:rsidRPr="0098629B" w:rsidRDefault="0018240E" w:rsidP="0018240E">
      <w:pPr>
        <w:spacing w:before="100" w:beforeAutospacing="1" w:after="100" w:afterAutospacing="1"/>
      </w:pPr>
      <w:r w:rsidRPr="0098629B">
        <w:t>Les objectifs d’incorporation de véhicules à faibles émissions lors du renouvellement des flottes s’appliquent également aux véhicules utilitaires légers.</w:t>
      </w:r>
    </w:p>
    <w:p w14:paraId="19E5F1DE" w14:textId="77777777" w:rsidR="0018240E" w:rsidRPr="0098629B" w:rsidRDefault="0018240E" w:rsidP="0018240E">
      <w:pPr>
        <w:autoSpaceDE w:val="0"/>
        <w:autoSpaceDN w:val="0"/>
        <w:adjustRightInd w:val="0"/>
        <w:spacing w:before="240" w:after="240"/>
      </w:pPr>
      <w:r w:rsidRPr="0098629B">
        <w:rPr>
          <w:noProof/>
        </w:rPr>
        <w:t xml:space="preserve">Les véhicules utilitaires de 2,6 à 3,5 tonnes fonctionnant au gaz naturel véhicule, aux biocarburants, à l’électricité ou à l’hydrogène, bénéficient d’un dispositif fiscal de suramortissement à hauteur de 20 %. </w:t>
      </w:r>
    </w:p>
    <w:p w14:paraId="257C8846" w14:textId="77777777" w:rsidR="0018240E" w:rsidRPr="0098629B" w:rsidRDefault="0018240E" w:rsidP="0018240E">
      <w:pPr>
        <w:autoSpaceDE w:val="0"/>
        <w:autoSpaceDN w:val="0"/>
        <w:adjustRightInd w:val="0"/>
        <w:spacing w:before="240" w:after="240"/>
        <w:rPr>
          <w:b/>
          <w:i/>
          <w:noProof/>
          <w:u w:val="single"/>
        </w:rPr>
      </w:pPr>
      <w:r w:rsidRPr="0098629B">
        <w:rPr>
          <w:b/>
          <w:i/>
          <w:noProof/>
          <w:u w:val="single"/>
        </w:rPr>
        <w:t>Les poids lourds</w:t>
      </w:r>
    </w:p>
    <w:p w14:paraId="3584A8DE" w14:textId="2015FAEB" w:rsidR="0018240E" w:rsidRPr="0098629B" w:rsidRDefault="0018240E" w:rsidP="0018240E">
      <w:pPr>
        <w:spacing w:before="240" w:after="240"/>
      </w:pPr>
      <w:r w:rsidRPr="0098629B">
        <w:lastRenderedPageBreak/>
        <w:t xml:space="preserve">Le nouveau règlement européen n° 2019/1242 crée des obligations de réduction des émissions de </w:t>
      </w:r>
      <w:r w:rsidR="00811B0F" w:rsidRPr="0098629B">
        <w:t>CO</w:t>
      </w:r>
      <w:r w:rsidR="00811B0F" w:rsidRPr="0098629B">
        <w:rPr>
          <w:vertAlign w:val="subscript"/>
        </w:rPr>
        <w:t>2</w:t>
      </w:r>
      <w:r w:rsidRPr="0098629B">
        <w:t xml:space="preserve"> de certains véhicules lourds neufs avec un objectif de réduction de 15 % à horizon 2025 et de 30% à horizon 2030 par rapport au niveau d’émissions remonté sur la période de référence juillet 2019 – juin 2020.</w:t>
      </w:r>
    </w:p>
    <w:p w14:paraId="3D4F1268" w14:textId="77777777" w:rsidR="0018240E" w:rsidRPr="0098629B" w:rsidRDefault="0018240E" w:rsidP="0018240E">
      <w:pPr>
        <w:spacing w:before="240" w:after="240"/>
      </w:pPr>
      <w:r w:rsidRPr="0098629B">
        <w:t>Au niveau national, la loi climat-résilience fixe un objectif de fin de vente des véhicules lourds neufs utilisés pour le transport de personnes ou de marchandises fonctionnant majoritairement avec des énergies fossiles en 2040. Les flottes publiques de poids lourds sont également soumises à des obligations de verdissement.</w:t>
      </w:r>
    </w:p>
    <w:p w14:paraId="1D81FDBE" w14:textId="77777777" w:rsidR="0018240E" w:rsidRPr="0098629B" w:rsidRDefault="0018240E" w:rsidP="0018240E">
      <w:pPr>
        <w:spacing w:before="240" w:after="240"/>
        <w:rPr>
          <w:noProof/>
        </w:rPr>
      </w:pPr>
      <w:r w:rsidRPr="0098629B">
        <w:rPr>
          <w:noProof/>
        </w:rPr>
        <w:t>Il existe des incitations fiscales pour les PL, pour le développement de véhicules au GNV puis bio-GNV, électriques et H2. Les poids lourds fonctionnant au gaz naturel, aux biocarburants, à  l’électricité et à l’hydrogène bénéficient d’un dispositif de suramortissement à hauteur de 60 % pour les poids lourds jusqu’à 16 tonnes (et 40 % au-delà). Dans le cadre du plan de relance, les poids lourds fonctionnant à l’électricité et/ou l’hydrogène bénéficient d’un bonus qui s’élève jusqu’à 50</w:t>
      </w:r>
      <w:r w:rsidRPr="0098629B">
        <w:rPr>
          <w:rFonts w:ascii="Calibri" w:hAnsi="Calibri" w:cs="Calibri"/>
          <w:noProof/>
        </w:rPr>
        <w:t> </w:t>
      </w:r>
      <w:r w:rsidRPr="0098629B">
        <w:rPr>
          <w:noProof/>
        </w:rPr>
        <w:t>000 €. En complément de ce bonus, un appel à projets, dit «</w:t>
      </w:r>
      <w:r w:rsidRPr="0098629B">
        <w:rPr>
          <w:rFonts w:ascii="Calibri" w:hAnsi="Calibri" w:cs="Calibri"/>
          <w:noProof/>
        </w:rPr>
        <w:t> </w:t>
      </w:r>
      <w:r w:rsidRPr="0098629B">
        <w:rPr>
          <w:noProof/>
        </w:rPr>
        <w:t>Ecosystème des véhicules lourds électriques</w:t>
      </w:r>
      <w:r w:rsidRPr="0098629B">
        <w:rPr>
          <w:rFonts w:ascii="Calibri" w:hAnsi="Calibri" w:cs="Calibri"/>
          <w:noProof/>
        </w:rPr>
        <w:t> </w:t>
      </w:r>
      <w:r w:rsidRPr="0098629B">
        <w:rPr>
          <w:rFonts w:cs="Marianne"/>
          <w:noProof/>
        </w:rPr>
        <w:t>»</w:t>
      </w:r>
      <w:r w:rsidRPr="0098629B">
        <w:rPr>
          <w:noProof/>
        </w:rPr>
        <w:t xml:space="preserve"> a été ouvert en mars 2022. Doté d’une enveloppe de 65 M€ pour l’année 2022, il permet de soutenir des projets d’acquisition de véhicules lourds électriques (avec des aides atteignant jusque 150</w:t>
      </w:r>
      <w:r w:rsidRPr="0098629B">
        <w:rPr>
          <w:rFonts w:ascii="Calibri" w:hAnsi="Calibri" w:cs="Calibri"/>
          <w:noProof/>
        </w:rPr>
        <w:t> </w:t>
      </w:r>
      <w:r w:rsidRPr="0098629B">
        <w:rPr>
          <w:noProof/>
        </w:rPr>
        <w:t>000 € / véhicule) et de déploiement des infrastructures de recharge associées.</w:t>
      </w:r>
    </w:p>
    <w:p w14:paraId="1EF03353" w14:textId="77777777" w:rsidR="0018240E" w:rsidRPr="0098629B" w:rsidRDefault="0018240E" w:rsidP="0018240E">
      <w:pPr>
        <w:spacing w:before="240" w:after="240"/>
        <w:rPr>
          <w:b/>
          <w:i/>
          <w:u w:val="single"/>
        </w:rPr>
      </w:pPr>
      <w:r w:rsidRPr="0098629B">
        <w:rPr>
          <w:b/>
          <w:i/>
          <w:u w:val="single"/>
        </w:rPr>
        <w:t>Les bus et cars</w:t>
      </w:r>
    </w:p>
    <w:p w14:paraId="7FEDADB2" w14:textId="77777777" w:rsidR="0018240E" w:rsidRPr="0098629B" w:rsidRDefault="0018240E" w:rsidP="0018240E">
      <w:pPr>
        <w:autoSpaceDE w:val="0"/>
        <w:autoSpaceDN w:val="0"/>
        <w:adjustRightInd w:val="0"/>
        <w:spacing w:before="240" w:after="240"/>
        <w:rPr>
          <w:noProof/>
        </w:rPr>
      </w:pPr>
      <w:r w:rsidRPr="0098629B">
        <w:rPr>
          <w:noProof/>
        </w:rPr>
        <w:t>Pour les véhicules dédiés au transport public gérés par l’Etat et les collectivités (autobus et autocars), la loi prévoit une obligation d’acquérir ou d’utiliser, lors du renouvellement du parc, au moins 50 % de véhicules à faibles émissions parmi les véhicules renouvelés à partir du 1er janvier 2020, puis la totalité des véhicules renouvelés à partir du 1er janvier 2025. Les critères définissant les types de véhicules à faibles émissions (électrique, hybride, gaz naturel véhicule, biogaz, ou biocarburant très majoritairement renouvelable) sont fixés selon les usages, les territoires dans lesquels ils circulent et les capacités locales d'approvisionnement en source d'énergie. Ces objectifs ont été renforc</w:t>
      </w:r>
      <w:r w:rsidRPr="0098629B">
        <w:rPr>
          <w:rFonts w:cs="Marianne"/>
          <w:noProof/>
        </w:rPr>
        <w:t>é</w:t>
      </w:r>
      <w:r w:rsidRPr="0098629B">
        <w:rPr>
          <w:noProof/>
        </w:rPr>
        <w:t>s par la transposition de la directive européenne sur les véhicules propres (2019/1161)</w:t>
      </w:r>
      <w:r w:rsidRPr="0098629B">
        <w:rPr>
          <w:rFonts w:ascii="Calibri" w:hAnsi="Calibri" w:cs="Calibri"/>
          <w:noProof/>
        </w:rPr>
        <w:t xml:space="preserve">, </w:t>
      </w:r>
      <w:r w:rsidRPr="0098629B">
        <w:rPr>
          <w:noProof/>
        </w:rPr>
        <w:t>notamment en introduisant un objectif d'au moins 50 % des Véhicules à faibles émissions qui soient "zéro émission" (électriques ou hydrogène) pour les agglomérations les plus importantes (plus de 250</w:t>
      </w:r>
      <w:r w:rsidRPr="0098629B">
        <w:rPr>
          <w:rFonts w:ascii="Calibri" w:hAnsi="Calibri" w:cs="Calibri"/>
          <w:noProof/>
        </w:rPr>
        <w:t> </w:t>
      </w:r>
      <w:r w:rsidRPr="0098629B">
        <w:rPr>
          <w:noProof/>
        </w:rPr>
        <w:t>000 habitants).</w:t>
      </w:r>
    </w:p>
    <w:p w14:paraId="5C2D8EDB" w14:textId="77777777" w:rsidR="0018240E" w:rsidRPr="0098629B" w:rsidRDefault="0018240E" w:rsidP="0018240E">
      <w:pPr>
        <w:autoSpaceDE w:val="0"/>
        <w:autoSpaceDN w:val="0"/>
        <w:adjustRightInd w:val="0"/>
        <w:spacing w:before="240" w:after="240"/>
        <w:rPr>
          <w:noProof/>
        </w:rPr>
      </w:pPr>
      <w:r w:rsidRPr="0098629B">
        <w:rPr>
          <w:noProof/>
        </w:rPr>
        <w:t>Dans le cadre du plan de relance, les bus et cars fonctionnant à l’électricité et/ou l’hydrogène bénéficient par ailleurs d’un bonus qui s’élève jusqu’à 30</w:t>
      </w:r>
      <w:r w:rsidRPr="0098629B">
        <w:rPr>
          <w:rFonts w:ascii="Calibri" w:hAnsi="Calibri" w:cs="Calibri"/>
          <w:noProof/>
        </w:rPr>
        <w:t> </w:t>
      </w:r>
      <w:r w:rsidRPr="0098629B">
        <w:rPr>
          <w:noProof/>
        </w:rPr>
        <w:t>000</w:t>
      </w:r>
      <w:r w:rsidRPr="0098629B">
        <w:rPr>
          <w:rFonts w:ascii="Calibri" w:hAnsi="Calibri" w:cs="Calibri"/>
          <w:noProof/>
        </w:rPr>
        <w:t> </w:t>
      </w:r>
      <w:r w:rsidRPr="0098629B">
        <w:rPr>
          <w:noProof/>
        </w:rPr>
        <w:t>€. Les bus et cars à énergies alternatives peuvent également bénéficier du suramortissement dans les mêmes conditions que les poids lourds, dans la mesure où ils sont acquis par des entreprises soumises à l’impôt sur les sociétés ou à l’impôt sur le revenu selon un régime réel d’imposition. Enfin, les autobus et autocars électriques ont été éligibles en 2022 à l’appel à projets «</w:t>
      </w:r>
      <w:r w:rsidRPr="0098629B">
        <w:rPr>
          <w:rFonts w:ascii="Calibri" w:hAnsi="Calibri" w:cs="Calibri"/>
          <w:noProof/>
        </w:rPr>
        <w:t> </w:t>
      </w:r>
      <w:r w:rsidRPr="0098629B">
        <w:rPr>
          <w:noProof/>
        </w:rPr>
        <w:t>Ecosystème des véhicules lourds électriques</w:t>
      </w:r>
      <w:r w:rsidRPr="0098629B">
        <w:rPr>
          <w:rFonts w:ascii="Calibri" w:hAnsi="Calibri" w:cs="Calibri"/>
          <w:noProof/>
        </w:rPr>
        <w:t> </w:t>
      </w:r>
      <w:r w:rsidRPr="0098629B">
        <w:rPr>
          <w:rFonts w:cs="Marianne"/>
          <w:noProof/>
        </w:rPr>
        <w:t>», à l’instar des poids lourds électriques (avec des aides atteignant jusque 100</w:t>
      </w:r>
      <w:r w:rsidRPr="0098629B">
        <w:rPr>
          <w:rFonts w:ascii="Calibri" w:hAnsi="Calibri" w:cs="Calibri"/>
          <w:noProof/>
        </w:rPr>
        <w:t> </w:t>
      </w:r>
      <w:r w:rsidRPr="0098629B">
        <w:rPr>
          <w:rFonts w:cs="Marianne"/>
          <w:noProof/>
        </w:rPr>
        <w:t>000 € / véhicule).</w:t>
      </w:r>
    </w:p>
    <w:p w14:paraId="5ACE57E0" w14:textId="77777777" w:rsidR="0018240E" w:rsidRPr="0098629B" w:rsidRDefault="0018240E" w:rsidP="0018240E">
      <w:pPr>
        <w:autoSpaceDE w:val="0"/>
        <w:autoSpaceDN w:val="0"/>
        <w:adjustRightInd w:val="0"/>
        <w:spacing w:before="240" w:after="240"/>
        <w:rPr>
          <w:noProof/>
        </w:rPr>
      </w:pPr>
    </w:p>
    <w:p w14:paraId="390E10EE" w14:textId="77777777" w:rsidR="0018240E" w:rsidRPr="0098629B" w:rsidRDefault="0018240E" w:rsidP="0018240E">
      <w:pPr>
        <w:spacing w:before="240" w:after="240"/>
        <w:rPr>
          <w:b/>
          <w:i/>
          <w:u w:val="single"/>
        </w:rPr>
      </w:pPr>
      <w:r w:rsidRPr="0098629B">
        <w:rPr>
          <w:b/>
          <w:i/>
          <w:u w:val="single"/>
        </w:rPr>
        <w:t>Les infrastructures de recharge</w:t>
      </w:r>
    </w:p>
    <w:p w14:paraId="6BAC4B28" w14:textId="77777777" w:rsidR="0018240E" w:rsidRPr="0098629B" w:rsidRDefault="0018240E" w:rsidP="0018240E">
      <w:pPr>
        <w:spacing w:before="240" w:after="240"/>
        <w:rPr>
          <w:noProof/>
        </w:rPr>
      </w:pPr>
      <w:r w:rsidRPr="0098629B">
        <w:rPr>
          <w:noProof/>
        </w:rPr>
        <w:t xml:space="preserve">Un ensemble de mesures vise à promouvoir le </w:t>
      </w:r>
      <w:r w:rsidRPr="0098629B">
        <w:rPr>
          <w:b/>
          <w:noProof/>
        </w:rPr>
        <w:t>déploiement des infrastructures de recharge</w:t>
      </w:r>
      <w:r w:rsidRPr="0098629B">
        <w:rPr>
          <w:noProof/>
        </w:rPr>
        <w:t xml:space="preserve"> pour les véhicules électriques. Il existe des obligations de pré-équipements et d’équipements de certains types de bâtiments et de parkings publics (loi d’orientation des mobilités, loi climat résilience). </w:t>
      </w:r>
    </w:p>
    <w:p w14:paraId="4BCC2F6C" w14:textId="77777777" w:rsidR="0018240E" w:rsidRPr="0098629B" w:rsidRDefault="0018240E" w:rsidP="0018240E">
      <w:pPr>
        <w:spacing w:before="240" w:after="240"/>
        <w:rPr>
          <w:noProof/>
        </w:rPr>
      </w:pPr>
      <w:r w:rsidRPr="0098629B">
        <w:rPr>
          <w:noProof/>
        </w:rPr>
        <w:t>L’installation de bornes de recharge publiques comme privées fait l’objet de soutiens financiers. Les particuliers qui installent des bornes à domicile bénéficient d’un crédit d’impôt dans la limite de 300€ par système de charge et 75% des dépenses.</w:t>
      </w:r>
    </w:p>
    <w:p w14:paraId="73441FAB" w14:textId="77777777" w:rsidR="0018240E" w:rsidRPr="0098629B" w:rsidRDefault="0018240E" w:rsidP="0018240E">
      <w:pPr>
        <w:spacing w:before="240" w:after="240"/>
        <w:rPr>
          <w:noProof/>
        </w:rPr>
      </w:pPr>
      <w:r w:rsidRPr="0098629B">
        <w:rPr>
          <w:noProof/>
        </w:rPr>
        <w:t>Le programme ADVENIR, financé dans le cadre des Certificats d’Economie d’Energie (CEE), subventionne l’installation de points de charge dans le résidentiel collectif, les entreprises et pour les personnes publiques dans la limite de taux d’aide et de plafonds par point de recharge et par type de cible.</w:t>
      </w:r>
    </w:p>
    <w:p w14:paraId="177FD05F" w14:textId="77777777" w:rsidR="0018240E" w:rsidRPr="0098629B" w:rsidRDefault="0018240E" w:rsidP="0018240E">
      <w:pPr>
        <w:spacing w:before="240" w:after="240"/>
        <w:rPr>
          <w:noProof/>
        </w:rPr>
      </w:pPr>
      <w:r w:rsidRPr="0098629B">
        <w:rPr>
          <w:noProof/>
        </w:rPr>
        <w:t xml:space="preserve">L'installation de stations de recharge rapide bénéficient d’aides du plan de relance jusqu’à fin 2022 (sur les grands axes routiers) et du plan d’investissements France 2030 jusqu’en 2024 (dans les métropoles et territoires).. Des </w:t>
      </w:r>
      <w:r w:rsidRPr="0098629B">
        <w:rPr>
          <w:noProof/>
        </w:rPr>
        <w:lastRenderedPageBreak/>
        <w:t xml:space="preserve">obligations d’assurer la distribution de l’ensemble des sources d’énergies usuelles sont mises en place pour les délégataires autoroutiers. </w:t>
      </w:r>
    </w:p>
    <w:p w14:paraId="1D6979B2" w14:textId="77777777" w:rsidR="0018240E" w:rsidRPr="0098629B" w:rsidRDefault="0018240E" w:rsidP="0018240E">
      <w:pPr>
        <w:spacing w:before="240" w:after="240"/>
        <w:rPr>
          <w:noProof/>
        </w:rPr>
      </w:pPr>
      <w:r w:rsidRPr="0098629B">
        <w:rPr>
          <w:noProof/>
        </w:rPr>
        <w:t>La loi de finances pour 2021 prévoit l’intégration de l’électricité d’origine renouvelable fournie par les infrastructures de recharge ouvertes au public au dispositif de la TIRUERT (taxe incitative relative à l’utilisation d’énergie renouvelable dans le transport), permettant aux distributeurs de carburant de valoriser les recharges de véhicules électriques pour l’atteinte de leurs objectifs d’incorporation d’énergies renouvelables. Cela vise à favoriser le déploiement des infrastructures de recharge ouvertes au public en améliorant leur rentabilité et en permettant de prendre en charge sur la durée une partie des coûts d’exploitation.</w:t>
      </w:r>
    </w:p>
    <w:p w14:paraId="726E6971" w14:textId="77777777" w:rsidR="0018240E" w:rsidRPr="0098629B" w:rsidRDefault="0018240E" w:rsidP="0018240E">
      <w:pPr>
        <w:spacing w:before="240" w:after="240"/>
        <w:rPr>
          <w:noProof/>
        </w:rPr>
      </w:pPr>
      <w:r w:rsidRPr="0098629B">
        <w:rPr>
          <w:noProof/>
        </w:rPr>
        <w:t>En outre, les bornes de recharge à domicile bénéficient d’un taux de TVA réduit à 5,5% (au ieu de 20%) et lorsque l’employeur met à disposition une borne de recharge, l’avantage en nature est considéré comme nul pour les déplacements à des fins non professionnelles.</w:t>
      </w:r>
    </w:p>
    <w:p w14:paraId="10D014B5" w14:textId="77777777" w:rsidR="0018240E" w:rsidRPr="0098629B" w:rsidRDefault="0018240E" w:rsidP="0018240E">
      <w:pPr>
        <w:spacing w:before="240" w:after="240"/>
        <w:rPr>
          <w:noProof/>
        </w:rPr>
      </w:pPr>
      <w:r w:rsidRPr="0098629B">
        <w:rPr>
          <w:noProof/>
        </w:rPr>
        <w:t>La loi d’orientation des mobilités puis la loi climat résilience ont créé et renforcé des dispositions en faveur du déploiement des infrastructures de recharge. La loi d’orientation des mobilités a simplifié et étendu le dispositif de droit à la prise afin de faciliter l’installation de points de recharge en bâtiments collectifs et a mis en place un taux de réfaction maximal de 75 % (au lieu de 40 %) de prise en charge des coûts de raccordement pour les bornes ouvertes au public ou dans les ateliers de charge de bus jusqu’en 2022 (sauf exceptions jusqu’en 2025). La loi d’orientation des mobilités prévoit également la possibilité, pour les territoires  de réaliser un schéma directeur de développement des infrastructures de recharge pour véhicules électriques ouvertes au public. Il s’agit d’un dispositif qui donne à la collectivité un rôle de pilotage de l’offre de recharge sur son territoire, pour aboutir à une offre coordonnée entre les différents maîtres d’ouvrage publics et privés, cohérente avec les politiques locales de mobilité et adaptée aux besoins. La loi climat-résilience a rendu ces schémas obligatoires dans les ZFE. La loi climat-résilience prévoit également la possibilité de faire installer une infrastructure électrique collective (facilitant le raccordement ultérieur des points de recharge) dans les bâtiments collectifs sans frais pour le propriétaire ou la copropriété via le gestionnaire de réseau ou un opérateur de recharge, qui est remboursé par les contributions des utilisateurs souhaitant raccorder un point de recharge à l’infrastructure collective.</w:t>
      </w:r>
    </w:p>
    <w:p w14:paraId="19B71296" w14:textId="77777777" w:rsidR="0018240E" w:rsidRPr="0098629B" w:rsidRDefault="0018240E" w:rsidP="0018240E">
      <w:pPr>
        <w:spacing w:before="240" w:after="240"/>
        <w:rPr>
          <w:noProof/>
        </w:rPr>
      </w:pPr>
      <w:r w:rsidRPr="0098629B">
        <w:rPr>
          <w:noProof/>
        </w:rPr>
        <w:t>La loi de transition énergétique pour la croissance verte fixe un objectif de 7 millions de points de recharge publics et privés d’ici 2030.</w:t>
      </w:r>
    </w:p>
    <w:p w14:paraId="1F50CC20" w14:textId="77777777" w:rsidR="0018240E" w:rsidRPr="0098629B" w:rsidRDefault="0018240E" w:rsidP="0018240E">
      <w:pPr>
        <w:pStyle w:val="titreencadre"/>
        <w:spacing w:before="120" w:after="60" w:line="240" w:lineRule="auto"/>
        <w:rPr>
          <w:noProof/>
        </w:rPr>
      </w:pPr>
      <w:r w:rsidRPr="0098629B">
        <w:rPr>
          <w:noProof/>
        </w:rPr>
        <w:t>La stratégie nationale hydrogène</w:t>
      </w:r>
    </w:p>
    <w:p w14:paraId="79B3B3F9" w14:textId="77777777" w:rsidR="0018240E" w:rsidRPr="0098629B" w:rsidRDefault="0018240E" w:rsidP="0018240E">
      <w:pPr>
        <w:autoSpaceDE w:val="0"/>
        <w:autoSpaceDN w:val="0"/>
        <w:adjustRightInd w:val="0"/>
        <w:spacing w:before="240" w:after="240"/>
        <w:rPr>
          <w:noProof/>
        </w:rPr>
      </w:pPr>
      <w:r w:rsidRPr="0098629B">
        <w:rPr>
          <w:noProof/>
        </w:rPr>
        <w:t>La stratégie nationale hydrogène vise le développement de l’hydrogène décarboné et comprend un axe de développement de la mobilité lourde à hydogène s’appuyant notamment sur des écosystèmes territoriaux de mobilité hydrogène sur la base de flottes de véhicules professionnels.</w:t>
      </w:r>
    </w:p>
    <w:p w14:paraId="7E0C5B2D" w14:textId="77777777" w:rsidR="0018240E" w:rsidRPr="0098629B" w:rsidRDefault="0018240E" w:rsidP="0018240E">
      <w:pPr>
        <w:pStyle w:val="titreencadre"/>
        <w:spacing w:before="120" w:after="60" w:line="240" w:lineRule="auto"/>
        <w:rPr>
          <w:noProof/>
        </w:rPr>
      </w:pPr>
      <w:r w:rsidRPr="0098629B">
        <w:rPr>
          <w:noProof/>
        </w:rPr>
        <w:t>Le développement des biocarburants</w:t>
      </w:r>
    </w:p>
    <w:p w14:paraId="3B12DA23" w14:textId="77777777" w:rsidR="0018240E" w:rsidRPr="0098629B" w:rsidRDefault="0018240E" w:rsidP="0018240E">
      <w:pPr>
        <w:autoSpaceDE w:val="0"/>
        <w:autoSpaceDN w:val="0"/>
        <w:adjustRightInd w:val="0"/>
        <w:rPr>
          <w:noProof/>
        </w:rPr>
      </w:pPr>
      <w:r w:rsidRPr="0098629B">
        <w:rPr>
          <w:noProof/>
        </w:rPr>
        <w:t xml:space="preserve">La taxe incitative relative à l’utilisation d’énergie renouvelable dans le transport (TIRUERT) constitue un dispositif très fortement incitatif qui permet de maximiser le taux d’incorporation des biocarburants tout en s’assurant de la durabilité de leur production. La TIRUERT est une taxe acquittée par les opérateurs qui n’atteignent pas l’objectif national d’incorporation de biocarburants respectant les critères de durabilité dans les essences et gazole. En 2022, le taux cible d’incorporation des biocarburants est fixé à 9,2 % pour les essences et à 8,1% pour les diesel. </w:t>
      </w:r>
    </w:p>
    <w:p w14:paraId="5D47563E" w14:textId="77777777" w:rsidR="0018240E" w:rsidRPr="0098629B" w:rsidRDefault="0018240E" w:rsidP="0018240E">
      <w:pPr>
        <w:autoSpaceDE w:val="0"/>
        <w:autoSpaceDN w:val="0"/>
        <w:adjustRightInd w:val="0"/>
        <w:rPr>
          <w:noProof/>
        </w:rPr>
      </w:pPr>
    </w:p>
    <w:p w14:paraId="14C46716" w14:textId="77777777" w:rsidR="0018240E" w:rsidRPr="0098629B" w:rsidRDefault="0018240E" w:rsidP="0018240E">
      <w:pPr>
        <w:autoSpaceDE w:val="0"/>
        <w:autoSpaceDN w:val="0"/>
        <w:adjustRightInd w:val="0"/>
        <w:rPr>
          <w:noProof/>
        </w:rPr>
      </w:pPr>
      <w:r w:rsidRPr="0098629B">
        <w:rPr>
          <w:noProof/>
        </w:rPr>
        <w:t>L'incorporation de biocarburants dans l'aviation est obligatoire à hauteur de 1% à compter de 2022 (loi de finance). Cette obligation s'inscrit dans le cadre d'une stratégie de développement des biocarburants actée par la feuille de route sur le développement des biocarburants qui fixe un objectif d'incorporation à hauteur de 5% à l'horizon 2030. Par ailleurs un appel à manifestation d'intérêt sur les biocarburants durables a été lancé afin d'identifier les projets d'investissement dans des unités de 2ème génération.</w:t>
      </w:r>
    </w:p>
    <w:p w14:paraId="4DB3734F" w14:textId="49E393B2" w:rsidR="0018240E" w:rsidRDefault="0018240E" w:rsidP="0018240E">
      <w:pPr>
        <w:autoSpaceDE w:val="0"/>
        <w:autoSpaceDN w:val="0"/>
        <w:adjustRightInd w:val="0"/>
        <w:rPr>
          <w:noProof/>
        </w:rPr>
      </w:pPr>
    </w:p>
    <w:p w14:paraId="3AA5F6A5" w14:textId="684957A7" w:rsidR="007C1765" w:rsidRDefault="007C1765" w:rsidP="0018240E">
      <w:pPr>
        <w:autoSpaceDE w:val="0"/>
        <w:autoSpaceDN w:val="0"/>
        <w:adjustRightInd w:val="0"/>
        <w:rPr>
          <w:noProof/>
        </w:rPr>
      </w:pPr>
    </w:p>
    <w:p w14:paraId="60B486F8" w14:textId="277EDFFF" w:rsidR="007C1765" w:rsidRDefault="007C1765" w:rsidP="0018240E">
      <w:pPr>
        <w:autoSpaceDE w:val="0"/>
        <w:autoSpaceDN w:val="0"/>
        <w:adjustRightInd w:val="0"/>
        <w:rPr>
          <w:noProof/>
        </w:rPr>
      </w:pPr>
    </w:p>
    <w:p w14:paraId="332007F4" w14:textId="77777777" w:rsidR="007C1765" w:rsidRDefault="007C1765" w:rsidP="007C1765">
      <w:pPr>
        <w:autoSpaceDE w:val="0"/>
        <w:autoSpaceDN w:val="0"/>
        <w:adjustRightInd w:val="0"/>
        <w:rPr>
          <w:noProof/>
          <w:color w:val="00B050"/>
        </w:rPr>
      </w:pPr>
    </w:p>
    <w:p w14:paraId="6EDDDF86" w14:textId="77777777" w:rsidR="007C1765" w:rsidRPr="00761168" w:rsidRDefault="007C1765" w:rsidP="007C1765">
      <w:pPr>
        <w:rPr>
          <w:b/>
          <w:noProof/>
        </w:rPr>
      </w:pPr>
      <w:r w:rsidRPr="00761168">
        <w:rPr>
          <w:b/>
          <w:noProof/>
        </w:rPr>
        <w:lastRenderedPageBreak/>
        <w:t>L’augmentation du taux d’occupation des véhicules</w:t>
      </w:r>
    </w:p>
    <w:p w14:paraId="50D5073F" w14:textId="77777777" w:rsidR="007C1765" w:rsidRDefault="007C1765" w:rsidP="007C1765">
      <w:pPr>
        <w:rPr>
          <w:noProof/>
        </w:rPr>
      </w:pPr>
      <w:r>
        <w:rPr>
          <w:noProof/>
        </w:rPr>
        <w:t>L’augmentation du taux d’occupation des véhicules est un moyen rapide de réduction des émissions et comporte de nombreux co-bénéfices, à la fois pour les usagers (pouvoir d’achat, accès à la mobilité, convivialité) et pour les collectivités (diminution de la congestion et de la pollution atmosphérique). En 2019, le gouvernement a fixé l’objectif de tripler le nombre de trajets réalisés en covoiturage du quotidien d’ici 2024 pour atteindre 3 millions.</w:t>
      </w:r>
    </w:p>
    <w:p w14:paraId="1783E790" w14:textId="77777777" w:rsidR="007C1765" w:rsidRDefault="007C1765" w:rsidP="007C1765">
      <w:pPr>
        <w:autoSpaceDE w:val="0"/>
        <w:autoSpaceDN w:val="0"/>
        <w:adjustRightInd w:val="0"/>
        <w:spacing w:before="240" w:after="240"/>
        <w:rPr>
          <w:noProof/>
        </w:rPr>
      </w:pPr>
      <w:r w:rsidRPr="001D442B">
        <w:rPr>
          <w:noProof/>
        </w:rPr>
        <w:t>Le covoiturage est encouragé, notamment dans le cadre des plans de déplacement urbains, et l’Etat apporte la sécurité juridique nécessaire à ce mode de déplacement. A ce titre, la loi de modernisation de l’action publique territoriale et d’affirmation des métropoles (MAP</w:t>
      </w:r>
      <w:r>
        <w:rPr>
          <w:noProof/>
        </w:rPr>
        <w:t>T</w:t>
      </w:r>
      <w:r w:rsidRPr="001D442B">
        <w:rPr>
          <w:noProof/>
        </w:rPr>
        <w:t xml:space="preserve">AM) du 27 janvier 2014 a adopté une définition du covoiturage, qui a permis, pour la première fois, de donner un cadre juridique adapté à cette pratique, afin de permettre son développement, tout en la différenciant clairement de l'activité des transports publics réguliers, des taxis et des véhicules de tourisme avec chauffeur. Cette même loi permet aux autorités organisatrices de la mobilité (AOM), en cas d’inexistence, d’insuffisance ou d’inadaptation de l’offre privée, de mettre à disposition du public des plates-formes dématérialisées favorisant la rencontre des offres et demandes de covoiturage. Ces autorités peuvent également créer un signe distinctif des véhicules en situation de covoiturage, après avoir défini au préalable ses conditions d’attribution. </w:t>
      </w:r>
    </w:p>
    <w:p w14:paraId="3A573377" w14:textId="77777777" w:rsidR="007C1765" w:rsidRDefault="007C1765" w:rsidP="007C1765">
      <w:pPr>
        <w:autoSpaceDE w:val="0"/>
        <w:autoSpaceDN w:val="0"/>
        <w:adjustRightInd w:val="0"/>
        <w:spacing w:before="240" w:after="240"/>
        <w:rPr>
          <w:noProof/>
        </w:rPr>
      </w:pPr>
      <w:r w:rsidRPr="001D442B">
        <w:rPr>
          <w:noProof/>
        </w:rPr>
        <w:t xml:space="preserve">La loi de transition énergétique pour la croissance verte de 2015 prévoit aussi que les entreprises et les collectivités territoriales facilitent, autant qu’il est possible, les solutions de covoiturage pour les déplacements entre le domicile et le travail de leurs salariés et de leurs agents. </w:t>
      </w:r>
    </w:p>
    <w:p w14:paraId="3E5E1FE4" w14:textId="77777777" w:rsidR="007C1765" w:rsidRDefault="007C1765" w:rsidP="007C1765">
      <w:pPr>
        <w:autoSpaceDE w:val="0"/>
        <w:autoSpaceDN w:val="0"/>
        <w:adjustRightInd w:val="0"/>
        <w:spacing w:before="240" w:after="240"/>
        <w:rPr>
          <w:noProof/>
        </w:rPr>
      </w:pPr>
      <w:r w:rsidRPr="001D442B">
        <w:rPr>
          <w:noProof/>
        </w:rPr>
        <w:t xml:space="preserve">La loi d'orientation des mibilités </w:t>
      </w:r>
      <w:r>
        <w:rPr>
          <w:noProof/>
        </w:rPr>
        <w:t xml:space="preserve">(2019) </w:t>
      </w:r>
      <w:r w:rsidRPr="001D442B">
        <w:rPr>
          <w:noProof/>
        </w:rPr>
        <w:t>prévoit de permettre aux collectivités de subventionner les offres de covoiturage pour les rendre encore plus attractives et en faire une solution à part entière. La loi d'orientation des mobilités a créé un forfait mobilité durable</w:t>
      </w:r>
      <w:r>
        <w:rPr>
          <w:noProof/>
        </w:rPr>
        <w:t xml:space="preserve">, qui permet à </w:t>
      </w:r>
      <w:r w:rsidRPr="001D442B">
        <w:rPr>
          <w:noProof/>
        </w:rPr>
        <w:t xml:space="preserve">tous les employeurs privés et publics </w:t>
      </w:r>
      <w:r>
        <w:rPr>
          <w:noProof/>
        </w:rPr>
        <w:t>de</w:t>
      </w:r>
      <w:r w:rsidRPr="001D442B">
        <w:rPr>
          <w:noProof/>
        </w:rPr>
        <w:t xml:space="preserve"> contribuer aux frais de déplacement domicile-travail en covoiturage ou en vélo de leurs salariés. Ce forfait peut s’élever jusqu’à 700 €/an en franchise d’impôt et de cotisations sociales.</w:t>
      </w:r>
    </w:p>
    <w:p w14:paraId="4964120D" w14:textId="77777777" w:rsidR="007C1765" w:rsidRPr="0098629B" w:rsidRDefault="007C1765" w:rsidP="0018240E">
      <w:pPr>
        <w:autoSpaceDE w:val="0"/>
        <w:autoSpaceDN w:val="0"/>
        <w:adjustRightInd w:val="0"/>
        <w:rPr>
          <w:noProof/>
        </w:rPr>
      </w:pPr>
    </w:p>
    <w:p w14:paraId="785B8001" w14:textId="77777777" w:rsidR="0018240E" w:rsidRPr="0098629B" w:rsidRDefault="0018240E" w:rsidP="0018240E">
      <w:pPr>
        <w:pStyle w:val="titreencadre"/>
        <w:spacing w:before="120" w:after="60" w:line="240" w:lineRule="auto"/>
        <w:rPr>
          <w:noProof/>
        </w:rPr>
      </w:pPr>
      <w:r w:rsidRPr="0098629B">
        <w:rPr>
          <w:noProof/>
        </w:rPr>
        <w:t>Le soutien au report modal</w:t>
      </w:r>
    </w:p>
    <w:p w14:paraId="694A8C30" w14:textId="0D3DD34E" w:rsidR="0018240E" w:rsidRPr="0098629B" w:rsidRDefault="0018240E" w:rsidP="0018240E">
      <w:pPr>
        <w:autoSpaceDE w:val="0"/>
        <w:autoSpaceDN w:val="0"/>
        <w:adjustRightInd w:val="0"/>
        <w:spacing w:before="240" w:after="240"/>
        <w:rPr>
          <w:noProof/>
        </w:rPr>
      </w:pPr>
      <w:r w:rsidRPr="0098629B">
        <w:rPr>
          <w:noProof/>
        </w:rPr>
        <w:t xml:space="preserve">Le soutien au report modal vers les modes de transport les moins émetteurs de </w:t>
      </w:r>
      <w:r w:rsidR="00811B0F" w:rsidRPr="0098629B">
        <w:t>CO</w:t>
      </w:r>
      <w:r w:rsidR="00811B0F" w:rsidRPr="0098629B">
        <w:rPr>
          <w:vertAlign w:val="subscript"/>
        </w:rPr>
        <w:t>2</w:t>
      </w:r>
      <w:r w:rsidRPr="0098629B">
        <w:rPr>
          <w:noProof/>
        </w:rPr>
        <w:t xml:space="preserve"> consiste notamment en l’amélioration de l’offre de services de transport et d’infrastructures alternatifs à la route, qu’il s’agisse du transport urbain et interurbain de voyageurs ou du transport de fret.</w:t>
      </w:r>
    </w:p>
    <w:p w14:paraId="6BF107F1" w14:textId="77777777" w:rsidR="0018240E" w:rsidRPr="0098629B" w:rsidRDefault="0018240E" w:rsidP="0018240E">
      <w:pPr>
        <w:rPr>
          <w:b/>
          <w:i/>
          <w:u w:val="single"/>
        </w:rPr>
      </w:pPr>
      <w:r w:rsidRPr="0098629B">
        <w:rPr>
          <w:b/>
          <w:i/>
          <w:u w:val="single"/>
        </w:rPr>
        <w:t>Le soutien au transport ferroviaire et au transport en commun de voyageurs constitue une priorité.</w:t>
      </w:r>
    </w:p>
    <w:p w14:paraId="18CAA815" w14:textId="77777777" w:rsidR="0018240E" w:rsidRPr="0098629B" w:rsidRDefault="0018240E" w:rsidP="0018240E">
      <w:pPr>
        <w:autoSpaceDE w:val="0"/>
        <w:autoSpaceDN w:val="0"/>
        <w:adjustRightInd w:val="0"/>
        <w:spacing w:before="240" w:after="240"/>
        <w:rPr>
          <w:noProof/>
        </w:rPr>
      </w:pPr>
      <w:r w:rsidRPr="0098629B">
        <w:rPr>
          <w:noProof/>
        </w:rPr>
        <w:t>Les réseaux des transports nationaux ferroviaires à grande vitesse sont bien développés et les investissements en la matière ont été particulièrement importants ces dernières années avec notamment la construction de quatre nouvelles lignes à grandes vitesse (LGV) : Tours-Bordeaux, Bretagne Pays-de-la-Loire, la LGV Est européenne, et le contournement Nîmes-Montpellier (ligne mixte voyageurs et fret permettant de décongestionner l’axe Nîmes-Montpellier), soit 757 km de lignes nouvelles à grande vitesse supplémentaires mises en service entre 2015 et 2020.</w:t>
      </w:r>
    </w:p>
    <w:p w14:paraId="319EE71A" w14:textId="77777777" w:rsidR="0018240E" w:rsidRPr="0098629B" w:rsidRDefault="0018240E" w:rsidP="0018240E">
      <w:pPr>
        <w:autoSpaceDE w:val="0"/>
        <w:autoSpaceDN w:val="0"/>
        <w:adjustRightInd w:val="0"/>
        <w:spacing w:before="240" w:after="240"/>
        <w:rPr>
          <w:noProof/>
        </w:rPr>
      </w:pPr>
      <w:r w:rsidRPr="0098629B">
        <w:rPr>
          <w:noProof/>
        </w:rPr>
        <w:t>Au niveau des transports urbains, les transports collectifs en site propre ont été fortement développés dans les grandes agglomérations de province sur les 15 dernières années. Depuis 2008, l’État a accompagné les projets de transport collectif en site propre (TCSP) des autorités organisatrices de la mobilité en les cofinançant dans le cadre d’appels à projets. Quatre appels à projets s’adressant aux autorités organisatrices de transports ayant un projet de métro, tramway ou bus à haut niveau de service ont été lancés entre 2008 et 2021</w:t>
      </w:r>
      <w:r w:rsidRPr="0098629B">
        <w:rPr>
          <w:rFonts w:ascii="Calibri" w:hAnsi="Calibri" w:cs="Calibri"/>
          <w:noProof/>
        </w:rPr>
        <w:t> </w:t>
      </w:r>
      <w:r w:rsidRPr="0098629B">
        <w:rPr>
          <w:noProof/>
        </w:rPr>
        <w:t>; le quatrième appel à projets, datant de 2021 va apporter 900 millions d’euros pour financer des projets de transports collectifs en site propre et les pôles d’échanges multimodaux.</w:t>
      </w:r>
    </w:p>
    <w:p w14:paraId="38149023" w14:textId="77777777" w:rsidR="0018240E" w:rsidRPr="0098629B" w:rsidRDefault="0018240E" w:rsidP="0018240E">
      <w:pPr>
        <w:autoSpaceDE w:val="0"/>
        <w:autoSpaceDN w:val="0"/>
        <w:adjustRightInd w:val="0"/>
        <w:spacing w:before="240" w:after="240"/>
        <w:rPr>
          <w:noProof/>
        </w:rPr>
      </w:pPr>
      <w:r w:rsidRPr="0098629B">
        <w:rPr>
          <w:noProof/>
        </w:rPr>
        <w:t xml:space="preserve">En Île-de-France, le projet du Grand Paris des transports lancé en 2013 doit permettre d'améliorer le service de transport public offert aux voyageurs en termes d'information et d'exploitation du réseau, de moderniser et développer les réseaux existants, construire un nouveau réseau de métro automatique et développer une liaison directe vers l'aéroport Paris-Roissy. À terme, il est prévu que 90 % de la population francilienne ait accès à une </w:t>
      </w:r>
      <w:r w:rsidRPr="0098629B">
        <w:rPr>
          <w:noProof/>
        </w:rPr>
        <w:lastRenderedPageBreak/>
        <w:t>gare à moins de 2 km. Ce nouveau réseau améliorera considérablement les déplacements de périphérie à périphérie et déchargera le réseau existant. L’objectif est que toutes les lignes soient mises progressivement en service entre 2019 et 2030.</w:t>
      </w:r>
    </w:p>
    <w:p w14:paraId="07EA5154" w14:textId="77777777" w:rsidR="0018240E" w:rsidRPr="0098629B" w:rsidRDefault="0018240E" w:rsidP="0018240E">
      <w:pPr>
        <w:autoSpaceDE w:val="0"/>
        <w:autoSpaceDN w:val="0"/>
        <w:adjustRightInd w:val="0"/>
        <w:rPr>
          <w:noProof/>
        </w:rPr>
      </w:pPr>
    </w:p>
    <w:p w14:paraId="433EC959" w14:textId="77777777" w:rsidR="0018240E" w:rsidRPr="0098629B" w:rsidRDefault="0018240E" w:rsidP="0018240E">
      <w:pPr>
        <w:autoSpaceDE w:val="0"/>
        <w:autoSpaceDN w:val="0"/>
        <w:adjustRightInd w:val="0"/>
        <w:rPr>
          <w:noProof/>
        </w:rPr>
      </w:pPr>
      <w:r w:rsidRPr="0098629B">
        <w:rPr>
          <w:noProof/>
        </w:rPr>
        <w:t>La loi d’orientation des mobilités (LOM)  a créé un ensemble de mesures favorables au report modal:</w:t>
      </w:r>
    </w:p>
    <w:p w14:paraId="5ABF4042" w14:textId="77777777" w:rsidR="0018240E" w:rsidRPr="0098629B" w:rsidRDefault="0018240E" w:rsidP="00573042">
      <w:pPr>
        <w:pStyle w:val="ListParagraph"/>
        <w:numPr>
          <w:ilvl w:val="0"/>
          <w:numId w:val="25"/>
        </w:numPr>
        <w:autoSpaceDE w:val="0"/>
        <w:autoSpaceDN w:val="0"/>
        <w:adjustRightInd w:val="0"/>
        <w:rPr>
          <w:noProof/>
        </w:rPr>
      </w:pPr>
      <w:r w:rsidRPr="0098629B">
        <w:rPr>
          <w:noProof/>
        </w:rPr>
        <w:t>Un renforcement des transports collectifs et partagés : une augmentation de 40 % des investissements en transports entre la période 2014-2018 et 2019-2023 pour notamment améliorer les transports du quotidien ;</w:t>
      </w:r>
    </w:p>
    <w:p w14:paraId="76111783" w14:textId="77777777" w:rsidR="0018240E" w:rsidRPr="0098629B" w:rsidRDefault="0018240E" w:rsidP="00573042">
      <w:pPr>
        <w:pStyle w:val="ListParagraph"/>
        <w:numPr>
          <w:ilvl w:val="0"/>
          <w:numId w:val="25"/>
        </w:numPr>
        <w:autoSpaceDE w:val="0"/>
        <w:autoSpaceDN w:val="0"/>
        <w:adjustRightInd w:val="0"/>
        <w:rPr>
          <w:noProof/>
        </w:rPr>
      </w:pPr>
      <w:r w:rsidRPr="0098629B">
        <w:rPr>
          <w:noProof/>
        </w:rPr>
        <w:t>Un cadre et des outils pour favoriser le développement des alternatives à la voiture individuelle notamment dans les territoires ruraux (</w:t>
      </w:r>
      <w:r w:rsidRPr="0098629B">
        <w:rPr>
          <w:b/>
          <w:noProof/>
        </w:rPr>
        <w:t>covoiturage</w:t>
      </w:r>
      <w:r w:rsidRPr="0098629B">
        <w:rPr>
          <w:noProof/>
        </w:rPr>
        <w:t>, services à la demande, mise à disposition de véhicules en autopartage).</w:t>
      </w:r>
    </w:p>
    <w:p w14:paraId="08C0003E" w14:textId="6C028CC2" w:rsidR="0018240E" w:rsidRPr="0098629B" w:rsidRDefault="0018240E" w:rsidP="00573042">
      <w:pPr>
        <w:pStyle w:val="ListParagraph"/>
        <w:numPr>
          <w:ilvl w:val="0"/>
          <w:numId w:val="25"/>
        </w:numPr>
        <w:autoSpaceDE w:val="0"/>
        <w:autoSpaceDN w:val="0"/>
        <w:adjustRightInd w:val="0"/>
        <w:rPr>
          <w:noProof/>
        </w:rPr>
      </w:pPr>
      <w:r w:rsidRPr="0098629B">
        <w:rPr>
          <w:noProof/>
        </w:rPr>
        <w:t>Une meilleure information multimodale (ouverture des données de mobilité pour atteindre 100 % des informations de mobilité accessibles p</w:t>
      </w:r>
      <w:r w:rsidR="00B04A7C" w:rsidRPr="0098629B">
        <w:rPr>
          <w:noProof/>
        </w:rPr>
        <w:t>our un trajet en un seul clic).</w:t>
      </w:r>
    </w:p>
    <w:p w14:paraId="48D6038B" w14:textId="77777777" w:rsidR="0018240E" w:rsidRPr="0098629B" w:rsidRDefault="0018240E" w:rsidP="0018240E">
      <w:pPr>
        <w:autoSpaceDE w:val="0"/>
        <w:autoSpaceDN w:val="0"/>
        <w:adjustRightInd w:val="0"/>
        <w:ind w:left="360"/>
        <w:rPr>
          <w:noProof/>
        </w:rPr>
      </w:pPr>
    </w:p>
    <w:p w14:paraId="5552CE1A" w14:textId="77777777" w:rsidR="0018240E" w:rsidRPr="0098629B" w:rsidRDefault="0018240E" w:rsidP="0018240E">
      <w:pPr>
        <w:autoSpaceDE w:val="0"/>
        <w:autoSpaceDN w:val="0"/>
        <w:adjustRightInd w:val="0"/>
        <w:rPr>
          <w:noProof/>
        </w:rPr>
      </w:pPr>
      <w:r w:rsidRPr="0098629B">
        <w:rPr>
          <w:noProof/>
        </w:rPr>
        <w:t>Un « forfait mobilité durable » permet à tous les employeurs privés et publics de contribuer aux frais de déplacement domicile-travail en covoiturage ou en vélo de leurs salariés. Ce forfait s’élève actuellement jusqu’à 700 €/an en franchise d’impôt et de cotisations sociales (800 €/an en cas de cumul du forfait mobilité durable et de la prise en charge par l’employeur de l’abonnement aux transports en commun). La mise en œuvre du forfait au sein de chaque entreprise est facultative.</w:t>
      </w:r>
    </w:p>
    <w:p w14:paraId="64B996C8" w14:textId="77777777" w:rsidR="0018240E" w:rsidRPr="0098629B" w:rsidRDefault="0018240E" w:rsidP="0018240E">
      <w:pPr>
        <w:autoSpaceDE w:val="0"/>
        <w:autoSpaceDN w:val="0"/>
        <w:adjustRightInd w:val="0"/>
        <w:rPr>
          <w:noProof/>
        </w:rPr>
      </w:pPr>
    </w:p>
    <w:p w14:paraId="3EDA609B" w14:textId="77777777" w:rsidR="0018240E" w:rsidRPr="0098629B" w:rsidRDefault="0018240E" w:rsidP="0018240E">
      <w:pPr>
        <w:rPr>
          <w:b/>
          <w:i/>
          <w:u w:val="single"/>
        </w:rPr>
      </w:pPr>
      <w:r w:rsidRPr="0098629B">
        <w:rPr>
          <w:b/>
          <w:i/>
          <w:u w:val="single"/>
        </w:rPr>
        <w:t>Des mesures incitatives en faveur de la pratique du vélo</w:t>
      </w:r>
    </w:p>
    <w:p w14:paraId="5AB8EE01" w14:textId="77777777" w:rsidR="0018240E" w:rsidRPr="0098629B" w:rsidRDefault="0018240E" w:rsidP="0018240E">
      <w:pPr>
        <w:autoSpaceDE w:val="0"/>
        <w:autoSpaceDN w:val="0"/>
        <w:adjustRightInd w:val="0"/>
        <w:spacing w:before="240" w:after="240"/>
        <w:rPr>
          <w:noProof/>
        </w:rPr>
      </w:pPr>
      <w:r w:rsidRPr="0098629B">
        <w:rPr>
          <w:noProof/>
        </w:rPr>
        <w:t>Différentes mesures ont été mises en place :</w:t>
      </w:r>
    </w:p>
    <w:p w14:paraId="038F7216" w14:textId="77777777" w:rsidR="0018240E" w:rsidRPr="0098629B" w:rsidRDefault="0018240E" w:rsidP="00573042">
      <w:pPr>
        <w:pStyle w:val="NormalWeb"/>
        <w:numPr>
          <w:ilvl w:val="0"/>
          <w:numId w:val="27"/>
        </w:numPr>
        <w:rPr>
          <w:rFonts w:ascii="Marianne" w:hAnsi="Marianne"/>
          <w:noProof/>
        </w:rPr>
      </w:pPr>
      <w:r w:rsidRPr="0098629B">
        <w:rPr>
          <w:rFonts w:ascii="Marianne" w:hAnsi="Marianne"/>
          <w:noProof/>
        </w:rPr>
        <w:t>Des soutiens à l’achat ont été mis en place</w:t>
      </w:r>
      <w:r w:rsidRPr="0098629B">
        <w:rPr>
          <w:rFonts w:ascii="Calibri" w:hAnsi="Calibri" w:cs="Calibri"/>
          <w:noProof/>
        </w:rPr>
        <w:t> </w:t>
      </w:r>
      <w:r w:rsidRPr="0098629B">
        <w:rPr>
          <w:rFonts w:ascii="Marianne" w:hAnsi="Marianne"/>
          <w:noProof/>
        </w:rPr>
        <w:t>: bonus écologique pour l’achat de « vélos à assistance électrique », de «</w:t>
      </w:r>
      <w:r w:rsidRPr="0098629B">
        <w:rPr>
          <w:rFonts w:ascii="Calibri" w:hAnsi="Calibri" w:cs="Calibri"/>
          <w:noProof/>
        </w:rPr>
        <w:t> </w:t>
      </w:r>
      <w:r w:rsidRPr="0098629B">
        <w:rPr>
          <w:rFonts w:ascii="Marianne" w:hAnsi="Marianne"/>
          <w:noProof/>
        </w:rPr>
        <w:t>vélos -cargo</w:t>
      </w:r>
      <w:r w:rsidRPr="0098629B">
        <w:rPr>
          <w:rFonts w:ascii="Calibri" w:hAnsi="Calibri" w:cs="Calibri"/>
          <w:noProof/>
        </w:rPr>
        <w:t> </w:t>
      </w:r>
      <w:r w:rsidRPr="0098629B">
        <w:rPr>
          <w:rFonts w:ascii="Marianne" w:hAnsi="Marianne"/>
          <w:noProof/>
        </w:rPr>
        <w:t>»</w:t>
      </w:r>
      <w:r w:rsidRPr="0098629B">
        <w:rPr>
          <w:rFonts w:ascii="Calibri" w:hAnsi="Calibri" w:cs="Calibri"/>
          <w:noProof/>
        </w:rPr>
        <w:t> </w:t>
      </w:r>
      <w:r w:rsidRPr="0098629B">
        <w:rPr>
          <w:rFonts w:ascii="Marianne" w:hAnsi="Marianne"/>
          <w:noProof/>
        </w:rPr>
        <w:t>; prime à la conversion accordée pour l’achat d'un vélo à assistance électrique neuf ou d'occasion ou d’un vélo cargo, en échange de la mise au rebut d'un vieux véhicule motorisé. En zone à faibles émissions, l’Etat accorde une surprime équivalente à l'éventuelle aide versée par la collectivité territoriale, dans la limite de 1 000 €. La prime à la conversion est élargie à l’achat d’un vélo par personne dans le foyer avec le même plafond par vélo.</w:t>
      </w:r>
    </w:p>
    <w:p w14:paraId="311861AD" w14:textId="77777777" w:rsidR="0018240E" w:rsidRPr="0098629B" w:rsidRDefault="0018240E" w:rsidP="00573042">
      <w:pPr>
        <w:pStyle w:val="NormalWeb"/>
        <w:numPr>
          <w:ilvl w:val="0"/>
          <w:numId w:val="27"/>
        </w:numPr>
        <w:rPr>
          <w:rFonts w:ascii="Marianne" w:hAnsi="Marianne"/>
          <w:noProof/>
        </w:rPr>
      </w:pPr>
      <w:r w:rsidRPr="0098629B">
        <w:rPr>
          <w:rFonts w:ascii="Marianne" w:hAnsi="Marianne"/>
          <w:noProof/>
        </w:rPr>
        <w:t>Pour faciliter le stationnement des vélos, il existe une obligation de mettre en place des stationnements sécurisés pour les vélos lors de la construction des immeubles d’habitation et de bureau, ou lors de la réalisation de travaux sur les parkings, ainsi que l’obligation de mettre à l’ordre du jour des assemblées générales ordinaires de copropriétaires la question des travaux permettant le stationnement sécurisé des vélos</w:t>
      </w:r>
    </w:p>
    <w:p w14:paraId="0F67FFB8" w14:textId="77777777" w:rsidR="0018240E" w:rsidRPr="0098629B" w:rsidRDefault="0018240E" w:rsidP="00573042">
      <w:pPr>
        <w:pStyle w:val="NormalWeb"/>
        <w:numPr>
          <w:ilvl w:val="0"/>
          <w:numId w:val="27"/>
        </w:numPr>
        <w:rPr>
          <w:rFonts w:ascii="Marianne" w:hAnsi="Marianne"/>
          <w:noProof/>
        </w:rPr>
      </w:pPr>
      <w:r w:rsidRPr="0098629B">
        <w:rPr>
          <w:rFonts w:ascii="Marianne" w:hAnsi="Marianne"/>
          <w:noProof/>
        </w:rPr>
        <w:t>Il existe des incitations financières à l’utilisation du vélo</w:t>
      </w:r>
      <w:r w:rsidRPr="0098629B">
        <w:rPr>
          <w:rFonts w:ascii="Calibri" w:hAnsi="Calibri" w:cs="Calibri"/>
          <w:noProof/>
        </w:rPr>
        <w:t> </w:t>
      </w:r>
      <w:r w:rsidRPr="0098629B">
        <w:rPr>
          <w:rFonts w:ascii="Marianne" w:hAnsi="Marianne"/>
          <w:noProof/>
        </w:rPr>
        <w:t>: forfait mobilité durable permettant aux employeurs de financer l’utlisation du vélo par leurs salariés (jusquà 700 € par an)</w:t>
      </w:r>
      <w:r w:rsidRPr="0098629B">
        <w:rPr>
          <w:rFonts w:ascii="Calibri" w:hAnsi="Calibri" w:cs="Calibri"/>
          <w:noProof/>
        </w:rPr>
        <w:t> </w:t>
      </w:r>
      <w:r w:rsidRPr="0098629B">
        <w:rPr>
          <w:rFonts w:ascii="Marianne" w:hAnsi="Marianne"/>
          <w:noProof/>
        </w:rPr>
        <w:t xml:space="preserve">; réductions d’impôts pour les  entreprises mettant gratuitement à disposition de leurs salariés une flotte de vélos pour leurs déplacements domicile-travail (dans la limite de 25 % du prix d’achat de flotte de vélos). </w:t>
      </w:r>
    </w:p>
    <w:p w14:paraId="23C9EF77" w14:textId="77777777" w:rsidR="0018240E" w:rsidRPr="0098629B" w:rsidRDefault="0018240E" w:rsidP="00573042">
      <w:pPr>
        <w:pStyle w:val="NormalWeb"/>
        <w:numPr>
          <w:ilvl w:val="0"/>
          <w:numId w:val="27"/>
        </w:numPr>
        <w:rPr>
          <w:rFonts w:ascii="Marianne" w:hAnsi="Marianne"/>
          <w:noProof/>
        </w:rPr>
      </w:pPr>
      <w:r w:rsidRPr="0098629B">
        <w:rPr>
          <w:rFonts w:ascii="Marianne" w:hAnsi="Marianne"/>
          <w:noProof/>
        </w:rPr>
        <w:t>Un fonds vélo, avec lancement d’appels à projets,  a été créé pour soutenir et amplifier les projets de création d’axes cyclables au sein des collectivités, en ciblant notamment les discontinuités d’itinéraires et pour assurer la sécurité de tous les usagers. Le premier plan vélo créé en 2018 est prolongé et renforcé dans le cadre du plan vélo et mobilités actives 2022-2027.</w:t>
      </w:r>
    </w:p>
    <w:p w14:paraId="14F475DC" w14:textId="77777777" w:rsidR="0018240E" w:rsidRPr="0098629B" w:rsidRDefault="0018240E" w:rsidP="00573042">
      <w:pPr>
        <w:pStyle w:val="NormalWeb"/>
        <w:numPr>
          <w:ilvl w:val="0"/>
          <w:numId w:val="27"/>
        </w:numPr>
        <w:rPr>
          <w:rFonts w:ascii="Marianne" w:hAnsi="Marianne"/>
          <w:noProof/>
        </w:rPr>
      </w:pPr>
      <w:r w:rsidRPr="0098629B">
        <w:rPr>
          <w:rFonts w:ascii="Marianne" w:hAnsi="Marianne"/>
          <w:noProof/>
        </w:rPr>
        <w:t>La généralisation progressive du marquage des vélos ainsi que le développement de parkings sécurisés ont été mis en place pour lutter contre le vol et le recel ;</w:t>
      </w:r>
    </w:p>
    <w:p w14:paraId="015A334C" w14:textId="77777777" w:rsidR="0018240E" w:rsidRPr="0098629B" w:rsidRDefault="0018240E" w:rsidP="00573042">
      <w:pPr>
        <w:pStyle w:val="NormalWeb"/>
        <w:numPr>
          <w:ilvl w:val="0"/>
          <w:numId w:val="27"/>
        </w:numPr>
        <w:rPr>
          <w:rFonts w:ascii="Marianne" w:hAnsi="Marianne"/>
          <w:noProof/>
        </w:rPr>
      </w:pPr>
      <w:r w:rsidRPr="0098629B">
        <w:rPr>
          <w:rFonts w:ascii="Marianne" w:hAnsi="Marianne"/>
          <w:noProof/>
        </w:rPr>
        <w:t>Le développement de l’apprentissage et d’une culture vélo à l’école a été mis en place.</w:t>
      </w:r>
    </w:p>
    <w:p w14:paraId="7C6E8AD3" w14:textId="77777777" w:rsidR="0018240E" w:rsidRPr="0098629B" w:rsidRDefault="0018240E" w:rsidP="0018240E">
      <w:pPr>
        <w:autoSpaceDE w:val="0"/>
        <w:autoSpaceDN w:val="0"/>
        <w:adjustRightInd w:val="0"/>
        <w:spacing w:before="240" w:after="240"/>
      </w:pPr>
    </w:p>
    <w:p w14:paraId="37D0C4E7" w14:textId="77777777" w:rsidR="0018240E" w:rsidRPr="0098629B" w:rsidRDefault="0018240E" w:rsidP="0018240E">
      <w:pPr>
        <w:autoSpaceDE w:val="0"/>
        <w:autoSpaceDN w:val="0"/>
        <w:adjustRightInd w:val="0"/>
        <w:spacing w:before="240" w:after="240"/>
      </w:pPr>
      <w:r w:rsidRPr="0098629B">
        <w:t>Pour les déplacements à longue distance, et afin de favoriser le report modal vers le train, le transport aérien fait l’objet d’une taxation sur les billets d’avion ainsi que d’une obligation de compensation des émissions créée par la loi climat-résilience. Ces mesures viennent en complément des dispositifs européens (ETS et Corsia).</w:t>
      </w:r>
    </w:p>
    <w:p w14:paraId="5F1EA7DC" w14:textId="77777777" w:rsidR="0018240E" w:rsidRPr="0098629B" w:rsidRDefault="0018240E" w:rsidP="0018240E">
      <w:pPr>
        <w:rPr>
          <w:b/>
          <w:i/>
          <w:noProof/>
          <w:u w:val="single"/>
        </w:rPr>
      </w:pPr>
      <w:r w:rsidRPr="0098629B">
        <w:rPr>
          <w:b/>
          <w:i/>
          <w:noProof/>
          <w:u w:val="single"/>
        </w:rPr>
        <w:lastRenderedPageBreak/>
        <w:t>Soutien au transport ferroviaire et fluvial de marchandises</w:t>
      </w:r>
    </w:p>
    <w:p w14:paraId="361A89E0" w14:textId="77777777" w:rsidR="0018240E" w:rsidRPr="0098629B" w:rsidRDefault="0018240E" w:rsidP="0018240E">
      <w:pPr>
        <w:autoSpaceDE w:val="0"/>
        <w:autoSpaceDN w:val="0"/>
        <w:adjustRightInd w:val="0"/>
        <w:spacing w:before="240" w:after="240"/>
      </w:pPr>
      <w:r w:rsidRPr="0098629B">
        <w:rPr>
          <w:b/>
        </w:rPr>
        <w:t>La loi climat résilience du 24 août 2021</w:t>
      </w:r>
      <w:r w:rsidRPr="0098629B">
        <w:t xml:space="preserve"> fixe un objectif de doublement de la part modale du fret ferroviaire à horizon 2030 en passant de 9 % (en 2019) à 18 %, ainsi qu’une augmentation à horizon 2030 de 50% de la part modale du fluvial. Pour le fret ferroviaire, et à plus long terme, l’État se donne l’objectif d’atteindre une part modale pour le fret ferroviaire de 25 % à l’horizon 2050. Pour atteindre cet objectif, la </w:t>
      </w:r>
      <w:r w:rsidRPr="0098629B">
        <w:rPr>
          <w:b/>
        </w:rPr>
        <w:t>Stratégie nationale pour le développement du fret ferroviaire</w:t>
      </w:r>
      <w:r w:rsidRPr="0098629B">
        <w:t xml:space="preserve"> identifie 72 mesures concrètes portant sur la viabilité économique des services, l’amélioration de la qualité de service du réseau, le renforcement de la performance des infrastructures permettant le développement du fret ferroviaire ; le développement de la coordination avec le portuaire et le fluvial. </w:t>
      </w:r>
    </w:p>
    <w:p w14:paraId="33281FE1" w14:textId="77777777" w:rsidR="0018240E" w:rsidRPr="0098629B" w:rsidRDefault="0018240E" w:rsidP="0018240E">
      <w:pPr>
        <w:autoSpaceDE w:val="0"/>
        <w:autoSpaceDN w:val="0"/>
        <w:adjustRightInd w:val="0"/>
        <w:spacing w:before="240" w:after="240"/>
      </w:pPr>
      <w:r w:rsidRPr="0098629B">
        <w:t>Le transport combiné, système de transport qui combine le mode routier avec d’autres modes comme la navigation intérieure, le ferroviaire ou le transport maritime courte distance, fait l’objet de soutiens financiers. Le régime d’aides vise à réduire le coût supplémentaire que constituent les ruptures de charge de la chaîne intermodale par rapport au transport routier de porte à porte. Il s’agit de verser une aide forfaitaire par unité de transport intermodal - UTI (conteneurs, caisses mobiles, semi-remorques, remorques) transbordée dans un terminal terrestre ou portuaire situé sur le territoire français métropolitain et intégré dans une chaîne de transport incluant un pré et post acheminement routier aux extrémités du maillon principal.</w:t>
      </w:r>
    </w:p>
    <w:p w14:paraId="255BDBD9" w14:textId="77777777" w:rsidR="0018240E" w:rsidRPr="0098629B" w:rsidRDefault="0018240E" w:rsidP="0018240E">
      <w:pPr>
        <w:rPr>
          <w:b/>
          <w:i/>
          <w:noProof/>
          <w:u w:val="single"/>
        </w:rPr>
      </w:pPr>
      <w:r w:rsidRPr="0098629B">
        <w:rPr>
          <w:b/>
          <w:i/>
          <w:noProof/>
          <w:u w:val="single"/>
        </w:rPr>
        <w:t>L’information à destination des utilisateurs de services de transports</w:t>
      </w:r>
    </w:p>
    <w:p w14:paraId="500DD6E4" w14:textId="77777777" w:rsidR="0018240E" w:rsidRPr="0098629B" w:rsidRDefault="0018240E" w:rsidP="0018240E">
      <w:pPr>
        <w:autoSpaceDE w:val="0"/>
        <w:autoSpaceDN w:val="0"/>
        <w:adjustRightInd w:val="0"/>
        <w:spacing w:before="240" w:after="240"/>
        <w:rPr>
          <w:noProof/>
        </w:rPr>
      </w:pPr>
      <w:r w:rsidRPr="0098629B">
        <w:rPr>
          <w:noProof/>
        </w:rPr>
        <w:t>Un axe d’action de la politique de soutien au report modal consiste à améliorer l’information à destination des utilisateurs des services de transport avec le dispositif de l’information GES des prestations de transport. Les prestataires de transport de voyageurs et de marchandises ou de déménagement doivent obligatoirement fournir une information sur les quantités de gaz à effet de serre induites par les prestations réalisées pour le compte de leurs clients.</w:t>
      </w:r>
    </w:p>
    <w:p w14:paraId="3DF9D879" w14:textId="77777777" w:rsidR="0018240E" w:rsidRPr="0098629B" w:rsidRDefault="0018240E" w:rsidP="0018240E">
      <w:pPr>
        <w:rPr>
          <w:b/>
          <w:i/>
          <w:u w:val="single"/>
        </w:rPr>
      </w:pPr>
      <w:r w:rsidRPr="0098629B">
        <w:rPr>
          <w:b/>
          <w:i/>
          <w:u w:val="single"/>
        </w:rPr>
        <w:t>Mesures agissant sur plusieurs leviers</w:t>
      </w:r>
    </w:p>
    <w:p w14:paraId="34F26629" w14:textId="77777777" w:rsidR="0018240E" w:rsidRPr="0098629B" w:rsidRDefault="0018240E" w:rsidP="0018240E">
      <w:pPr>
        <w:autoSpaceDE w:val="0"/>
        <w:autoSpaceDN w:val="0"/>
        <w:adjustRightInd w:val="0"/>
        <w:spacing w:before="240" w:after="240"/>
        <w:rPr>
          <w:noProof/>
        </w:rPr>
      </w:pPr>
      <w:r w:rsidRPr="0098629B">
        <w:rPr>
          <w:noProof/>
        </w:rPr>
        <w:t xml:space="preserve">Les agglomérations de plus de 150 000 habitants situées sur le territoire métropolitain devront avoir instauré une </w:t>
      </w:r>
      <w:r w:rsidRPr="0098629B">
        <w:rPr>
          <w:b/>
          <w:noProof/>
        </w:rPr>
        <w:t>zone à faibles émissions</w:t>
      </w:r>
      <w:r w:rsidRPr="0098629B">
        <w:rPr>
          <w:noProof/>
        </w:rPr>
        <w:t xml:space="preserve"> </w:t>
      </w:r>
      <w:r w:rsidRPr="0098629B">
        <w:rPr>
          <w:b/>
          <w:noProof/>
        </w:rPr>
        <w:t>mobilité</w:t>
      </w:r>
      <w:r w:rsidRPr="0098629B">
        <w:rPr>
          <w:noProof/>
        </w:rPr>
        <w:t xml:space="preserve"> avant le 31 décembre 2024. Pour les zones à faibles émissions où les normes de qualité de l'air ne sont pas atteintes, sont interdits a minima : au plus tard le 1er janvier 2025, les véhicules diesel et assimilés dont la date de première immatriculation est antérieure au 31 décembre 2010 ainsi que les véhicules essence et assimilés dont la date de première immatriculation est antérieure au 31 décembre 2005.</w:t>
      </w:r>
    </w:p>
    <w:p w14:paraId="52460251" w14:textId="0315534C" w:rsidR="0018240E" w:rsidRPr="0098629B" w:rsidRDefault="0018240E" w:rsidP="0018240E">
      <w:pPr>
        <w:autoSpaceDE w:val="0"/>
        <w:autoSpaceDN w:val="0"/>
        <w:adjustRightInd w:val="0"/>
        <w:spacing w:before="240" w:after="240"/>
        <w:rPr>
          <w:noProof/>
        </w:rPr>
      </w:pPr>
      <w:r w:rsidRPr="0098629B">
        <w:rPr>
          <w:noProof/>
        </w:rPr>
        <w:t xml:space="preserve">Financé dans le cadre des certificats d'économie d'énergie (CEE), le Programme EVE (Engagements Volontaires pour l’Environnement – Transport et logistique) vise à accompagner les acteurs du transport et de la logistique (transporteurs, commissionnaires et chargeurs) vers l’amélioration de leur performance énergétique et environnementale. Il s’appuie sur trois dispositifs d’engagements volontaires : Objectif </w:t>
      </w:r>
      <w:r w:rsidR="00811B0F" w:rsidRPr="0098629B">
        <w:t>CO</w:t>
      </w:r>
      <w:r w:rsidR="00811B0F" w:rsidRPr="0098629B">
        <w:rPr>
          <w:vertAlign w:val="subscript"/>
        </w:rPr>
        <w:t>2</w:t>
      </w:r>
      <w:r w:rsidRPr="0098629B">
        <w:rPr>
          <w:noProof/>
        </w:rPr>
        <w:t xml:space="preserve"> pour les transporteurs de marchandises et de voyageurs, FRET21 pour les chargeurs et EVcom pour les commissionnaires.</w:t>
      </w:r>
    </w:p>
    <w:p w14:paraId="62D3CBF1" w14:textId="33F60F03" w:rsidR="0018240E" w:rsidRPr="0098629B" w:rsidRDefault="0018240E" w:rsidP="00573042">
      <w:pPr>
        <w:pStyle w:val="ListParagraph"/>
        <w:numPr>
          <w:ilvl w:val="0"/>
          <w:numId w:val="26"/>
        </w:numPr>
        <w:autoSpaceDE w:val="0"/>
        <w:autoSpaceDN w:val="0"/>
        <w:adjustRightInd w:val="0"/>
        <w:spacing w:before="240" w:after="240"/>
        <w:rPr>
          <w:noProof/>
        </w:rPr>
      </w:pPr>
      <w:r w:rsidRPr="0098629B">
        <w:rPr>
          <w:noProof/>
        </w:rPr>
        <w:t xml:space="preserve">Le dispositif Objectif </w:t>
      </w:r>
      <w:r w:rsidR="00811B0F" w:rsidRPr="0098629B">
        <w:t>CO</w:t>
      </w:r>
      <w:r w:rsidR="00811B0F" w:rsidRPr="0098629B">
        <w:rPr>
          <w:vertAlign w:val="subscript"/>
        </w:rPr>
        <w:t>2</w:t>
      </w:r>
      <w:r w:rsidRPr="0098629B">
        <w:rPr>
          <w:noProof/>
        </w:rPr>
        <w:t>, issu de la charte d'engagement initiée en 2008, prévoit la mise à disposition d'outils d'évaluation des émissions de GES pour la mise en place d'un plan d'action sur 3 ans de leur réduction selon 4 axes : véhicule, carburant, conducteur, organisation des flux.</w:t>
      </w:r>
    </w:p>
    <w:p w14:paraId="7243D9AE" w14:textId="77777777" w:rsidR="0018240E" w:rsidRPr="0098629B" w:rsidRDefault="0018240E" w:rsidP="00573042">
      <w:pPr>
        <w:pStyle w:val="ListParagraph"/>
        <w:numPr>
          <w:ilvl w:val="0"/>
          <w:numId w:val="26"/>
        </w:numPr>
        <w:autoSpaceDE w:val="0"/>
        <w:autoSpaceDN w:val="0"/>
        <w:adjustRightInd w:val="0"/>
        <w:spacing w:before="240" w:after="240"/>
        <w:rPr>
          <w:noProof/>
        </w:rPr>
      </w:pPr>
      <w:r w:rsidRPr="0098629B">
        <w:rPr>
          <w:noProof/>
        </w:rPr>
        <w:t>Le dispositif FRET21 a pour finalité d’inciter et de soutenir les chargeurs à réduire les émissions de GES générées par les transports de marchandises liés à leur activité, au travers de la quantification de l'impact environnemental de leurs transports et la mise en oeuvre d'actions de réduction de leurs émissions sur 3 ans selon 4 axes : taux de chargement, distance parcourue, moyen de transport, achats responsables.</w:t>
      </w:r>
    </w:p>
    <w:p w14:paraId="3002CF17" w14:textId="7DB06019" w:rsidR="0018240E" w:rsidRDefault="0018240E" w:rsidP="00573042">
      <w:pPr>
        <w:pStyle w:val="ListParagraph"/>
        <w:numPr>
          <w:ilvl w:val="0"/>
          <w:numId w:val="26"/>
        </w:numPr>
        <w:autoSpaceDE w:val="0"/>
        <w:autoSpaceDN w:val="0"/>
        <w:adjustRightInd w:val="0"/>
        <w:spacing w:before="240" w:after="240"/>
        <w:rPr>
          <w:noProof/>
        </w:rPr>
      </w:pPr>
      <w:r w:rsidRPr="0098629B">
        <w:rPr>
          <w:noProof/>
        </w:rPr>
        <w:t>Le dispositif EVcom, similaire aux deux précédents, est destiné aux commissionnaires de transport. Les actions de réduction sur 3 ans s'articulent autour de 4 axes : flotte propre, achat transport, collaboration clients et démarche RSE (responsabilité sociale des entreprises).</w:t>
      </w:r>
    </w:p>
    <w:p w14:paraId="60B8B85A" w14:textId="77777777" w:rsidR="005366DA" w:rsidRPr="005366DA" w:rsidRDefault="005366DA" w:rsidP="005366DA">
      <w:pPr>
        <w:ind w:left="360"/>
        <w:rPr>
          <w:rFonts w:ascii="CIDFont+F1" w:eastAsiaTheme="minorHAnsi" w:hAnsi="CIDFont+F1" w:cs="CIDFont+F1"/>
          <w:sz w:val="20"/>
          <w:szCs w:val="20"/>
          <w:lang w:eastAsia="en-US"/>
        </w:rPr>
      </w:pPr>
      <w:r>
        <w:rPr>
          <w:noProof/>
        </w:rPr>
        <w:t xml:space="preserve">Dans le cadre de ce programme, </w:t>
      </w:r>
      <w:r w:rsidRPr="00366798">
        <w:rPr>
          <w:noProof/>
        </w:rPr>
        <w:t>une plateforme d’échange de</w:t>
      </w:r>
      <w:r>
        <w:rPr>
          <w:noProof/>
        </w:rPr>
        <w:t xml:space="preserve"> </w:t>
      </w:r>
      <w:r w:rsidRPr="00366798">
        <w:rPr>
          <w:noProof/>
        </w:rPr>
        <w:t>données environnementales entre les acteurs du transport</w:t>
      </w:r>
      <w:r>
        <w:rPr>
          <w:noProof/>
        </w:rPr>
        <w:t xml:space="preserve"> a été mise en œuvre afin d’établir un outil commun entre ces trois dispositifs et de faciliter la transmission d’informations environnementales sur les prestations de transport, comme par exemple l’information GES (cf. ci-dessus)</w:t>
      </w:r>
      <w:r w:rsidRPr="00366798">
        <w:rPr>
          <w:noProof/>
        </w:rPr>
        <w:t>.</w:t>
      </w:r>
    </w:p>
    <w:p w14:paraId="51762E98" w14:textId="77777777" w:rsidR="005366DA" w:rsidRPr="0098629B" w:rsidRDefault="005366DA" w:rsidP="005366DA">
      <w:pPr>
        <w:autoSpaceDE w:val="0"/>
        <w:autoSpaceDN w:val="0"/>
        <w:adjustRightInd w:val="0"/>
        <w:spacing w:before="240" w:after="240"/>
        <w:rPr>
          <w:noProof/>
        </w:rPr>
      </w:pPr>
    </w:p>
    <w:p w14:paraId="76CF67F7" w14:textId="0C083C5D" w:rsidR="0018240E" w:rsidRPr="0098629B" w:rsidRDefault="0018240E" w:rsidP="0018240E">
      <w:pPr>
        <w:pStyle w:val="Titre4niveau4"/>
        <w:spacing w:before="240"/>
        <w:rPr>
          <w:noProof/>
        </w:rPr>
      </w:pPr>
      <w:r w:rsidRPr="0098629B">
        <w:rPr>
          <w:noProof/>
        </w:rPr>
        <w:t xml:space="preserve">Politiques et mesures agissant sur les émissions de </w:t>
      </w:r>
      <w:r w:rsidR="00811B0F" w:rsidRPr="0098629B">
        <w:t>CO</w:t>
      </w:r>
      <w:r w:rsidR="00811B0F" w:rsidRPr="0098629B">
        <w:rPr>
          <w:vertAlign w:val="subscript"/>
        </w:rPr>
        <w:t>2</w:t>
      </w:r>
      <w:r w:rsidRPr="0098629B">
        <w:rPr>
          <w:noProof/>
        </w:rPr>
        <w:t xml:space="preserve"> des transports internationaux</w:t>
      </w:r>
    </w:p>
    <w:p w14:paraId="0DD45AEE" w14:textId="77777777" w:rsidR="0018240E" w:rsidRPr="0098629B" w:rsidRDefault="0018240E" w:rsidP="0018240E">
      <w:pPr>
        <w:pStyle w:val="titreencadre"/>
        <w:spacing w:before="120" w:after="60" w:line="240" w:lineRule="auto"/>
        <w:rPr>
          <w:noProof/>
        </w:rPr>
      </w:pPr>
      <w:r w:rsidRPr="0098629B">
        <w:rPr>
          <w:noProof/>
        </w:rPr>
        <w:t xml:space="preserve">Le transport aérien </w:t>
      </w:r>
    </w:p>
    <w:p w14:paraId="26B11B07" w14:textId="77777777" w:rsidR="0018240E" w:rsidRPr="0098629B" w:rsidRDefault="0018240E" w:rsidP="0018240E">
      <w:pPr>
        <w:autoSpaceDE w:val="0"/>
        <w:autoSpaceDN w:val="0"/>
        <w:adjustRightInd w:val="0"/>
        <w:spacing w:before="240" w:after="240"/>
        <w:rPr>
          <w:noProof/>
        </w:rPr>
      </w:pPr>
      <w:r w:rsidRPr="0098629B">
        <w:rPr>
          <w:noProof/>
        </w:rPr>
        <w:t>Les vols intra-européens sont inclus dans le système de marché carbone européen (SEQE-UE). En effet, l’Union européenne a adopté la directive 2008/101/CE du 19 novembre 2008 qui modifie la directive 2003/87/CE afin d’intégrer les activités aériennes dans le système européen d’échange de quotas d’émission de GES. Le dispositif s’applique depuis 2012 pour tous les vols au départ ou à l’arrivée de l’Union européenne (une suspension temporaire a toutefois été accordée à partir du 24 avril 2013 pour les vols internationaux).</w:t>
      </w:r>
    </w:p>
    <w:p w14:paraId="7366A8B7" w14:textId="0D32398B" w:rsidR="0018240E" w:rsidRPr="0098629B" w:rsidRDefault="0018240E" w:rsidP="0018240E">
      <w:pPr>
        <w:autoSpaceDE w:val="0"/>
        <w:autoSpaceDN w:val="0"/>
        <w:adjustRightInd w:val="0"/>
        <w:spacing w:before="240" w:after="240"/>
        <w:rPr>
          <w:noProof/>
        </w:rPr>
      </w:pPr>
      <w:r w:rsidRPr="0098629B">
        <w:rPr>
          <w:noProof/>
        </w:rPr>
        <w:t>La France soutient par ailleurs les travaux de l’Organisation de l’Aviation Civile Internationale (OACI) en faveur de la réduction des émissions du transport aérien international. Dans le cadre du CORSIA (Carbon Offsetting and Reduction Scheme for International Aviation), les compagnies aériennes devront, sur la période pilote 2021-20</w:t>
      </w:r>
      <w:r w:rsidR="002F0338">
        <w:rPr>
          <w:noProof/>
        </w:rPr>
        <w:t>23</w:t>
      </w:r>
      <w:r w:rsidRPr="0098629B">
        <w:rPr>
          <w:noProof/>
        </w:rPr>
        <w:t>, compenser leurs émissions supérieures au niveau d’émissions de l’année 20</w:t>
      </w:r>
      <w:r w:rsidR="002F0338">
        <w:rPr>
          <w:noProof/>
        </w:rPr>
        <w:t>19</w:t>
      </w:r>
      <w:r w:rsidRPr="0098629B">
        <w:rPr>
          <w:noProof/>
        </w:rPr>
        <w:t xml:space="preserve"> en achetant des crédits carbone, puis à partir de 2024, compenser leurs émissions supérieures à 85% du niveau d’émissions de l’année 2019. Dans une première phase, seules les compagnies des pays volontaires (dont l’Union européenne) participeront.</w:t>
      </w:r>
    </w:p>
    <w:p w14:paraId="44637821" w14:textId="77777777" w:rsidR="0018240E" w:rsidRPr="0098629B" w:rsidRDefault="0018240E" w:rsidP="0018240E">
      <w:pPr>
        <w:autoSpaceDE w:val="0"/>
        <w:autoSpaceDN w:val="0"/>
        <w:adjustRightInd w:val="0"/>
        <w:spacing w:before="240" w:after="240"/>
        <w:rPr>
          <w:noProof/>
        </w:rPr>
      </w:pPr>
      <w:r w:rsidRPr="0098629B">
        <w:rPr>
          <w:noProof/>
        </w:rPr>
        <w:t>La loi Climat et Résilience du 22 Août 2021 prévoit plusieurs mesures concernant l’aviation dont principalement</w:t>
      </w:r>
      <w:r w:rsidRPr="0098629B">
        <w:rPr>
          <w:rFonts w:ascii="Calibri" w:hAnsi="Calibri" w:cs="Calibri"/>
          <w:noProof/>
        </w:rPr>
        <w:t> </w:t>
      </w:r>
      <w:r w:rsidRPr="0098629B">
        <w:rPr>
          <w:noProof/>
        </w:rPr>
        <w:t>: i) l’obligation pour les compagnies aériennes de compenser les émissions des vols domestiques (y compris pour l’Outre-Mer) selon un calendrier progressif (50%/70%/100% des émission 2022/2023/2024 et après) ii) la suppression des vols lorsqu’une alternative ferroviaire de moins de 2h30 existe.</w:t>
      </w:r>
    </w:p>
    <w:p w14:paraId="3704695F" w14:textId="77777777" w:rsidR="0018240E" w:rsidRPr="0098629B" w:rsidRDefault="0018240E" w:rsidP="0018240E">
      <w:pPr>
        <w:pStyle w:val="titreencadre"/>
        <w:spacing w:before="120" w:after="60" w:line="240" w:lineRule="auto"/>
        <w:rPr>
          <w:noProof/>
        </w:rPr>
      </w:pPr>
      <w:r w:rsidRPr="0098629B">
        <w:rPr>
          <w:noProof/>
        </w:rPr>
        <w:t xml:space="preserve">Le transport maritime </w:t>
      </w:r>
    </w:p>
    <w:p w14:paraId="6746ABF5" w14:textId="77777777" w:rsidR="0083034E" w:rsidRDefault="0083034E" w:rsidP="0083034E">
      <w:pPr>
        <w:autoSpaceDE w:val="0"/>
        <w:autoSpaceDN w:val="0"/>
        <w:adjustRightInd w:val="0"/>
        <w:spacing w:before="240" w:after="240"/>
        <w:rPr>
          <w:noProof/>
        </w:rPr>
      </w:pPr>
      <w:r w:rsidRPr="00366798">
        <w:rPr>
          <w:noProof/>
        </w:rPr>
        <w:t>En 2015, l'Union européenne a adopté le règlement n°2015/757 qui met en place un système de surveillance, de déclaration et de vérification (système MRV) des émissions de CO2 des navires. Depuis le 1er janvier 2018, les compagnies maritimes doivent surveiller et déclarer tous les ans les émissions de leurs navires pour tous les voyages à l'intérieur de l'Union, tous les voyages à destination de l'Union (entre le dernier port situé en dehors de l'Union et le premier port d'escale situé dans l'Union), tous les voyages entre un port situé dans l'Union et le premier port d'escale en dehors de l'Union, ainsi que les émissions de CO2 produites dans les ports de l'Union.</w:t>
      </w:r>
      <w:r>
        <w:rPr>
          <w:noProof/>
        </w:rPr>
        <w:t xml:space="preserve"> </w:t>
      </w:r>
      <w:r w:rsidRPr="00366798">
        <w:rPr>
          <w:noProof/>
        </w:rPr>
        <w:t xml:space="preserve">Ces règles s'appliquent sans discrimination à tous les navires, quel que soit leur pavillon. </w:t>
      </w:r>
    </w:p>
    <w:p w14:paraId="1D3FC0C7" w14:textId="77777777" w:rsidR="0083034E" w:rsidRDefault="0083034E" w:rsidP="0083034E">
      <w:pPr>
        <w:autoSpaceDE w:val="0"/>
        <w:autoSpaceDN w:val="0"/>
        <w:adjustRightInd w:val="0"/>
        <w:spacing w:before="240" w:after="240"/>
      </w:pPr>
      <w:r>
        <w:rPr>
          <w:noProof/>
        </w:rPr>
        <w:t>Dans le cadre du paquet «</w:t>
      </w:r>
      <w:r>
        <w:rPr>
          <w:rFonts w:ascii="Calibri" w:hAnsi="Calibri" w:cs="Calibri"/>
          <w:noProof/>
        </w:rPr>
        <w:t> </w:t>
      </w:r>
      <w:r>
        <w:rPr>
          <w:noProof/>
        </w:rPr>
        <w:t>Ajustement à l’objectif 55</w:t>
      </w:r>
      <w:r>
        <w:rPr>
          <w:rFonts w:ascii="Calibri" w:hAnsi="Calibri" w:cs="Calibri"/>
          <w:noProof/>
        </w:rPr>
        <w:t> </w:t>
      </w:r>
      <w:r>
        <w:rPr>
          <w:rFonts w:cs="Marianne"/>
          <w:noProof/>
        </w:rPr>
        <w:t>»</w:t>
      </w:r>
      <w:r>
        <w:rPr>
          <w:noProof/>
        </w:rPr>
        <w:t xml:space="preserve"> , la Commission européenne a proposé en juillet 2021 l’inclusion du transport maritime dans le système européen d’échanges de quotas d’émission (EU ETS), ainsi qu’un projet de texte </w:t>
      </w:r>
      <w:r>
        <w:t>visant à accroître la demande de carburants renouvelables et bas carbone dans le transport maritime (règlement "FuelEU Maritime") et un projet de texte pour favoriser le déploiement des infrastructures pour les carburants alternatifs, notamment dans les ports (règlement «</w:t>
      </w:r>
      <w:r>
        <w:rPr>
          <w:rFonts w:ascii="Calibri" w:hAnsi="Calibri" w:cs="Calibri"/>
        </w:rPr>
        <w:t> </w:t>
      </w:r>
      <w:r>
        <w:t>AFIR</w:t>
      </w:r>
      <w:r>
        <w:rPr>
          <w:rFonts w:ascii="Calibri" w:hAnsi="Calibri" w:cs="Calibri"/>
        </w:rPr>
        <w:t> </w:t>
      </w:r>
      <w:r>
        <w:rPr>
          <w:rFonts w:cs="Marianne"/>
        </w:rPr>
        <w:t>»</w:t>
      </w:r>
      <w:r>
        <w:t xml:space="preserve">). </w:t>
      </w:r>
      <w:r>
        <w:rPr>
          <w:rFonts w:cs="Marianne"/>
          <w:noProof/>
        </w:rPr>
        <w:t>La Présidence française de l’UE a obtenu un accord au Conseil sur ces trois textes en juin 2022, et les négociations en trilogues sont en cours.</w:t>
      </w:r>
    </w:p>
    <w:p w14:paraId="31D365EA" w14:textId="77777777" w:rsidR="0083034E" w:rsidRDefault="0083034E" w:rsidP="0083034E">
      <w:pPr>
        <w:autoSpaceDE w:val="0"/>
        <w:autoSpaceDN w:val="0"/>
        <w:adjustRightInd w:val="0"/>
        <w:spacing w:before="240" w:after="240"/>
        <w:rPr>
          <w:noProof/>
        </w:rPr>
      </w:pPr>
      <w:r w:rsidRPr="00366798">
        <w:rPr>
          <w:noProof/>
        </w:rPr>
        <w:t>La France soutient</w:t>
      </w:r>
      <w:r>
        <w:rPr>
          <w:noProof/>
        </w:rPr>
        <w:t xml:space="preserve"> par ailleurs</w:t>
      </w:r>
      <w:r w:rsidRPr="00366798">
        <w:rPr>
          <w:noProof/>
        </w:rPr>
        <w:t xml:space="preserve"> les travaux de l'OMI en faveur de la réduction des émissions du transport maritime international.</w:t>
      </w:r>
    </w:p>
    <w:p w14:paraId="693A17D7" w14:textId="77777777" w:rsidR="0083034E" w:rsidRPr="0098629B" w:rsidRDefault="0083034E" w:rsidP="0018240E">
      <w:pPr>
        <w:autoSpaceDE w:val="0"/>
        <w:autoSpaceDN w:val="0"/>
        <w:adjustRightInd w:val="0"/>
        <w:spacing w:before="240" w:after="240"/>
        <w:rPr>
          <w:noProof/>
        </w:rPr>
      </w:pPr>
    </w:p>
    <w:p w14:paraId="09A676D5" w14:textId="5B2BD7A9" w:rsidR="00630A34" w:rsidRPr="0098629B" w:rsidRDefault="00630A34" w:rsidP="00B04A7C">
      <w:pPr>
        <w:pStyle w:val="Titre3Niveau3"/>
        <w:rPr>
          <w:lang w:eastAsia="en-US"/>
        </w:rPr>
      </w:pPr>
      <w:bookmarkStart w:id="56" w:name="_Toc121149511"/>
      <w:bookmarkStart w:id="57" w:name="_Ref122701470"/>
      <w:bookmarkStart w:id="58" w:name="_Toc138344596"/>
      <w:r w:rsidRPr="0098629B">
        <w:rPr>
          <w:lang w:eastAsia="en-US"/>
        </w:rPr>
        <w:t>Résidentiel/tertiaire</w:t>
      </w:r>
      <w:bookmarkEnd w:id="56"/>
      <w:bookmarkEnd w:id="57"/>
      <w:bookmarkEnd w:id="58"/>
    </w:p>
    <w:p w14:paraId="073B07AB" w14:textId="61CD6ACE" w:rsidR="0018240E" w:rsidRPr="0098629B" w:rsidRDefault="0018240E" w:rsidP="0018240E">
      <w:pPr>
        <w:spacing w:before="240" w:after="240"/>
      </w:pPr>
      <w:r w:rsidRPr="0098629B">
        <w:t>Ce secteur représente 18 % des émissions nationales en 2021 (hors UTCATF)</w:t>
      </w:r>
      <w:r w:rsidRPr="0098629B">
        <w:rPr>
          <w:rStyle w:val="FootnoteReference"/>
        </w:rPr>
        <w:footnoteReference w:id="4"/>
      </w:r>
      <w:r w:rsidRPr="0098629B">
        <w:t xml:space="preserve">. C’est le quatrième secteur le plus émetteur de gaz à effet de serre après l’industrie manufacturière, l’agriculture et le secteur des transports. Le </w:t>
      </w:r>
      <w:r w:rsidRPr="0098629B">
        <w:lastRenderedPageBreak/>
        <w:t>dioxyde de carbone (</w:t>
      </w:r>
      <w:r w:rsidR="00811B0F" w:rsidRPr="0098629B">
        <w:t>CO</w:t>
      </w:r>
      <w:r w:rsidR="00811B0F" w:rsidRPr="0098629B">
        <w:rPr>
          <w:vertAlign w:val="subscript"/>
        </w:rPr>
        <w:t>2</w:t>
      </w:r>
      <w:r w:rsidRPr="0098629B">
        <w:t>) reste le principal gaz émis et il concerne 85% des émissions du secteur du bâtiment. Les 16 % restant sont partagés entre les gaz fluorés (8%), et d’autres gaz comme le protoxyde d’azote et le méthane (7 %).</w:t>
      </w:r>
    </w:p>
    <w:p w14:paraId="7EA1CCC3" w14:textId="011BF6EB" w:rsidR="0018240E" w:rsidRPr="0098629B" w:rsidRDefault="0018240E" w:rsidP="0018240E">
      <w:pPr>
        <w:pStyle w:val="Titre4niveau4"/>
        <w:spacing w:before="240"/>
      </w:pPr>
      <w:r w:rsidRPr="0098629B">
        <w:t xml:space="preserve">Mesures visant à réduire les émissions de </w:t>
      </w:r>
      <w:r w:rsidR="00811B0F" w:rsidRPr="0098629B">
        <w:t>CO</w:t>
      </w:r>
      <w:r w:rsidR="00811B0F" w:rsidRPr="0098629B">
        <w:rPr>
          <w:vertAlign w:val="subscript"/>
        </w:rPr>
        <w:t>2</w:t>
      </w:r>
      <w:r w:rsidRPr="0098629B">
        <w:t xml:space="preserve"> du résidentiel/tertiaire </w:t>
      </w:r>
    </w:p>
    <w:p w14:paraId="20394409" w14:textId="24459121" w:rsidR="0018240E" w:rsidRPr="0098629B" w:rsidRDefault="0018240E" w:rsidP="0018240E">
      <w:pPr>
        <w:spacing w:before="240" w:after="240"/>
      </w:pPr>
      <w:r w:rsidRPr="0098629B">
        <w:t xml:space="preserve">Les mesures mises en œuvre pour réduire les émissions de </w:t>
      </w:r>
      <w:r w:rsidR="00811B0F" w:rsidRPr="0098629B">
        <w:t>CO</w:t>
      </w:r>
      <w:r w:rsidR="00811B0F" w:rsidRPr="0098629B">
        <w:rPr>
          <w:vertAlign w:val="subscript"/>
        </w:rPr>
        <w:t>2</w:t>
      </w:r>
      <w:r w:rsidRPr="0098629B">
        <w:t xml:space="preserve"> du résidentiel/tertiaire visent principalement à améliorer la performance thermique de l’enveloppe des bâtiments, à favoriser le recours à des équipements de chauffage performants et utilisant les énergies les moins carbonées, et à améliorer l’efficacité énergétique des autres types d’équipement (éclairage, cuisson, eau chaude sanitaire, électricité spécifique). Ces leviers sont déclinés pour les constructions neuves et pour les bâtiments existants. </w:t>
      </w:r>
    </w:p>
    <w:p w14:paraId="4FF3D606" w14:textId="77777777" w:rsidR="0018240E" w:rsidRPr="0098629B" w:rsidRDefault="0018240E" w:rsidP="0018240E">
      <w:pPr>
        <w:spacing w:before="240" w:after="240"/>
        <w:rPr>
          <w:b/>
          <w:i/>
        </w:rPr>
      </w:pPr>
      <w:r w:rsidRPr="0098629B">
        <w:rPr>
          <w:b/>
          <w:i/>
        </w:rPr>
        <w:t xml:space="preserve">Pour les constructions neuves </w:t>
      </w:r>
    </w:p>
    <w:p w14:paraId="58668C54" w14:textId="77777777" w:rsidR="0018240E" w:rsidRPr="0098629B" w:rsidRDefault="0018240E" w:rsidP="0018240E">
      <w:pPr>
        <w:spacing w:before="240" w:after="240"/>
      </w:pPr>
      <w:r w:rsidRPr="0098629B">
        <w:t>La performance énergétique des bâtiments neufs est intégrée dans les règles de construction depuis le premier choc pétrolier de 1973. La réglementation thermique s’appliquant aux bâtiments neufs a été progressivement renforcée.</w:t>
      </w:r>
    </w:p>
    <w:p w14:paraId="71225EC9" w14:textId="190B4ECB" w:rsidR="0018240E" w:rsidRPr="0098629B" w:rsidRDefault="0018240E" w:rsidP="0018240E">
      <w:pPr>
        <w:spacing w:before="240" w:after="240"/>
      </w:pPr>
      <w:r w:rsidRPr="0098629B">
        <w:t>Tous les bâtiments dont le permis de construire a été déposé après le 1</w:t>
      </w:r>
      <w:r w:rsidRPr="0098629B">
        <w:rPr>
          <w:vertAlign w:val="superscript"/>
        </w:rPr>
        <w:t>er</w:t>
      </w:r>
      <w:r w:rsidRPr="0098629B">
        <w:t xml:space="preserve"> janvier 2013 sont soumis à </w:t>
      </w:r>
      <w:r w:rsidRPr="0098629B">
        <w:rPr>
          <w:b/>
        </w:rPr>
        <w:t>la réglementation thermique 2012</w:t>
      </w:r>
      <w:r w:rsidRPr="0098629B">
        <w:t xml:space="preserve"> (RT 2012). Ces bâtiments doivent avoir une consommation d’énergie primaire inférieure à 50 kWh/m²/an en moyenne. Cette obligation a été appliquée par anticipation depuis le 28 octobre 2011 pour les bâtiments de bureaux, d’enseignement primaire et secondaire et pour les établissements d’accueil de la petite enfance. L’exigence de 50 kWh/m²/an en moyenne porte sur les consommations de chauffage, de refroidissement, d’éclairage, de production d’eau chaude sanitaire et d’auxiliaires (pompes et ventilateurs). Ce seuil est par ailleurs modulé selon la localisation géographique, l’altitude, le type d’usage du bâtiment, la surface moyenne des logements et les émissions de gaz à effet de serre des énergies utilisées. Sur ce dernier point, seuls les bâtiments utilisant le bois-énergie et les réseaux de chaleur les moins émetteurs de </w:t>
      </w:r>
      <w:r w:rsidR="00811B0F" w:rsidRPr="0098629B">
        <w:t>CO</w:t>
      </w:r>
      <w:r w:rsidR="00811B0F" w:rsidRPr="0098629B">
        <w:rPr>
          <w:vertAlign w:val="subscript"/>
        </w:rPr>
        <w:t>2</w:t>
      </w:r>
      <w:r w:rsidRPr="0098629B">
        <w:t xml:space="preserve"> bénéficient d’une modulation du seuil de consommation en énergie primaire, limitée à 30 % au maximum.</w:t>
      </w:r>
    </w:p>
    <w:p w14:paraId="4E9B30EA" w14:textId="77777777" w:rsidR="0018240E" w:rsidRPr="0098629B" w:rsidRDefault="0018240E" w:rsidP="0018240E">
      <w:pPr>
        <w:spacing w:before="240" w:after="240"/>
      </w:pPr>
      <w:r w:rsidRPr="0098629B">
        <w:t>L’</w:t>
      </w:r>
      <w:r w:rsidRPr="0098629B">
        <w:rPr>
          <w:b/>
        </w:rPr>
        <w:t>expérimentation du label « Bâtiments à Énergie Positive &amp; Réduction Carbone (E+C-) »</w:t>
      </w:r>
      <w:r w:rsidRPr="0098629B">
        <w:t xml:space="preserve"> pour la construction de bâtiments exemplaires a été lancée fin 2016. Cette expérimentation a préparé la réglementation environnementale dans la construction neuve (RE2020) qui généralise les bâtiments à énergie positive et le déploiement de bâtiments à faible empreinte carbone tout au long de leur cycle de vie, depuis la conception jusqu’à la démolition. Ce label met en place un standard environnemental innovant pour les bâtiments neufs, qui réunit des exigences à la fois en matière d’énergie et d’émissions de gaz à effet de serre dans le bâtiment. Grâce à ce double critère « énergie » et « carbone », il permet aux maîtres d’ouvrage de choisir la combinaison adéquate en fonction des spécificités du territoire, de la typologie de bâtiments et des coûts induits. Cette expérimentation vise à tester sur le terrain l'adéquation entre niveau d’ambition environnementale, maîtrise des coûts de construction, capacité des entreprises et des équipementiers à satisfaire ces ambitions. La France engage ainsi la filière du bâtiment vers la construction de bâtiments à énergie positive et bas-carbone. </w:t>
      </w:r>
    </w:p>
    <w:p w14:paraId="32B0706D" w14:textId="77777777" w:rsidR="0018240E" w:rsidRPr="0098629B" w:rsidRDefault="0018240E" w:rsidP="0018240E">
      <w:pPr>
        <w:spacing w:before="240" w:after="240"/>
      </w:pPr>
      <w:r w:rsidRPr="0098629B">
        <w:t>Pour inciter les maîtres d’ouvrage à construire des bâtiments exemplaires du point de vue énergétique et environnemental, la loi relative à la transition énergétique et à la croissance verte du 17 août 2015 offre la possibilité d’obtenir un bonus de constructibilité pour ce type de bâtiment. L’autorité compétente en matière d’urbanisme peut autoriser un dépassement des règles de constructibilité au maximum de 30 % pour les constructions neuves (bâtiment neuf ou extension) faisant preuve d’exemplarité énergétique ou environnementale ou étant à énergie positive. Ce dispositif permet d’améliorer l’équilibre économique de ces opérations et d’absorber en partie le surcoût lié à l’effort d’exemplarité.</w:t>
      </w:r>
    </w:p>
    <w:p w14:paraId="35D5E342" w14:textId="77777777" w:rsidR="0018240E" w:rsidRPr="0098629B" w:rsidRDefault="0018240E" w:rsidP="0018240E">
      <w:pPr>
        <w:spacing w:before="240" w:after="240"/>
      </w:pPr>
      <w:r w:rsidRPr="0098629B">
        <w:t xml:space="preserve">En 2020, la France est passée d’une réglementation thermique (RT2012) à une </w:t>
      </w:r>
      <w:r w:rsidRPr="0098629B">
        <w:rPr>
          <w:b/>
        </w:rPr>
        <w:t>réglementation environnementale</w:t>
      </w:r>
      <w:r w:rsidRPr="0098629B">
        <w:t>, la RE2020. Introduite par l’article 181 de la loi Évolution du Logement, de l’Aménagement et du Numérique (ELAN), elle est plus ambitieuse et exigeante pour la filière construction. Ainsi, les projets de construction de maison individuelle et de logement collectif faisant l’objet d’une demande de permis de construire ou d’une déclaration préalable déposée à partir du 1</w:t>
      </w:r>
      <w:r w:rsidRPr="0098629B">
        <w:rPr>
          <w:vertAlign w:val="superscript"/>
        </w:rPr>
        <w:t>er</w:t>
      </w:r>
      <w:r w:rsidRPr="0098629B">
        <w:t xml:space="preserve"> janvier 2022 et les projets de construction de bureau et de bâtiment d'enseignement primaire et secondaire faisant l'objet d'une demande de permis de construire ou d'une </w:t>
      </w:r>
      <w:r w:rsidRPr="0098629B">
        <w:lastRenderedPageBreak/>
        <w:t>déclaration préalable déposée à partir du 1er juillet 2022 sont soumis à la RE2020. La RE2020 met en place un standard environnemental innovant pour les bâtiments neufs, réunissant des exigences à la fois en matière de réduction de la consommation d’énergie, de développement de l’utilisation des énergies renouvelables, et de prise en compte des émissions de gaz à effet de serre sur l’ensemble du cycle de vie du bâtiment (depuis sa construction jusqu’à sa démolition, en passant par son exploitation).</w:t>
      </w:r>
    </w:p>
    <w:p w14:paraId="697C36C3" w14:textId="77777777" w:rsidR="0018240E" w:rsidRPr="0098629B" w:rsidRDefault="0018240E" w:rsidP="0018240E">
      <w:pPr>
        <w:spacing w:before="240" w:after="240"/>
      </w:pPr>
      <w:r w:rsidRPr="0098629B">
        <w:t>En outre, depuis 2008, pour toutes les constructions neuves d’une surface supérieure à 1</w:t>
      </w:r>
      <w:r w:rsidRPr="0098629B">
        <w:rPr>
          <w:rFonts w:ascii="Calibri" w:hAnsi="Calibri" w:cs="Calibri"/>
        </w:rPr>
        <w:t> </w:t>
      </w:r>
      <w:r w:rsidRPr="0098629B">
        <w:t>000</w:t>
      </w:r>
      <w:r w:rsidRPr="0098629B">
        <w:rPr>
          <w:rFonts w:ascii="Calibri" w:hAnsi="Calibri" w:cs="Calibri"/>
        </w:rPr>
        <w:t> </w:t>
      </w:r>
      <w:r w:rsidRPr="0098629B">
        <w:t>m</w:t>
      </w:r>
      <w:r w:rsidRPr="0098629B">
        <w:rPr>
          <w:rFonts w:cs="Marianne"/>
        </w:rPr>
        <w:t>²</w:t>
      </w:r>
      <w:r w:rsidRPr="0098629B">
        <w:t xml:space="preserve">, une </w:t>
      </w:r>
      <w:r w:rsidRPr="0098629B">
        <w:rPr>
          <w:b/>
          <w:bCs/>
        </w:rPr>
        <w:t xml:space="preserve">étude de faisabilité </w:t>
      </w:r>
      <w:r w:rsidRPr="0098629B">
        <w:t>technique et économique des diverses solutions d’approvisionnement en énergie de la construction doit être réalisée. Cette mesure est destinée à favoriser les recours aux énergies renouvelables et aux systèmes les plus performants. Le champ d’application de cette mesure a été élargi en 2014 à tous les bâtiments neufs de plus de 50</w:t>
      </w:r>
      <w:r w:rsidRPr="0098629B">
        <w:rPr>
          <w:rFonts w:ascii="Calibri" w:hAnsi="Calibri" w:cs="Calibri"/>
        </w:rPr>
        <w:t> </w:t>
      </w:r>
      <w:r w:rsidRPr="0098629B">
        <w:t>m</w:t>
      </w:r>
      <w:r w:rsidRPr="0098629B">
        <w:rPr>
          <w:rFonts w:cs="Marianne"/>
        </w:rPr>
        <w:t>²</w:t>
      </w:r>
      <w:r w:rsidRPr="0098629B">
        <w:t xml:space="preserve"> (</w:t>
      </w:r>
      <w:r w:rsidRPr="0098629B">
        <w:rPr>
          <w:rFonts w:cs="Marianne"/>
        </w:rPr>
        <w:t>à</w:t>
      </w:r>
      <w:r w:rsidRPr="0098629B">
        <w:t xml:space="preserve"> l</w:t>
      </w:r>
      <w:r w:rsidRPr="0098629B">
        <w:rPr>
          <w:rFonts w:cs="Marianne"/>
        </w:rPr>
        <w:t>’</w:t>
      </w:r>
      <w:r w:rsidRPr="0098629B">
        <w:t>exception des maisons individuelles ou accol</w:t>
      </w:r>
      <w:r w:rsidRPr="0098629B">
        <w:rPr>
          <w:rFonts w:cs="Marianne"/>
        </w:rPr>
        <w:t>é</w:t>
      </w:r>
      <w:r w:rsidRPr="0098629B">
        <w:t>es et des extensions de b</w:t>
      </w:r>
      <w:r w:rsidRPr="0098629B">
        <w:rPr>
          <w:rFonts w:cs="Marianne"/>
        </w:rPr>
        <w:t>â</w:t>
      </w:r>
      <w:r w:rsidRPr="0098629B">
        <w:t xml:space="preserve">timents existants). </w:t>
      </w:r>
    </w:p>
    <w:p w14:paraId="5D4DC43C" w14:textId="77777777" w:rsidR="0018240E" w:rsidRPr="0098629B" w:rsidRDefault="0018240E" w:rsidP="0018240E">
      <w:pPr>
        <w:spacing w:before="240" w:after="240"/>
      </w:pPr>
      <w:r w:rsidRPr="0098629B">
        <w:t xml:space="preserve">Par ailleurs, pour contribuer à promouvoir l’utilisation de ressources de proximité, à dynamiser le tissu économique local et à favoriser le développement et la structuration d’éco-industries dans les territoires, et à offrir un choix plus large de matériaux et de produits pour les maîtres d’ouvrage, un </w:t>
      </w:r>
      <w:r w:rsidRPr="0098629B">
        <w:rPr>
          <w:b/>
        </w:rPr>
        <w:t>label «</w:t>
      </w:r>
      <w:r w:rsidRPr="0098629B">
        <w:rPr>
          <w:rFonts w:ascii="Calibri" w:hAnsi="Calibri" w:cs="Calibri"/>
          <w:b/>
        </w:rPr>
        <w:t> </w:t>
      </w:r>
      <w:r w:rsidRPr="0098629B">
        <w:rPr>
          <w:b/>
        </w:rPr>
        <w:t>B</w:t>
      </w:r>
      <w:r w:rsidRPr="0098629B">
        <w:rPr>
          <w:rFonts w:cs="Marianne"/>
          <w:b/>
        </w:rPr>
        <w:t>â</w:t>
      </w:r>
      <w:r w:rsidRPr="0098629B">
        <w:rPr>
          <w:b/>
        </w:rPr>
        <w:t>timent biosourc</w:t>
      </w:r>
      <w:r w:rsidRPr="0098629B">
        <w:rPr>
          <w:rFonts w:cs="Marianne"/>
          <w:b/>
        </w:rPr>
        <w:t>é</w:t>
      </w:r>
      <w:r w:rsidRPr="0098629B">
        <w:rPr>
          <w:rFonts w:ascii="Calibri" w:hAnsi="Calibri" w:cs="Calibri"/>
          <w:b/>
        </w:rPr>
        <w:t> </w:t>
      </w:r>
      <w:r w:rsidRPr="0098629B">
        <w:rPr>
          <w:rFonts w:cs="Marianne"/>
          <w:b/>
        </w:rPr>
        <w:t>»</w:t>
      </w:r>
      <w:r w:rsidRPr="0098629B">
        <w:t xml:space="preserve"> a été créé en 2012. L’attribution de ce label (selon 3 niveaux d’exigence définis par arrêté) vise, pour les maîtres d’ouvrage qui en font la demande, à valoriser les constructions neuves intégrant une part significative de biomasse dans les matériaux utilisés.</w:t>
      </w:r>
    </w:p>
    <w:p w14:paraId="0B6E1322" w14:textId="77777777" w:rsidR="0018240E" w:rsidRPr="0098629B" w:rsidRDefault="0018240E" w:rsidP="0018240E">
      <w:pPr>
        <w:spacing w:before="240" w:after="240"/>
      </w:pPr>
      <w:r w:rsidRPr="0098629B">
        <w:t xml:space="preserve">Enfin, la loi relative à la transition énergétique pour la croissance verte d’août 2015 prévoit que les nouvelles constructions de bâtiments publics (constructions sous maîtrise d’ouvrage de l’État, de ses établissements publics ou des collectivités territoriales) doivent faire preuve d’exemplarité énergétique et environnementale et doivent être, chaque fois que possible, à énergie positive et à haute performance environnementale. Cette obligation est entrée en vigueur en 2017. </w:t>
      </w:r>
    </w:p>
    <w:p w14:paraId="18E0B0F5" w14:textId="77777777" w:rsidR="0018240E" w:rsidRPr="0098629B" w:rsidRDefault="0018240E" w:rsidP="0018240E">
      <w:pPr>
        <w:rPr>
          <w:b/>
          <w:i/>
        </w:rPr>
      </w:pPr>
      <w:r w:rsidRPr="0098629B">
        <w:rPr>
          <w:b/>
          <w:i/>
        </w:rPr>
        <w:t xml:space="preserve">Les rénovations dans les constructions existantes </w:t>
      </w:r>
    </w:p>
    <w:p w14:paraId="7EF163EB" w14:textId="77777777" w:rsidR="0018240E" w:rsidRPr="0098629B" w:rsidRDefault="0018240E" w:rsidP="0018240E">
      <w:pPr>
        <w:spacing w:before="240" w:after="240"/>
      </w:pPr>
      <w:r w:rsidRPr="0098629B">
        <w:t xml:space="preserve">Le </w:t>
      </w:r>
      <w:r w:rsidRPr="0098629B">
        <w:rPr>
          <w:b/>
        </w:rPr>
        <w:t>plan rénovation énergétique des bâtiments</w:t>
      </w:r>
      <w:r w:rsidRPr="0098629B">
        <w:t>, présenté en avril 2018, a fait de la rénovation énergétique une priorité nationale et fixe les axes d’action prioritaires sur le court terme afin de : massifier et améliorer la rénovation, renforcer les aides pour accompagner tous les ménages dans les travaux de rénovation, faire des bâtiments publics des bâtiments exemplaires en matière d’efficacité énergétique et entraîner les territoires par la mobilisation des acteurs locaux. L’objectif est d’atteindre la neutralité carbone d’ici à 2050 tout en poursuivant un objectif social de lutte contre la précarité énergétique.</w:t>
      </w:r>
    </w:p>
    <w:p w14:paraId="0D932210" w14:textId="77777777" w:rsidR="0018240E" w:rsidRPr="0098629B" w:rsidRDefault="0018240E" w:rsidP="0018240E">
      <w:pPr>
        <w:spacing w:before="240" w:after="240"/>
      </w:pPr>
      <w:r w:rsidRPr="0098629B">
        <w:t>Le plan prévoit notamment de : créer un fonds de garantie de plus de 50 millions d’euros pour aider 75</w:t>
      </w:r>
      <w:r w:rsidRPr="0098629B">
        <w:rPr>
          <w:rFonts w:ascii="Calibri" w:hAnsi="Calibri" w:cs="Calibri"/>
        </w:rPr>
        <w:t> </w:t>
      </w:r>
      <w:r w:rsidRPr="0098629B">
        <w:t>000 m</w:t>
      </w:r>
      <w:r w:rsidRPr="0098629B">
        <w:rPr>
          <w:rFonts w:cs="Marianne"/>
        </w:rPr>
        <w:t>é</w:t>
      </w:r>
      <w:r w:rsidRPr="0098629B">
        <w:t>nages aux revenus modestes par an, simplifier les aides en transformant le crédit d’impôt pour la transition énergétique en une prime (voir plus bas) et en adaptant les prêts existants, fiabiliser l’étiquette énergie des logements et le diagnostic de la performance énergétique (DPE), pour plus de confiance, mieux former les professionnels et mieux contrôler la qualité des travaux en réformant le label RGE (reconnu garant de l’environnement) et en investissant 30 millions d’euros dans la formation des professionnels et 40 millions d’euros dans l’innovation, encourager une rénovation massive des bâtiments publics de l’État et des collectivités en mobilisant 4,8 milliards d’euros.</w:t>
      </w:r>
    </w:p>
    <w:p w14:paraId="608E84AC" w14:textId="77777777" w:rsidR="0018240E" w:rsidRPr="0098629B" w:rsidRDefault="0018240E" w:rsidP="0018240E">
      <w:pPr>
        <w:spacing w:before="240" w:after="240"/>
      </w:pPr>
      <w:r w:rsidRPr="0098629B">
        <w:t>La loi énergie-climat (LEC) de 2019 a fait de la réduction des émissions du secteur du bâtiment un axe d’action majeur. La LEC vise la rénovation de l’ensemble des passoires thermiques (logements consommant plus de 331</w:t>
      </w:r>
      <w:r w:rsidRPr="0098629B">
        <w:rPr>
          <w:rFonts w:ascii="Calibri" w:hAnsi="Calibri" w:cs="Calibri"/>
        </w:rPr>
        <w:t> </w:t>
      </w:r>
      <w:r w:rsidRPr="0098629B">
        <w:t>kWh/m</w:t>
      </w:r>
      <w:r w:rsidRPr="0098629B">
        <w:rPr>
          <w:rFonts w:cs="Marianne"/>
        </w:rPr>
        <w:t>²</w:t>
      </w:r>
      <w:r w:rsidRPr="0098629B">
        <w:t>) d</w:t>
      </w:r>
      <w:r w:rsidRPr="0098629B">
        <w:rPr>
          <w:rFonts w:cs="Marianne"/>
        </w:rPr>
        <w:t>’</w:t>
      </w:r>
      <w:r w:rsidRPr="0098629B">
        <w:t>ici 2028, avec une premi</w:t>
      </w:r>
      <w:r w:rsidRPr="0098629B">
        <w:rPr>
          <w:rFonts w:cs="Marianne"/>
        </w:rPr>
        <w:t>è</w:t>
      </w:r>
      <w:r w:rsidRPr="0098629B">
        <w:t>re phase d</w:t>
      </w:r>
      <w:r w:rsidRPr="0098629B">
        <w:rPr>
          <w:rFonts w:cs="Marianne"/>
        </w:rPr>
        <w:t>’</w:t>
      </w:r>
      <w:r w:rsidRPr="0098629B">
        <w:t>information et d</w:t>
      </w:r>
      <w:r w:rsidRPr="0098629B">
        <w:rPr>
          <w:rFonts w:cs="Marianne"/>
        </w:rPr>
        <w:t>’</w:t>
      </w:r>
      <w:r w:rsidRPr="0098629B">
        <w:t>incitation des propri</w:t>
      </w:r>
      <w:r w:rsidRPr="0098629B">
        <w:rPr>
          <w:rFonts w:cs="Marianne"/>
        </w:rPr>
        <w:t>é</w:t>
      </w:r>
      <w:r w:rsidRPr="0098629B">
        <w:t xml:space="preserve">taires </w:t>
      </w:r>
      <w:r w:rsidRPr="0098629B">
        <w:rPr>
          <w:rFonts w:cs="Marianne"/>
        </w:rPr>
        <w:t>à</w:t>
      </w:r>
      <w:r w:rsidRPr="0098629B">
        <w:t xml:space="preserve"> la r</w:t>
      </w:r>
      <w:r w:rsidRPr="0098629B">
        <w:rPr>
          <w:rFonts w:cs="Marianne"/>
        </w:rPr>
        <w:t>é</w:t>
      </w:r>
      <w:r w:rsidRPr="0098629B">
        <w:t>alisation de travaux sur la période 2021-2022, puis une seconde phase d’obligation de réalisation de travaux pour les propriétaires de passoires thermiques à l’horizon 2028 sous peine de sanctions qui seront définies dans un second temps.</w:t>
      </w:r>
    </w:p>
    <w:p w14:paraId="5684918D" w14:textId="77777777" w:rsidR="0018240E" w:rsidRPr="0098629B" w:rsidRDefault="0018240E" w:rsidP="0018240E">
      <w:pPr>
        <w:spacing w:before="240" w:after="240"/>
      </w:pPr>
      <w:r w:rsidRPr="0098629B">
        <w:t xml:space="preserve">Ces mesures prises depuis 2017 viennent compléter les dispositifs qui existaient déjà. </w:t>
      </w:r>
    </w:p>
    <w:p w14:paraId="36D0AA9C" w14:textId="77777777" w:rsidR="0018240E" w:rsidRPr="0098629B" w:rsidRDefault="0018240E" w:rsidP="0018240E">
      <w:pPr>
        <w:pStyle w:val="Titre4niveau4"/>
        <w:spacing w:before="240"/>
      </w:pPr>
      <w:r w:rsidRPr="0098629B">
        <w:lastRenderedPageBreak/>
        <w:t>Les réglementations visant à garantir la qualité des rénovations</w:t>
      </w:r>
    </w:p>
    <w:p w14:paraId="7E2DFB15" w14:textId="77777777" w:rsidR="0018240E" w:rsidRPr="0098629B" w:rsidRDefault="0018240E" w:rsidP="0018240E">
      <w:pPr>
        <w:spacing w:before="240" w:after="240"/>
      </w:pPr>
      <w:r w:rsidRPr="0098629B">
        <w:t xml:space="preserve">La </w:t>
      </w:r>
      <w:r w:rsidRPr="0098629B">
        <w:rPr>
          <w:b/>
          <w:bCs/>
        </w:rPr>
        <w:t xml:space="preserve">réglementation thermique (RT) </w:t>
      </w:r>
      <w:r w:rsidRPr="0098629B">
        <w:t>a pour objectif d’assurer une amélioration significative de la performance énergétique d’un bâtiment existant lors de sa rénovation. Les mesures applicables, la « RT globale » et la « RT par élément », diffèrent selon l’importance des travaux entrepris. Pour les rénovations lourdes de bâtiments de plus de 1</w:t>
      </w:r>
      <w:r w:rsidRPr="0098629B">
        <w:rPr>
          <w:rFonts w:ascii="Calibri" w:hAnsi="Calibri" w:cs="Calibri"/>
        </w:rPr>
        <w:t> </w:t>
      </w:r>
      <w:r w:rsidRPr="0098629B">
        <w:t>000</w:t>
      </w:r>
      <w:r w:rsidRPr="0098629B">
        <w:rPr>
          <w:rFonts w:ascii="Calibri" w:hAnsi="Calibri" w:cs="Calibri"/>
        </w:rPr>
        <w:t> </w:t>
      </w:r>
      <w:r w:rsidRPr="0098629B">
        <w:t>m</w:t>
      </w:r>
      <w:r w:rsidRPr="0098629B">
        <w:rPr>
          <w:rFonts w:cs="Marianne"/>
        </w:rPr>
        <w:t>²</w:t>
      </w:r>
      <w:r w:rsidRPr="0098629B">
        <w:t>, la RT globale d</w:t>
      </w:r>
      <w:r w:rsidRPr="0098629B">
        <w:rPr>
          <w:rFonts w:cs="Marianne"/>
        </w:rPr>
        <w:t>é</w:t>
      </w:r>
      <w:r w:rsidRPr="0098629B">
        <w:t>finit un objectif de performance énergétique globale pour les bâtiments rénovés, à l’exception de ceux construits avant 1948. Pour les bâtiments de moins de 1</w:t>
      </w:r>
      <w:r w:rsidRPr="0098629B">
        <w:rPr>
          <w:rFonts w:ascii="Calibri" w:hAnsi="Calibri" w:cs="Calibri"/>
        </w:rPr>
        <w:t> </w:t>
      </w:r>
      <w:r w:rsidRPr="0098629B">
        <w:t>000</w:t>
      </w:r>
      <w:r w:rsidRPr="0098629B">
        <w:rPr>
          <w:rFonts w:ascii="Calibri" w:hAnsi="Calibri" w:cs="Calibri"/>
        </w:rPr>
        <w:t> </w:t>
      </w:r>
      <w:r w:rsidRPr="0098629B">
        <w:t>m</w:t>
      </w:r>
      <w:r w:rsidRPr="0098629B">
        <w:rPr>
          <w:rFonts w:cs="Marianne"/>
        </w:rPr>
        <w:t>²</w:t>
      </w:r>
      <w:r w:rsidRPr="0098629B">
        <w:t xml:space="preserve"> ou pour les b</w:t>
      </w:r>
      <w:r w:rsidRPr="0098629B">
        <w:rPr>
          <w:rFonts w:cs="Marianne"/>
        </w:rPr>
        <w:t>â</w:t>
      </w:r>
      <w:r w:rsidRPr="0098629B">
        <w:t>timents de plus de 1</w:t>
      </w:r>
      <w:r w:rsidRPr="0098629B">
        <w:rPr>
          <w:rFonts w:ascii="Calibri" w:hAnsi="Calibri" w:cs="Calibri"/>
        </w:rPr>
        <w:t> </w:t>
      </w:r>
      <w:r w:rsidRPr="0098629B">
        <w:t>000</w:t>
      </w:r>
      <w:r w:rsidRPr="0098629B">
        <w:rPr>
          <w:rFonts w:ascii="Calibri" w:hAnsi="Calibri" w:cs="Calibri"/>
        </w:rPr>
        <w:t> </w:t>
      </w:r>
      <w:r w:rsidRPr="0098629B">
        <w:t>m</w:t>
      </w:r>
      <w:r w:rsidRPr="0098629B">
        <w:rPr>
          <w:rFonts w:cs="Marianne"/>
        </w:rPr>
        <w:t>²</w:t>
      </w:r>
      <w:r w:rsidRPr="0098629B">
        <w:t xml:space="preserve"> objets d</w:t>
      </w:r>
      <w:r w:rsidRPr="0098629B">
        <w:rPr>
          <w:rFonts w:cs="Marianne"/>
        </w:rPr>
        <w:t>’</w:t>
      </w:r>
      <w:r w:rsidRPr="0098629B">
        <w:t>une r</w:t>
      </w:r>
      <w:r w:rsidRPr="0098629B">
        <w:rPr>
          <w:rFonts w:cs="Marianne"/>
        </w:rPr>
        <w:t>é</w:t>
      </w:r>
      <w:r w:rsidRPr="0098629B">
        <w:t>novation l</w:t>
      </w:r>
      <w:r w:rsidRPr="0098629B">
        <w:rPr>
          <w:rFonts w:cs="Marianne"/>
        </w:rPr>
        <w:t>é</w:t>
      </w:r>
      <w:r w:rsidRPr="0098629B">
        <w:t>g</w:t>
      </w:r>
      <w:r w:rsidRPr="0098629B">
        <w:rPr>
          <w:rFonts w:cs="Marianne"/>
        </w:rPr>
        <w:t>è</w:t>
      </w:r>
      <w:r w:rsidRPr="0098629B">
        <w:t xml:space="preserve">re, la RT par </w:t>
      </w:r>
      <w:r w:rsidRPr="0098629B">
        <w:rPr>
          <w:rFonts w:cs="Marianne"/>
        </w:rPr>
        <w:t>é</w:t>
      </w:r>
      <w:r w:rsidRPr="0098629B">
        <w:t>l</w:t>
      </w:r>
      <w:r w:rsidRPr="0098629B">
        <w:rPr>
          <w:rFonts w:cs="Marianne"/>
        </w:rPr>
        <w:t>é</w:t>
      </w:r>
      <w:r w:rsidRPr="0098629B">
        <w:t>ment d</w:t>
      </w:r>
      <w:r w:rsidRPr="0098629B">
        <w:rPr>
          <w:rFonts w:cs="Marianne"/>
        </w:rPr>
        <w:t>é</w:t>
      </w:r>
      <w:r w:rsidRPr="0098629B">
        <w:t>finit une performance minimale pour les éléments remplacés ou installés : elle porte notamment sur les équipements d’isolation (parois opaques et vitrées), de chauffage, de production d’eau chaude, de refroidissement, de ventilation. Les exigences de la RT par élément ont été renforcées en 2017 (pour une entrée en vigueur des nouvelles dispositions au 1er janvier 2018).</w:t>
      </w:r>
    </w:p>
    <w:p w14:paraId="450661B8" w14:textId="77777777" w:rsidR="0018240E" w:rsidRPr="0098629B" w:rsidRDefault="0018240E" w:rsidP="0018240E">
      <w:pPr>
        <w:spacing w:before="240" w:after="240"/>
      </w:pPr>
      <w:r w:rsidRPr="0098629B">
        <w:t xml:space="preserve">Le </w:t>
      </w:r>
      <w:r w:rsidRPr="0098629B">
        <w:rPr>
          <w:b/>
          <w:bCs/>
        </w:rPr>
        <w:t xml:space="preserve">label « Haute Performance Energétique (HPE) rénovation » </w:t>
      </w:r>
      <w:r w:rsidRPr="0098629B">
        <w:t>permet par ailleurs de valoriser la démarche volontaire de maîtres d’ouvrage désireux de réaliser une opération de rénovation performante, voire très performante (alors caractérisé par un niveau «</w:t>
      </w:r>
      <w:r w:rsidRPr="0098629B">
        <w:rPr>
          <w:rFonts w:ascii="Calibri" w:hAnsi="Calibri" w:cs="Calibri"/>
        </w:rPr>
        <w:t> </w:t>
      </w:r>
      <w:r w:rsidRPr="0098629B">
        <w:rPr>
          <w:b/>
        </w:rPr>
        <w:t>Bâtiment Basse Consommation (BBC)</w:t>
      </w:r>
      <w:r w:rsidRPr="0098629B">
        <w:rPr>
          <w:rFonts w:ascii="Calibri" w:hAnsi="Calibri" w:cs="Calibri"/>
        </w:rPr>
        <w:t> </w:t>
      </w:r>
      <w:r w:rsidRPr="0098629B">
        <w:rPr>
          <w:rFonts w:cs="Marianne"/>
        </w:rPr>
        <w:t>»</w:t>
      </w:r>
      <w:r w:rsidRPr="0098629B">
        <w:t xml:space="preserve">), du point de vue </w:t>
      </w:r>
      <w:r w:rsidRPr="0098629B">
        <w:rPr>
          <w:rFonts w:cs="Marianne"/>
        </w:rPr>
        <w:t>é</w:t>
      </w:r>
      <w:r w:rsidRPr="0098629B">
        <w:t>nerg</w:t>
      </w:r>
      <w:r w:rsidRPr="0098629B">
        <w:rPr>
          <w:rFonts w:cs="Marianne"/>
        </w:rPr>
        <w:t>é</w:t>
      </w:r>
      <w:r w:rsidRPr="0098629B">
        <w:t>tique. Il atteste que le b</w:t>
      </w:r>
      <w:r w:rsidRPr="0098629B">
        <w:rPr>
          <w:rFonts w:cs="Marianne"/>
        </w:rPr>
        <w:t>â</w:t>
      </w:r>
      <w:r w:rsidRPr="0098629B">
        <w:t xml:space="preserve">timent respecte un niveau de performance </w:t>
      </w:r>
      <w:r w:rsidRPr="0098629B">
        <w:rPr>
          <w:rFonts w:cs="Marianne"/>
        </w:rPr>
        <w:t>é</w:t>
      </w:r>
      <w:r w:rsidRPr="0098629B">
        <w:t>nerg</w:t>
      </w:r>
      <w:r w:rsidRPr="0098629B">
        <w:rPr>
          <w:rFonts w:cs="Marianne"/>
        </w:rPr>
        <w:t>é</w:t>
      </w:r>
      <w:r w:rsidRPr="0098629B">
        <w:t xml:space="preserve">tique </w:t>
      </w:r>
      <w:r w:rsidRPr="0098629B">
        <w:rPr>
          <w:rFonts w:cs="Marianne"/>
        </w:rPr>
        <w:t>é</w:t>
      </w:r>
      <w:r w:rsidRPr="0098629B">
        <w:t>lev</w:t>
      </w:r>
      <w:r w:rsidRPr="0098629B">
        <w:rPr>
          <w:rFonts w:cs="Marianne"/>
        </w:rPr>
        <w:t>é</w:t>
      </w:r>
      <w:r w:rsidRPr="0098629B">
        <w:t xml:space="preserve"> ainsi qu</w:t>
      </w:r>
      <w:r w:rsidRPr="0098629B">
        <w:rPr>
          <w:rFonts w:cs="Marianne"/>
        </w:rPr>
        <w:t>’</w:t>
      </w:r>
      <w:r w:rsidRPr="0098629B">
        <w:t xml:space="preserve">un niveau minimal de confort d’été. </w:t>
      </w:r>
    </w:p>
    <w:p w14:paraId="20DFAAE2" w14:textId="77777777" w:rsidR="0018240E" w:rsidRPr="0098629B" w:rsidRDefault="0018240E" w:rsidP="0018240E">
      <w:pPr>
        <w:spacing w:before="240" w:after="240"/>
      </w:pPr>
      <w:r w:rsidRPr="0098629B">
        <w:t>Par ailleurs, depuis le 1er janvier 2008, tout bâtiment de plus de 1</w:t>
      </w:r>
      <w:r w:rsidRPr="0098629B">
        <w:rPr>
          <w:rFonts w:ascii="Calibri" w:hAnsi="Calibri" w:cs="Calibri"/>
        </w:rPr>
        <w:t> </w:t>
      </w:r>
      <w:r w:rsidRPr="0098629B">
        <w:t>000</w:t>
      </w:r>
      <w:r w:rsidRPr="0098629B">
        <w:rPr>
          <w:rFonts w:ascii="Calibri" w:hAnsi="Calibri" w:cs="Calibri"/>
        </w:rPr>
        <w:t> </w:t>
      </w:r>
      <w:r w:rsidRPr="0098629B">
        <w:t>m</w:t>
      </w:r>
      <w:r w:rsidRPr="0098629B">
        <w:rPr>
          <w:rFonts w:cs="Marianne"/>
        </w:rPr>
        <w:t>²</w:t>
      </w:r>
      <w:r w:rsidRPr="0098629B">
        <w:t xml:space="preserve"> soumis </w:t>
      </w:r>
      <w:r w:rsidRPr="0098629B">
        <w:rPr>
          <w:rFonts w:cs="Marianne"/>
        </w:rPr>
        <w:t>à</w:t>
      </w:r>
      <w:r w:rsidRPr="0098629B">
        <w:t xml:space="preserve"> une r</w:t>
      </w:r>
      <w:r w:rsidRPr="0098629B">
        <w:rPr>
          <w:rFonts w:cs="Marianne"/>
        </w:rPr>
        <w:t>é</w:t>
      </w:r>
      <w:r w:rsidRPr="0098629B">
        <w:t>novation lourde doit faire l</w:t>
      </w:r>
      <w:r w:rsidRPr="0098629B">
        <w:rPr>
          <w:rFonts w:cs="Marianne"/>
        </w:rPr>
        <w:t>’</w:t>
      </w:r>
      <w:r w:rsidRPr="0098629B">
        <w:t>objet, au m</w:t>
      </w:r>
      <w:r w:rsidRPr="0098629B">
        <w:rPr>
          <w:rFonts w:cs="Marianne"/>
        </w:rPr>
        <w:t>ê</w:t>
      </w:r>
      <w:r w:rsidRPr="0098629B">
        <w:t>me titre qu</w:t>
      </w:r>
      <w:r w:rsidRPr="0098629B">
        <w:rPr>
          <w:rFonts w:cs="Marianne"/>
        </w:rPr>
        <w:t>’</w:t>
      </w:r>
      <w:r w:rsidRPr="0098629B">
        <w:t>un b</w:t>
      </w:r>
      <w:r w:rsidRPr="0098629B">
        <w:rPr>
          <w:rFonts w:cs="Marianne"/>
        </w:rPr>
        <w:t>â</w:t>
      </w:r>
      <w:r w:rsidRPr="0098629B">
        <w:t>timent neuf, d</w:t>
      </w:r>
      <w:r w:rsidRPr="0098629B">
        <w:rPr>
          <w:rFonts w:cs="Marianne"/>
        </w:rPr>
        <w:t>’</w:t>
      </w:r>
      <w:r w:rsidRPr="0098629B">
        <w:t xml:space="preserve">une </w:t>
      </w:r>
      <w:r w:rsidRPr="0098629B">
        <w:rPr>
          <w:b/>
          <w:bCs/>
        </w:rPr>
        <w:t xml:space="preserve">étude de faisabilité </w:t>
      </w:r>
      <w:r w:rsidRPr="0098629B">
        <w:t>d’approvisionnement en énergie, de façon à inciter le maître d’ouvrage à recourir à une source d’énergie renouvelable ou à un système très performant.</w:t>
      </w:r>
    </w:p>
    <w:p w14:paraId="3FAB6E2D" w14:textId="14053680" w:rsidR="0018240E" w:rsidRPr="0098629B" w:rsidRDefault="0018240E" w:rsidP="0018240E">
      <w:pPr>
        <w:spacing w:before="240" w:after="240"/>
      </w:pPr>
      <w:r w:rsidRPr="0098629B">
        <w:t>Enfin, depuis le 1</w:t>
      </w:r>
      <w:r w:rsidRPr="0098629B">
        <w:rPr>
          <w:vertAlign w:val="superscript"/>
        </w:rPr>
        <w:t>er</w:t>
      </w:r>
      <w:r w:rsidRPr="0098629B">
        <w:t xml:space="preserve"> juillet 2022, l’installation de nouvelles chaudières dans les bâtiments doit répondre à un critère minimal de performance environnementale. Ainsi, sauf dérogation, le niveau des émissions de gaz à effet de serre de l'équipement doit être inférieur à 300 g</w:t>
      </w:r>
      <w:r w:rsidR="00811B0F" w:rsidRPr="0098629B">
        <w:t>CO</w:t>
      </w:r>
      <w:r w:rsidR="00811B0F" w:rsidRPr="0098629B">
        <w:rPr>
          <w:vertAlign w:val="subscript"/>
        </w:rPr>
        <w:t>2</w:t>
      </w:r>
      <w:r w:rsidR="00891B49" w:rsidRPr="0098629B">
        <w:rPr>
          <w:vertAlign w:val="subscript"/>
        </w:rPr>
        <w:t>e</w:t>
      </w:r>
      <w:r w:rsidRPr="0098629B">
        <w:t xml:space="preserve"> / kWh PCI, excluant de fait les chaudières au fioul.</w:t>
      </w:r>
    </w:p>
    <w:p w14:paraId="2EAE9887" w14:textId="77777777" w:rsidR="0018240E" w:rsidRPr="0098629B" w:rsidRDefault="0018240E" w:rsidP="0018240E">
      <w:pPr>
        <w:pStyle w:val="Titre4niveau4"/>
        <w:spacing w:before="240"/>
      </w:pPr>
      <w:r w:rsidRPr="0098629B">
        <w:t xml:space="preserve">Les aides financières à la rénovation </w:t>
      </w:r>
    </w:p>
    <w:p w14:paraId="7B1E4742" w14:textId="77777777" w:rsidR="0018240E" w:rsidRPr="0098629B" w:rsidRDefault="0018240E" w:rsidP="0018240E">
      <w:pPr>
        <w:spacing w:before="240" w:after="240"/>
      </w:pPr>
      <w:r w:rsidRPr="0098629B">
        <w:t xml:space="preserve">Pour favoriser la rénovation énergétique, des aides financières sont disponibles pour les particuliers mais aussi pour les bailleurs sociaux. Les particuliers peuvent bénéficier de l’éco-prêt à taux zéro et du crédit d’impôt transition énergétique. Des aides complémentaires spécifiques sont prévues pour les ménages aux revenus modestes. Les bailleurs sociaux peuvent, eux, prétendre obtenir l’éco-prêt logement social. </w:t>
      </w:r>
    </w:p>
    <w:p w14:paraId="53A0B579" w14:textId="77777777" w:rsidR="0018240E" w:rsidRPr="0098629B" w:rsidRDefault="0018240E" w:rsidP="0018240E">
      <w:pPr>
        <w:spacing w:before="240" w:after="240"/>
      </w:pPr>
      <w:r w:rsidRPr="0098629B">
        <w:rPr>
          <w:b/>
          <w:bCs/>
        </w:rPr>
        <w:t xml:space="preserve">Jusqu’à 2020, le crédit d’impôt pour la transition énergétique </w:t>
      </w:r>
      <w:r w:rsidRPr="0098629B">
        <w:rPr>
          <w:b/>
        </w:rPr>
        <w:t>(CITE)</w:t>
      </w:r>
      <w:r w:rsidRPr="0098629B">
        <w:t xml:space="preserve"> permettait de déduire de l’impôt sur le revenu 15 % à 30</w:t>
      </w:r>
      <w:r w:rsidRPr="0098629B">
        <w:rPr>
          <w:rFonts w:ascii="Calibri" w:hAnsi="Calibri" w:cs="Calibri"/>
        </w:rPr>
        <w:t> </w:t>
      </w:r>
      <w:r w:rsidRPr="0098629B">
        <w:t>% des d</w:t>
      </w:r>
      <w:r w:rsidRPr="0098629B">
        <w:rPr>
          <w:rFonts w:cs="Marianne"/>
        </w:rPr>
        <w:t>é</w:t>
      </w:r>
      <w:r w:rsidRPr="0098629B">
        <w:t>penses r</w:t>
      </w:r>
      <w:r w:rsidRPr="0098629B">
        <w:rPr>
          <w:rFonts w:cs="Marianne"/>
        </w:rPr>
        <w:t>é</w:t>
      </w:r>
      <w:r w:rsidRPr="0098629B">
        <w:t>alis</w:t>
      </w:r>
      <w:r w:rsidRPr="0098629B">
        <w:rPr>
          <w:rFonts w:cs="Marianne"/>
        </w:rPr>
        <w:t>é</w:t>
      </w:r>
      <w:r w:rsidRPr="0098629B">
        <w:t>es pour certains travaux d</w:t>
      </w:r>
      <w:r w:rsidRPr="0098629B">
        <w:rPr>
          <w:rFonts w:cs="Marianne"/>
        </w:rPr>
        <w:t>’</w:t>
      </w:r>
      <w:r w:rsidRPr="0098629B">
        <w:t>am</w:t>
      </w:r>
      <w:r w:rsidRPr="0098629B">
        <w:rPr>
          <w:rFonts w:cs="Marianne"/>
        </w:rPr>
        <w:t>é</w:t>
      </w:r>
      <w:r w:rsidRPr="0098629B">
        <w:t xml:space="preserve">lioration de la performance </w:t>
      </w:r>
      <w:r w:rsidRPr="0098629B">
        <w:rPr>
          <w:rFonts w:cs="Marianne"/>
        </w:rPr>
        <w:t>é</w:t>
      </w:r>
      <w:r w:rsidRPr="0098629B">
        <w:t>nerg</w:t>
      </w:r>
      <w:r w:rsidRPr="0098629B">
        <w:rPr>
          <w:rFonts w:cs="Marianne"/>
        </w:rPr>
        <w:t>é</w:t>
      </w:r>
      <w:r w:rsidRPr="0098629B">
        <w:t>tique. L’objectif de ce dispositif était d’inciter les particuliers à effectuer des travaux d’amélioration énergétique de leurs logements tout en soutenant les technologies émergentes les plus efficaces en termes de réduction des consommations énergétiques, faisant ainsi évoluer les différents marchés vers des standards de performance plus élevés.  Le CITE était centré sur les travaux et les équipements les plus efficaces.</w:t>
      </w:r>
    </w:p>
    <w:p w14:paraId="575EBE98" w14:textId="77777777" w:rsidR="0018240E" w:rsidRPr="0098629B" w:rsidRDefault="0018240E" w:rsidP="0018240E">
      <w:pPr>
        <w:spacing w:before="240" w:after="240"/>
      </w:pPr>
      <w:r w:rsidRPr="0098629B">
        <w:t>Depuis le 1</w:t>
      </w:r>
      <w:r w:rsidRPr="0098629B">
        <w:rPr>
          <w:vertAlign w:val="superscript"/>
        </w:rPr>
        <w:t>er</w:t>
      </w:r>
      <w:r w:rsidRPr="0098629B">
        <w:t xml:space="preserve"> janvier 2020, le CITE est remplacé par le dispositif «</w:t>
      </w:r>
      <w:r w:rsidRPr="0098629B">
        <w:rPr>
          <w:rFonts w:ascii="Calibri" w:hAnsi="Calibri" w:cs="Calibri"/>
        </w:rPr>
        <w:t> </w:t>
      </w:r>
      <w:r w:rsidRPr="0098629B">
        <w:t>MaPrimeRénov’</w:t>
      </w:r>
      <w:r w:rsidRPr="0098629B">
        <w:rPr>
          <w:rFonts w:ascii="Calibri" w:hAnsi="Calibri" w:cs="Calibri"/>
        </w:rPr>
        <w:t> </w:t>
      </w:r>
      <w:r w:rsidRPr="0098629B">
        <w:rPr>
          <w:rFonts w:cs="Marianne"/>
        </w:rPr>
        <w:t>»</w:t>
      </w:r>
      <w:r w:rsidRPr="0098629B">
        <w:t>, a</w:t>
      </w:r>
      <w:r w:rsidRPr="0098629B">
        <w:rPr>
          <w:bCs/>
        </w:rPr>
        <w:t>ccessible à tous les propriétaires et à toutes les copropriétés de logement construit depuis au moins 15 ans</w:t>
      </w:r>
      <w:r w:rsidRPr="0098629B">
        <w:t>. Son montant est modulé selon les revenus du foyer et la nature des travaux. En 2021, MaPrimerénov’ a permis de financer la rénovation de près de 650</w:t>
      </w:r>
      <w:r w:rsidRPr="0098629B">
        <w:rPr>
          <w:rFonts w:ascii="Calibri" w:hAnsi="Calibri" w:cs="Calibri"/>
        </w:rPr>
        <w:t> </w:t>
      </w:r>
      <w:r w:rsidRPr="0098629B">
        <w:t>000 logements, pour un budget d’un peu plus de deux milliards d’euros.</w:t>
      </w:r>
    </w:p>
    <w:p w14:paraId="68C2ACAD" w14:textId="77777777" w:rsidR="0018240E" w:rsidRPr="0098629B" w:rsidRDefault="0018240E" w:rsidP="0018240E">
      <w:pPr>
        <w:spacing w:before="240" w:after="240"/>
      </w:pPr>
      <w:r w:rsidRPr="0098629B">
        <w:t>Pour les ménages aux revenus modestes, ce dispositif est complété par l’aide «</w:t>
      </w:r>
      <w:r w:rsidRPr="0098629B">
        <w:rPr>
          <w:rFonts w:ascii="Calibri" w:hAnsi="Calibri" w:cs="Calibri"/>
        </w:rPr>
        <w:t> </w:t>
      </w:r>
      <w:r w:rsidRPr="0098629B">
        <w:t>MaPrimeRénov’ Sérénité</w:t>
      </w:r>
      <w:r w:rsidRPr="0098629B">
        <w:rPr>
          <w:rFonts w:ascii="Calibri" w:hAnsi="Calibri" w:cs="Calibri"/>
        </w:rPr>
        <w:t> </w:t>
      </w:r>
      <w:r w:rsidRPr="0098629B">
        <w:rPr>
          <w:rFonts w:cs="Marianne"/>
        </w:rPr>
        <w:t>»</w:t>
      </w:r>
      <w:r w:rsidRPr="0098629B">
        <w:t xml:space="preserve"> qui finance des travaux de rénovation globale permettant un gain énergétique (en énergie primaire) d’au moins 35 %. L’aide couvre jusqu’à 35 % (ménages modestes) ou 50 % (ménages très modestes) du coût des travaux (hors taxes). Cette aide prévoit également un accompagnement spécifique pour l'assistance à maîtrise d'ouvrage des propriétaires. </w:t>
      </w:r>
    </w:p>
    <w:p w14:paraId="0F67526D" w14:textId="77777777" w:rsidR="0018240E" w:rsidRPr="0098629B" w:rsidRDefault="0018240E" w:rsidP="0018240E">
      <w:pPr>
        <w:spacing w:before="240" w:after="240"/>
      </w:pPr>
      <w:r w:rsidRPr="0098629B">
        <w:rPr>
          <w:b/>
          <w:bCs/>
        </w:rPr>
        <w:t xml:space="preserve">L’éco-prêt à taux zéro </w:t>
      </w:r>
      <w:r w:rsidRPr="0098629B">
        <w:rPr>
          <w:b/>
        </w:rPr>
        <w:t>(éco-PTZ)</w:t>
      </w:r>
      <w:r w:rsidRPr="0098629B">
        <w:t xml:space="preserve"> permet de bénéficier d’un prêt à taux zéro de 30</w:t>
      </w:r>
      <w:r w:rsidRPr="0098629B">
        <w:rPr>
          <w:rFonts w:ascii="Calibri" w:hAnsi="Calibri" w:cs="Calibri"/>
        </w:rPr>
        <w:t> </w:t>
      </w:r>
      <w:r w:rsidRPr="0098629B">
        <w:t>000 euros (50 000 € dans le cas d'un éco-PTZ "Performance globale") pour financer un bouquet de travaux de r</w:t>
      </w:r>
      <w:r w:rsidRPr="0098629B">
        <w:rPr>
          <w:rFonts w:cs="Marianne"/>
        </w:rPr>
        <w:t>é</w:t>
      </w:r>
      <w:r w:rsidRPr="0098629B">
        <w:t xml:space="preserve">novation </w:t>
      </w:r>
      <w:r w:rsidRPr="0098629B">
        <w:rPr>
          <w:rFonts w:cs="Marianne"/>
        </w:rPr>
        <w:t>é</w:t>
      </w:r>
      <w:r w:rsidRPr="0098629B">
        <w:t>nerg</w:t>
      </w:r>
      <w:r w:rsidRPr="0098629B">
        <w:rPr>
          <w:rFonts w:cs="Marianne"/>
        </w:rPr>
        <w:t>é</w:t>
      </w:r>
      <w:r w:rsidRPr="0098629B">
        <w:t>tique. Il s</w:t>
      </w:r>
      <w:r w:rsidRPr="0098629B">
        <w:rPr>
          <w:rFonts w:cs="Marianne"/>
        </w:rPr>
        <w:t>’</w:t>
      </w:r>
      <w:r w:rsidRPr="0098629B">
        <w:t>adresse aux propri</w:t>
      </w:r>
      <w:r w:rsidRPr="0098629B">
        <w:rPr>
          <w:rFonts w:cs="Marianne"/>
        </w:rPr>
        <w:t>é</w:t>
      </w:r>
      <w:r w:rsidRPr="0098629B">
        <w:t xml:space="preserve">taires occupants ou bailleurs. </w:t>
      </w:r>
    </w:p>
    <w:p w14:paraId="09D1D074" w14:textId="77777777" w:rsidR="0018240E" w:rsidRPr="0098629B" w:rsidRDefault="0018240E" w:rsidP="0018240E">
      <w:pPr>
        <w:spacing w:before="240" w:after="240"/>
      </w:pPr>
      <w:r w:rsidRPr="0098629B">
        <w:lastRenderedPageBreak/>
        <w:t xml:space="preserve">Le </w:t>
      </w:r>
      <w:r w:rsidRPr="0098629B">
        <w:rPr>
          <w:b/>
        </w:rPr>
        <w:t>prêt avance rénovation</w:t>
      </w:r>
      <w:r w:rsidRPr="0098629B">
        <w:t xml:space="preserve"> permet de financer le reste à charge des ménages via un remboursement différé, lors de la vente du logement ou de sa transmission par succession.</w:t>
      </w:r>
    </w:p>
    <w:p w14:paraId="5136B61A" w14:textId="07E0D255" w:rsidR="0018240E" w:rsidRPr="0098629B" w:rsidRDefault="0018240E" w:rsidP="0018240E">
      <w:pPr>
        <w:spacing w:before="240" w:after="240"/>
      </w:pPr>
      <w:r w:rsidRPr="0098629B">
        <w:t xml:space="preserve">Depuis 2015, les principales mesures d’aides sont soumises à un </w:t>
      </w:r>
      <w:r w:rsidRPr="0098629B">
        <w:rPr>
          <w:b/>
          <w:bCs/>
        </w:rPr>
        <w:t xml:space="preserve">critère d’éco-conditionnalité </w:t>
      </w:r>
      <w:r w:rsidRPr="0098629B">
        <w:t>: pour en bénéficier, les particuliers doivent recourir à des entreprises RGE «</w:t>
      </w:r>
      <w:r w:rsidRPr="0098629B">
        <w:rPr>
          <w:rFonts w:ascii="Calibri" w:hAnsi="Calibri" w:cs="Calibri"/>
        </w:rPr>
        <w:t> </w:t>
      </w:r>
      <w:r w:rsidRPr="0098629B">
        <w:t>Reconnues Garantes de l</w:t>
      </w:r>
      <w:r w:rsidRPr="0098629B">
        <w:rPr>
          <w:rFonts w:cs="Marianne"/>
        </w:rPr>
        <w:t>’</w:t>
      </w:r>
      <w:r w:rsidRPr="0098629B">
        <w:t>Environnement</w:t>
      </w:r>
      <w:r w:rsidRPr="0098629B">
        <w:rPr>
          <w:rFonts w:ascii="Calibri" w:hAnsi="Calibri" w:cs="Calibri"/>
        </w:rPr>
        <w:t> </w:t>
      </w:r>
      <w:r w:rsidRPr="0098629B">
        <w:rPr>
          <w:rFonts w:cs="Marianne"/>
        </w:rPr>
        <w:t>»</w:t>
      </w:r>
      <w:r w:rsidRPr="0098629B">
        <w:t>. La comp</w:t>
      </w:r>
      <w:r w:rsidRPr="0098629B">
        <w:rPr>
          <w:rFonts w:cs="Marianne"/>
        </w:rPr>
        <w:t>é</w:t>
      </w:r>
      <w:r w:rsidRPr="0098629B">
        <w:t>tence de l</w:t>
      </w:r>
      <w:r w:rsidRPr="0098629B">
        <w:rPr>
          <w:rFonts w:cs="Marianne"/>
        </w:rPr>
        <w:t>’</w:t>
      </w:r>
      <w:r w:rsidRPr="0098629B">
        <w:t>entreprise qui intervient dans les diff</w:t>
      </w:r>
      <w:r w:rsidRPr="0098629B">
        <w:rPr>
          <w:rFonts w:cs="Marianne"/>
        </w:rPr>
        <w:t>é</w:t>
      </w:r>
      <w:r w:rsidRPr="0098629B">
        <w:t>rentes missions li</w:t>
      </w:r>
      <w:r w:rsidRPr="0098629B">
        <w:rPr>
          <w:rFonts w:cs="Marianne"/>
        </w:rPr>
        <w:t>é</w:t>
      </w:r>
      <w:r w:rsidRPr="0098629B">
        <w:t>es aux travaux dans le b</w:t>
      </w:r>
      <w:r w:rsidRPr="0098629B">
        <w:rPr>
          <w:rFonts w:cs="Marianne"/>
        </w:rPr>
        <w:t>â</w:t>
      </w:r>
      <w:r w:rsidRPr="0098629B">
        <w:t xml:space="preserve">timent est en effet un aspect essentiel de la qualité de la construction. La formation des professionnels du bâtiment est par ailleurs soutenue au travers du </w:t>
      </w:r>
      <w:r w:rsidRPr="0098629B">
        <w:rPr>
          <w:b/>
          <w:bCs/>
        </w:rPr>
        <w:t xml:space="preserve">dispositif « FEEBat » </w:t>
      </w:r>
      <w:r w:rsidRPr="0098629B">
        <w:t>(Formation aux Economies d’Energie des entreprises et artisans du Bâtiment) qui bénéficie du financement des certificats d'économies d'énergie (CEE). Ce dispositif permet aux professionnels de bénéficier de formations aux économies d’énergie dispensées par des organismes habilités à des conditions financières avantageuses sur l’ensemble du territoire. Le dispositif FEEBat est renforcé dans le cadre de la prochaine période des certificats d'économies d'énergie et en cohérence avec la mise en place de l’éco-conditionnalité des dispositifs incitatifs</w:t>
      </w:r>
      <w:r w:rsidR="00E56129" w:rsidRPr="0098629B">
        <w:t xml:space="preserve"> : </w:t>
      </w:r>
      <w:r w:rsidRPr="0098629B">
        <w:t>les objectifs de formation revus à la hausse visent 25</w:t>
      </w:r>
      <w:r w:rsidRPr="0098629B">
        <w:rPr>
          <w:rFonts w:ascii="Calibri" w:hAnsi="Calibri" w:cs="Calibri"/>
        </w:rPr>
        <w:t> </w:t>
      </w:r>
      <w:r w:rsidRPr="0098629B">
        <w:t xml:space="preserve">000 stagiaires par an et de nouveaux organismes de formation rejoignant le dispositif pour accroître sa </w:t>
      </w:r>
      <w:r w:rsidR="00E56129" w:rsidRPr="0098629B">
        <w:t>capacité.</w:t>
      </w:r>
    </w:p>
    <w:p w14:paraId="3AF4D39F" w14:textId="77777777" w:rsidR="0018240E" w:rsidRPr="0098629B" w:rsidRDefault="0018240E" w:rsidP="0018240E">
      <w:pPr>
        <w:spacing w:before="240" w:after="240"/>
      </w:pPr>
      <w:r w:rsidRPr="0098629B">
        <w:t xml:space="preserve">Le </w:t>
      </w:r>
      <w:r w:rsidRPr="0098629B">
        <w:rPr>
          <w:b/>
        </w:rPr>
        <w:t xml:space="preserve">coup de pouce économies d'énergie pour les ménages </w:t>
      </w:r>
      <w:r w:rsidRPr="0098629B">
        <w:t xml:space="preserve">prévoit la mise en place, dans le cadre du dispositif des certificats d’économies d’énergie (CEE), de bonifications de certaines opérations pour lesquelles le demandeur se sera engagé à travers une charte permettant l’octroi de primes significatives pour les ménages diminuant ainsi leur reste à charge lors des travaux. La bonification concerne des opérations pour lesquelles le demandeur des CEE est signataire de l’une des chartes d’engagement « Coup de pouce Chauffage » (remplacement d’équipements au gaz, au fioul ou au charbon par des équipements renouvelables), « Coup de pouce rénovation performante». Tous les ménages peuvent bénéficier de cette offre. Les montants de primes attribués sont cependant différenciés en fonction de leurs niveaux de ressources. Les ménages les plus modestes bénéficient de primes plus importantes. </w:t>
      </w:r>
    </w:p>
    <w:p w14:paraId="5D673BDF" w14:textId="77777777" w:rsidR="0018240E" w:rsidRPr="0098629B" w:rsidRDefault="0018240E" w:rsidP="0018240E">
      <w:pPr>
        <w:spacing w:before="240" w:after="240"/>
      </w:pPr>
      <w:r w:rsidRPr="0098629B">
        <w:rPr>
          <w:b/>
          <w:bCs/>
        </w:rPr>
        <w:t xml:space="preserve">L’éco-prêt logement social </w:t>
      </w:r>
      <w:r w:rsidRPr="0098629B">
        <w:rPr>
          <w:b/>
        </w:rPr>
        <w:t>(éco-PLS</w:t>
      </w:r>
      <w:r w:rsidRPr="0098629B">
        <w:t>) est un prêt à taux bonifié dont le taux varie en fonction de la durée et dont le montant varie en fonction de l’économie d’énergie réalisée grâce aux travaux qu’il finance. Il est accessible notamment aux organismes d’habitations à loyer modéré, aux sociétés d’économie mixte, aux communes possédant ou gérant des logements sociaux, dans le cadre de la rénovation thermique de logements énergivores. L'éco-PLS finance les travaux d’économie d’énergie permettant à un logement de passer d’une consommation d’énergie primaire supérieure à 230</w:t>
      </w:r>
      <w:r w:rsidRPr="0098629B">
        <w:rPr>
          <w:rFonts w:ascii="Calibri" w:hAnsi="Calibri" w:cs="Calibri"/>
        </w:rPr>
        <w:t> </w:t>
      </w:r>
      <w:r w:rsidRPr="0098629B">
        <w:t>kWh/m</w:t>
      </w:r>
      <w:r w:rsidRPr="0098629B">
        <w:rPr>
          <w:vertAlign w:val="superscript"/>
        </w:rPr>
        <w:t>2</w:t>
      </w:r>
      <w:r w:rsidRPr="0098629B">
        <w:t>/an à une consommation inférieure à 150</w:t>
      </w:r>
      <w:r w:rsidRPr="0098629B">
        <w:rPr>
          <w:rFonts w:ascii="Calibri" w:hAnsi="Calibri" w:cs="Calibri"/>
        </w:rPr>
        <w:t> </w:t>
      </w:r>
      <w:r w:rsidRPr="0098629B">
        <w:t>kWh/m</w:t>
      </w:r>
      <w:r w:rsidRPr="0098629B">
        <w:rPr>
          <w:vertAlign w:val="superscript"/>
        </w:rPr>
        <w:t>2</w:t>
      </w:r>
      <w:r w:rsidRPr="0098629B">
        <w:t xml:space="preserve">/an. </w:t>
      </w:r>
    </w:p>
    <w:p w14:paraId="5C70D44B" w14:textId="77777777" w:rsidR="0018240E" w:rsidRPr="0098629B" w:rsidRDefault="0018240E" w:rsidP="0018240E">
      <w:pPr>
        <w:spacing w:before="240" w:after="240"/>
      </w:pPr>
      <w:r w:rsidRPr="0098629B">
        <w:t xml:space="preserve">Outre les aides financières, des dispositifs ont été mis en place pour faciliter le financement des travaux de rénovation énergétique : </w:t>
      </w:r>
    </w:p>
    <w:p w14:paraId="6F8D2BDE" w14:textId="77777777" w:rsidR="0018240E" w:rsidRPr="0098629B" w:rsidRDefault="0018240E" w:rsidP="00573042">
      <w:pPr>
        <w:numPr>
          <w:ilvl w:val="0"/>
          <w:numId w:val="24"/>
        </w:numPr>
        <w:spacing w:before="240" w:after="240"/>
      </w:pPr>
      <w:r w:rsidRPr="0098629B">
        <w:t xml:space="preserve">Un cadre juridique complet a été mis en place sur le </w:t>
      </w:r>
      <w:r w:rsidRPr="0098629B">
        <w:rPr>
          <w:b/>
        </w:rPr>
        <w:t xml:space="preserve">tiers </w:t>
      </w:r>
      <w:r w:rsidRPr="0098629B">
        <w:rPr>
          <w:b/>
          <w:bCs/>
        </w:rPr>
        <w:t xml:space="preserve">financement. </w:t>
      </w:r>
      <w:r w:rsidRPr="0098629B">
        <w:t>Le tiers financement est une offre de rénovation énergétique incluant le financement de l’opération et un suivi post-travaux, de telle sorte que le propriétaire n’a rien à financer car les économies d’énergies futures remboursent progressivement tout ou partie de l’investissement ;</w:t>
      </w:r>
    </w:p>
    <w:p w14:paraId="15D8CFB3" w14:textId="77777777" w:rsidR="0018240E" w:rsidRPr="0098629B" w:rsidRDefault="0018240E" w:rsidP="00573042">
      <w:pPr>
        <w:numPr>
          <w:ilvl w:val="0"/>
          <w:numId w:val="31"/>
        </w:numPr>
        <w:spacing w:before="240" w:after="240"/>
      </w:pPr>
      <w:r w:rsidRPr="0098629B">
        <w:rPr>
          <w:bCs/>
        </w:rPr>
        <w:t xml:space="preserve">Un </w:t>
      </w:r>
      <w:r w:rsidRPr="0098629B">
        <w:rPr>
          <w:b/>
          <w:bCs/>
        </w:rPr>
        <w:t xml:space="preserve">fonds de garantie pour la rénovation énergétique </w:t>
      </w:r>
      <w:r w:rsidRPr="0098629B">
        <w:t xml:space="preserve">a été créé par la loi de transition énergétique pour la croissance verte (LTECV) d’août 2015 pour faciliter le financement des travaux d’amélioration de la performance énergétique des logements existants. Il permet aux organismes bancaires de bénéficier d’une garantie lors de l’octroi de prêts aux propriétaires de logements existants aux ressources modestes qui financent des travaux de rénovation énergétique. </w:t>
      </w:r>
    </w:p>
    <w:p w14:paraId="39A4B6CE" w14:textId="77777777" w:rsidR="0018240E" w:rsidRPr="0098629B" w:rsidRDefault="0018240E" w:rsidP="00573042">
      <w:pPr>
        <w:pStyle w:val="ListParagraph"/>
        <w:numPr>
          <w:ilvl w:val="0"/>
          <w:numId w:val="31"/>
        </w:numPr>
        <w:spacing w:before="240" w:after="240"/>
      </w:pPr>
      <w:r w:rsidRPr="0098629B">
        <w:t xml:space="preserve">Un </w:t>
      </w:r>
      <w:r w:rsidRPr="0098629B">
        <w:rPr>
          <w:b/>
          <w:bCs/>
        </w:rPr>
        <w:t>taux réduit de 5,5</w:t>
      </w:r>
      <w:r w:rsidRPr="0098629B">
        <w:rPr>
          <w:rFonts w:ascii="Calibri" w:hAnsi="Calibri" w:cs="Calibri"/>
          <w:b/>
          <w:bCs/>
        </w:rPr>
        <w:t> </w:t>
      </w:r>
      <w:r w:rsidRPr="0098629B">
        <w:rPr>
          <w:b/>
          <w:bCs/>
        </w:rPr>
        <w:t xml:space="preserve">% de la TVA </w:t>
      </w:r>
      <w:r w:rsidRPr="0098629B">
        <w:t xml:space="preserve">(taxe sur la valeur ajoutée) s'applique aux travaux d'amélioration de la performance énergétique des logements, ce qui permet d’en limiter les coûts.  </w:t>
      </w:r>
    </w:p>
    <w:p w14:paraId="7F05E030" w14:textId="77777777" w:rsidR="0018240E" w:rsidRPr="0098629B" w:rsidRDefault="0018240E" w:rsidP="0018240E">
      <w:pPr>
        <w:pStyle w:val="Titre4niveau4"/>
        <w:spacing w:before="240"/>
      </w:pPr>
      <w:r w:rsidRPr="0098629B">
        <w:t xml:space="preserve">Les mesures d’information et d’accompagnement </w:t>
      </w:r>
    </w:p>
    <w:p w14:paraId="1F768C19" w14:textId="77777777" w:rsidR="0018240E" w:rsidRPr="0098629B" w:rsidRDefault="0018240E" w:rsidP="0018240E">
      <w:pPr>
        <w:spacing w:before="240" w:after="240"/>
        <w:rPr>
          <w:b/>
          <w:bCs/>
        </w:rPr>
      </w:pPr>
      <w:r w:rsidRPr="0098629B">
        <w:t>Des mesures ont été mises en place pour favoriser l’information des usagers sur la performance énergétique des bâtiments qu’ils occupent, ainsi que sur les aides existantes pour la rénovation :</w:t>
      </w:r>
    </w:p>
    <w:p w14:paraId="21E95BE6" w14:textId="77777777" w:rsidR="0018240E" w:rsidRPr="0098629B" w:rsidRDefault="0018240E" w:rsidP="00573042">
      <w:pPr>
        <w:pStyle w:val="ListParagraph"/>
        <w:numPr>
          <w:ilvl w:val="0"/>
          <w:numId w:val="30"/>
        </w:numPr>
        <w:spacing w:before="240" w:after="240"/>
      </w:pPr>
      <w:r w:rsidRPr="0098629B">
        <w:t xml:space="preserve">Le </w:t>
      </w:r>
      <w:r w:rsidRPr="0098629B">
        <w:rPr>
          <w:b/>
          <w:bCs/>
        </w:rPr>
        <w:t xml:space="preserve">diagnostic de performance énergétique </w:t>
      </w:r>
      <w:r w:rsidRPr="0098629B">
        <w:t xml:space="preserve">(DPE) renseigne sur la performance énergétique d’un logement ou d’un bâtiment, en évaluant sa consommation d’énergie et son impact en termes d’émissions </w:t>
      </w:r>
      <w:r w:rsidRPr="0098629B">
        <w:lastRenderedPageBreak/>
        <w:t>de gaz à effet de serre. Le diagnostic comprend également des recommandations qui permettent à l’acquéreur, au propriétaire, au bailleur ou au locataire, de connaître les mesures les plus efficaces pour économiser de l’énergie. Depuis 2006, un DPE doit être établi à l’occasion de la vente de tout bâtiment ou partie de bâtiment, quel que soit son usage (résidentiel et tertiaire). Depuis 2007, un DPE doit être établi en cas de location d’un logement ou d’un immeuble à usage principal d’habitation. Dans le cadre de l’article 179 de la loi ELAN de 2018, depuis le 1er juillet 2021, le DPE n'est plus informatif mais opposable. A compter du 1</w:t>
      </w:r>
      <w:r w:rsidRPr="0098629B">
        <w:rPr>
          <w:vertAlign w:val="superscript"/>
        </w:rPr>
        <w:t>er</w:t>
      </w:r>
      <w:r w:rsidRPr="0098629B">
        <w:t xml:space="preserve"> avril 2023, la réalisation d’un </w:t>
      </w:r>
      <w:r w:rsidRPr="0098629B">
        <w:rPr>
          <w:b/>
        </w:rPr>
        <w:t>audit énergétique réglementaire</w:t>
      </w:r>
      <w:r w:rsidRPr="0098629B">
        <w:t>, en complément du diagnostic de performance énergétique, sera obligatoire pour toutes les ventes de maisons individuelles et de bâtiments d’habitation collective en monopropriété et présentant de faibles performances énergétiques</w:t>
      </w:r>
      <w:r w:rsidRPr="0098629B">
        <w:rPr>
          <w:rFonts w:ascii="Calibri" w:hAnsi="Calibri" w:cs="Calibri"/>
        </w:rPr>
        <w:t> </w:t>
      </w:r>
      <w:r w:rsidRPr="0098629B">
        <w:t>;</w:t>
      </w:r>
    </w:p>
    <w:p w14:paraId="10773E9B" w14:textId="77777777" w:rsidR="0018240E" w:rsidRPr="0098629B" w:rsidRDefault="0018240E" w:rsidP="00573042">
      <w:pPr>
        <w:numPr>
          <w:ilvl w:val="0"/>
          <w:numId w:val="30"/>
        </w:numPr>
        <w:spacing w:before="240" w:after="240"/>
      </w:pPr>
      <w:r w:rsidRPr="0098629B">
        <w:t xml:space="preserve">Les copropriétés construites avant 2000 comprenant 50 lots ou plus et équipées d’une installation collective de chauffage ou de refroidissement avaient l’obligation de réaliser un </w:t>
      </w:r>
      <w:r w:rsidRPr="0098629B">
        <w:rPr>
          <w:b/>
          <w:bCs/>
        </w:rPr>
        <w:t xml:space="preserve">audit énergétique </w:t>
      </w:r>
      <w:r w:rsidRPr="0098629B">
        <w:t>avant le 1</w:t>
      </w:r>
      <w:r w:rsidRPr="0098629B">
        <w:rPr>
          <w:vertAlign w:val="superscript"/>
        </w:rPr>
        <w:t>er</w:t>
      </w:r>
      <w:r w:rsidRPr="0098629B">
        <w:t xml:space="preserve"> janvier 2017. Cet audit comprend, pour chaque bâtiment de la copropriété, l’estimation de la consommation annuelle d’énergie du bâtiment liée au chauffage, au refroidissement, à la production d’eau chaude sanitaire, à l’éclairage et à la ventilation. L'audit doit comporter des propositions de travaux destinés à améliorer la performance énergétique du bâtiment ; </w:t>
      </w:r>
    </w:p>
    <w:p w14:paraId="49A96EB0" w14:textId="77777777" w:rsidR="0018240E" w:rsidRPr="0098629B" w:rsidRDefault="0018240E" w:rsidP="00573042">
      <w:pPr>
        <w:numPr>
          <w:ilvl w:val="0"/>
          <w:numId w:val="30"/>
        </w:numPr>
        <w:spacing w:before="240" w:after="240"/>
      </w:pPr>
      <w:r w:rsidRPr="0098629B">
        <w:t>Depuis 2012, pour les locaux professionnels à usage de bureaux ou de commerces d’une surface supérieure à 2</w:t>
      </w:r>
      <w:r w:rsidRPr="0098629B">
        <w:rPr>
          <w:rFonts w:ascii="Calibri" w:hAnsi="Calibri" w:cs="Calibri"/>
        </w:rPr>
        <w:t> </w:t>
      </w:r>
      <w:r w:rsidRPr="0098629B">
        <w:t>000</w:t>
      </w:r>
      <w:r w:rsidRPr="0098629B">
        <w:rPr>
          <w:rFonts w:ascii="Calibri" w:hAnsi="Calibri" w:cs="Calibri"/>
        </w:rPr>
        <w:t> </w:t>
      </w:r>
      <w:r w:rsidRPr="0098629B">
        <w:t>m</w:t>
      </w:r>
      <w:r w:rsidRPr="0098629B">
        <w:rPr>
          <w:rFonts w:cs="Marianne"/>
        </w:rPr>
        <w:t>²</w:t>
      </w:r>
      <w:r w:rsidRPr="0098629B">
        <w:t xml:space="preserve">, une </w:t>
      </w:r>
      <w:r w:rsidRPr="0098629B">
        <w:rPr>
          <w:b/>
          <w:bCs/>
        </w:rPr>
        <w:t xml:space="preserve">annexe environnementale </w:t>
      </w:r>
      <w:r w:rsidRPr="0098629B">
        <w:t xml:space="preserve">(dite annexe verte) doit accompagner le contrat pour les baux nouvellement conclus ou renouvelés. Depuis juillet 2013, elle est obligatoire pour tous les baux en cours. L’annexe environnementale doit comporter un descriptif des caractéristiques énergétiques des équipements et des systèmes, leur consommation réelle d’eau et d’énergie et la quantité de déchets générée par le bâtiment. </w:t>
      </w:r>
    </w:p>
    <w:p w14:paraId="0408407D" w14:textId="77777777" w:rsidR="0018240E" w:rsidRPr="0098629B" w:rsidRDefault="0018240E" w:rsidP="00573042">
      <w:pPr>
        <w:numPr>
          <w:ilvl w:val="0"/>
          <w:numId w:val="30"/>
        </w:numPr>
        <w:spacing w:before="240" w:after="240"/>
      </w:pPr>
      <w:r w:rsidRPr="0098629B">
        <w:t>La mise en place du service public de la rénovation de l’habitat, baptisé France Rénov’ depuis le 1</w:t>
      </w:r>
      <w:r w:rsidRPr="0098629B">
        <w:rPr>
          <w:vertAlign w:val="superscript"/>
        </w:rPr>
        <w:t>er</w:t>
      </w:r>
      <w:r w:rsidRPr="0098629B">
        <w:t xml:space="preserve"> janvier 2022. Il est constitué d’un ensemble de guichets uniques qui informent, conseillent et accompagnent les ménages dans leur projet de rénovation de leur logement. </w:t>
      </w:r>
    </w:p>
    <w:p w14:paraId="4B9EBA20" w14:textId="77777777" w:rsidR="0018240E" w:rsidRPr="0098629B" w:rsidRDefault="0018240E" w:rsidP="0018240E">
      <w:pPr>
        <w:spacing w:before="240" w:after="240"/>
      </w:pPr>
      <w:r w:rsidRPr="0098629B">
        <w:t xml:space="preserve">Par ailleurs, différents dispositifs visent à lever certains des freins à la décision de rénovation des logements ou au recours à des usages vertueux : </w:t>
      </w:r>
    </w:p>
    <w:p w14:paraId="235738BD" w14:textId="77777777" w:rsidR="0018240E" w:rsidRPr="0098629B" w:rsidRDefault="0018240E" w:rsidP="00573042">
      <w:pPr>
        <w:numPr>
          <w:ilvl w:val="0"/>
          <w:numId w:val="29"/>
        </w:numPr>
        <w:spacing w:before="240" w:after="240"/>
      </w:pPr>
      <w:r w:rsidRPr="0098629B">
        <w:t xml:space="preserve">L’asymétrie entre les propriétaires-bailleurs, qui supportent la charge des travaux, et les locataires, qui bénéficient des économies d’énergie induites est réduite avec la possibilité d’un </w:t>
      </w:r>
      <w:r w:rsidRPr="0098629B">
        <w:rPr>
          <w:b/>
          <w:bCs/>
        </w:rPr>
        <w:t>partage des économies de charges entre propriétaires et locataires</w:t>
      </w:r>
      <w:r w:rsidRPr="0098629B">
        <w:t xml:space="preserve">. Le propriétaire peut demander à son locataire une participation financière mensuelle après la réalisation de travaux d’économies d’énergie, à hauteur de la moitié de l’économie de charges réalisée. Cette participation prend la forme d’une nouvelle ligne inscrite sur la quittance de loyer qui perdurera pour une durée de 15 ans. Cette participation n’est néanmoins possible que si le bailleur réalise un bouquet de travaux performants comportant </w:t>
      </w:r>
      <w:r w:rsidRPr="0098629B">
        <w:rPr>
          <w:i/>
          <w:iCs/>
        </w:rPr>
        <w:t xml:space="preserve">a minima </w:t>
      </w:r>
      <w:r w:rsidRPr="0098629B">
        <w:t xml:space="preserve">deux actions ou permettant d’atteindre un niveau de performance minimal, et qu’il a engagé une démarche de concertation avec son locataire ; </w:t>
      </w:r>
    </w:p>
    <w:p w14:paraId="64287FB4" w14:textId="77777777" w:rsidR="0018240E" w:rsidRPr="0098629B" w:rsidRDefault="0018240E" w:rsidP="00573042">
      <w:pPr>
        <w:numPr>
          <w:ilvl w:val="0"/>
          <w:numId w:val="28"/>
        </w:numPr>
        <w:spacing w:before="240" w:after="240"/>
      </w:pPr>
      <w:r w:rsidRPr="0098629B">
        <w:t xml:space="preserve">Dans un immeuble chauffé collectivement, le partage de la facture avait l’habitude de se faire selon les tantièmes ou au </w:t>
      </w:r>
      <w:r w:rsidRPr="0098629B">
        <w:rPr>
          <w:i/>
          <w:iCs/>
        </w:rPr>
        <w:t xml:space="preserve">prorata </w:t>
      </w:r>
      <w:r w:rsidRPr="0098629B">
        <w:t xml:space="preserve">de la surface de l’appartement, même si la consommation de chauffage diffère d’un logement à l’autre. </w:t>
      </w:r>
      <w:r w:rsidRPr="0098629B">
        <w:rPr>
          <w:b/>
          <w:bCs/>
        </w:rPr>
        <w:t xml:space="preserve">L’individualisation des frais de chauffage </w:t>
      </w:r>
      <w:r w:rsidRPr="0098629B">
        <w:t xml:space="preserve">consiste à faire payer à l’occupant sa consommation réelle de chauffage. Cela permet une meilleure information de l’occupant et l’incite à maîtriser sa consommation. La loi de transition énergétique pour la croissance verte d’août 2015 prévoit la </w:t>
      </w:r>
      <w:r w:rsidRPr="0098629B">
        <w:rPr>
          <w:b/>
          <w:bCs/>
        </w:rPr>
        <w:t xml:space="preserve">généralisation </w:t>
      </w:r>
      <w:r w:rsidRPr="0098629B">
        <w:t>de ce dispositif, qui était jusqu’à présent obligatoire uniquement pour les bâtiments d’habitation énergivores. L’obligation de l’individualisation des frais de chauffage est ainsi élargie à tous les bâtiments d’habitation, ainsi qu’au secteur tertiaire, sauf en cas d’impossibilité technique ou de nécessité de modifier l’ensemble de l’installation de chauffage. Dans le cadre de l'article 71 de la loi ELAN de 2018, l'obligation d'installer un dispositif d'individualisation des frais de consommation d'énergie est étendue aux réseaux de froid</w:t>
      </w:r>
      <w:r w:rsidRPr="0098629B">
        <w:rPr>
          <w:rFonts w:ascii="Calibri" w:hAnsi="Calibri" w:cs="Calibri"/>
        </w:rPr>
        <w:t> </w:t>
      </w:r>
      <w:r w:rsidRPr="0098629B">
        <w:t>;</w:t>
      </w:r>
    </w:p>
    <w:p w14:paraId="00B7FC74" w14:textId="77777777" w:rsidR="0018240E" w:rsidRPr="0098629B" w:rsidRDefault="0018240E" w:rsidP="0018240E">
      <w:pPr>
        <w:pStyle w:val="Titre4niveau4"/>
        <w:spacing w:before="240"/>
      </w:pPr>
      <w:r w:rsidRPr="0098629B">
        <w:lastRenderedPageBreak/>
        <w:t>Les obligations de travaux</w:t>
      </w:r>
    </w:p>
    <w:p w14:paraId="2D5C9C5F" w14:textId="77777777" w:rsidR="0018240E" w:rsidRPr="0098629B" w:rsidRDefault="0018240E" w:rsidP="0018240E">
      <w:pPr>
        <w:spacing w:before="240" w:after="240"/>
      </w:pPr>
      <w:r w:rsidRPr="0098629B">
        <w:t xml:space="preserve">Une mesure introduite par la LTECV d’août 2015 concerne </w:t>
      </w:r>
      <w:r w:rsidRPr="0098629B">
        <w:rPr>
          <w:b/>
          <w:bCs/>
        </w:rPr>
        <w:t xml:space="preserve">l’obligation de mettre en œuvre une isolation thermique lorsque de gros travaux de rénovation de bâtiments sont réalisés </w:t>
      </w:r>
      <w:r w:rsidRPr="0098629B">
        <w:t>: ravalement de façade, réfection de toiture, et transformation de garages, combles, ou pièces non aménagées en pièces habitables. Cette mesure permet de saisir les opportunités de travaux importants de réhabilitation choisis par un maître d’ouvrage pour y associer à moindre coût des travaux de rénovation énergétique et ainsi diminuer les besoins en énergie du bâtiment. Cette obligation s’applique pour les devis d’engagement de prestation de maîtrise d’œuvre signés depuis le 1</w:t>
      </w:r>
      <w:r w:rsidRPr="0098629B">
        <w:rPr>
          <w:vertAlign w:val="superscript"/>
        </w:rPr>
        <w:t>er</w:t>
      </w:r>
      <w:r w:rsidRPr="0098629B">
        <w:t xml:space="preserve"> janvier 2017 pour les bâtiments à usage d’habitation, de bureaux, de commerce, d’enseignement et les hôtels. L’isolation installée doit conduire à une performance thermique conforme à la règlementation thermique par élément. Les travaux d’isolation peuvent bénéficier par ailleurs d’aides financières (crédit d’impôt transition énergétique, éco-prêt à taux zéro, certificats d’économies d’énergie). </w:t>
      </w:r>
    </w:p>
    <w:p w14:paraId="54E7C520" w14:textId="77777777" w:rsidR="0018240E" w:rsidRPr="0098629B" w:rsidRDefault="0018240E" w:rsidP="0018240E">
      <w:pPr>
        <w:spacing w:before="240" w:after="240"/>
      </w:pPr>
      <w:r w:rsidRPr="0098629B">
        <w:t xml:space="preserve">Pour le tertiaire public, depuis le 1er septembre 2017, toutes les nouvelles constructions de bâtiments sous maîtrise d’ouvrage de l’État, de ses établissements publics ou des collectivités territoriales doivent faire preuve </w:t>
      </w:r>
      <w:r w:rsidRPr="0098629B">
        <w:rPr>
          <w:b/>
        </w:rPr>
        <w:t>d’exemplarité énergétique et environnementale</w:t>
      </w:r>
      <w:r w:rsidRPr="0098629B">
        <w:t xml:space="preserve"> et doivent être, chaque fois que possible, à énergie positive et à haute performance environnementale. </w:t>
      </w:r>
    </w:p>
    <w:p w14:paraId="5A822F15" w14:textId="77777777" w:rsidR="0018240E" w:rsidRPr="0098629B" w:rsidRDefault="0018240E" w:rsidP="0018240E">
      <w:pPr>
        <w:spacing w:before="240" w:after="240"/>
      </w:pPr>
      <w:r w:rsidRPr="0098629B">
        <w:t>Par ailleurs, les bâtiments, parties de bâtiments ou ensemble de bâtiments à usage tertiaire dont la surface est supérieure à 1</w:t>
      </w:r>
      <w:r w:rsidRPr="0098629B">
        <w:rPr>
          <w:rFonts w:ascii="Calibri" w:hAnsi="Calibri" w:cs="Calibri"/>
        </w:rPr>
        <w:t> </w:t>
      </w:r>
      <w:r w:rsidRPr="0098629B">
        <w:t>000</w:t>
      </w:r>
      <w:r w:rsidRPr="0098629B">
        <w:rPr>
          <w:rFonts w:ascii="Calibri" w:hAnsi="Calibri" w:cs="Calibri"/>
        </w:rPr>
        <w:t> </w:t>
      </w:r>
      <w:r w:rsidRPr="0098629B">
        <w:t>m</w:t>
      </w:r>
      <w:r w:rsidRPr="0098629B">
        <w:rPr>
          <w:rFonts w:cs="Marianne"/>
        </w:rPr>
        <w:t>²</w:t>
      </w:r>
      <w:r w:rsidRPr="0098629B">
        <w:t xml:space="preserve"> sont soumis </w:t>
      </w:r>
      <w:r w:rsidRPr="0098629B">
        <w:rPr>
          <w:rFonts w:cs="Marianne"/>
        </w:rPr>
        <w:t>à</w:t>
      </w:r>
      <w:r w:rsidRPr="0098629B">
        <w:t xml:space="preserve"> des </w:t>
      </w:r>
      <w:r w:rsidRPr="0098629B">
        <w:rPr>
          <w:b/>
        </w:rPr>
        <w:t>obligations d'actions de réduction des consommations d'énergie</w:t>
      </w:r>
      <w:r w:rsidRPr="0098629B">
        <w:t>. Ils doivent atteindre, pour chacune des années 2030, 2040 et 2050, les objectifs suivants : soit un niveau de consommation d'énergie finale réduit, respectivement, de 40</w:t>
      </w:r>
      <w:r w:rsidRPr="0098629B">
        <w:rPr>
          <w:rFonts w:ascii="Calibri" w:hAnsi="Calibri" w:cs="Calibri"/>
        </w:rPr>
        <w:t> </w:t>
      </w:r>
      <w:r w:rsidRPr="0098629B">
        <w:t>%, 50</w:t>
      </w:r>
      <w:r w:rsidRPr="0098629B">
        <w:rPr>
          <w:rFonts w:ascii="Calibri" w:hAnsi="Calibri" w:cs="Calibri"/>
        </w:rPr>
        <w:t> </w:t>
      </w:r>
      <w:r w:rsidRPr="0098629B">
        <w:t>% et 60</w:t>
      </w:r>
      <w:r w:rsidRPr="0098629B">
        <w:rPr>
          <w:rFonts w:ascii="Calibri" w:hAnsi="Calibri" w:cs="Calibri"/>
        </w:rPr>
        <w:t> </w:t>
      </w:r>
      <w:r w:rsidRPr="0098629B">
        <w:t xml:space="preserve">% par rapport </w:t>
      </w:r>
      <w:r w:rsidRPr="0098629B">
        <w:rPr>
          <w:rFonts w:cs="Marianne"/>
        </w:rPr>
        <w:t>à</w:t>
      </w:r>
      <w:r w:rsidRPr="0098629B">
        <w:t xml:space="preserve"> une consommation </w:t>
      </w:r>
      <w:r w:rsidRPr="0098629B">
        <w:rPr>
          <w:rFonts w:cs="Marianne"/>
        </w:rPr>
        <w:t>é</w:t>
      </w:r>
      <w:r w:rsidRPr="0098629B">
        <w:t>nerg</w:t>
      </w:r>
      <w:r w:rsidRPr="0098629B">
        <w:rPr>
          <w:rFonts w:cs="Marianne"/>
        </w:rPr>
        <w:t>é</w:t>
      </w:r>
      <w:r w:rsidRPr="0098629B">
        <w:t>tique de r</w:t>
      </w:r>
      <w:r w:rsidRPr="0098629B">
        <w:rPr>
          <w:rFonts w:cs="Marianne"/>
        </w:rPr>
        <w:t>é</w:t>
      </w:r>
      <w:r w:rsidRPr="0098629B">
        <w:t>f</w:t>
      </w:r>
      <w:r w:rsidRPr="0098629B">
        <w:rPr>
          <w:rFonts w:cs="Marianne"/>
        </w:rPr>
        <w:t>é</w:t>
      </w:r>
      <w:r w:rsidRPr="0098629B">
        <w:t xml:space="preserve">rence qui ne peut </w:t>
      </w:r>
      <w:r w:rsidRPr="0098629B">
        <w:rPr>
          <w:rFonts w:cs="Marianne"/>
        </w:rPr>
        <w:t>ê</w:t>
      </w:r>
      <w:r w:rsidRPr="0098629B">
        <w:t>tre ant</w:t>
      </w:r>
      <w:r w:rsidRPr="0098629B">
        <w:rPr>
          <w:rFonts w:cs="Marianne"/>
        </w:rPr>
        <w:t>é</w:t>
      </w:r>
      <w:r w:rsidRPr="0098629B">
        <w:t xml:space="preserve">rieure </w:t>
      </w:r>
      <w:r w:rsidRPr="0098629B">
        <w:rPr>
          <w:rFonts w:cs="Marianne"/>
        </w:rPr>
        <w:t>à</w:t>
      </w:r>
      <w:r w:rsidRPr="0098629B">
        <w:t xml:space="preserve"> 2010, soit un niveau de consommation d'énergie finale fixé en valeur absolue, en fonction de la consommation énergétique des bâtiments nouveaux de leur catégorie. Le décret («</w:t>
      </w:r>
      <w:r w:rsidRPr="0098629B">
        <w:rPr>
          <w:rFonts w:ascii="Calibri" w:hAnsi="Calibri" w:cs="Calibri"/>
        </w:rPr>
        <w:t> </w:t>
      </w:r>
      <w:r w:rsidRPr="0098629B">
        <w:t>d</w:t>
      </w:r>
      <w:r w:rsidRPr="0098629B">
        <w:rPr>
          <w:rFonts w:cs="Marianne"/>
        </w:rPr>
        <w:t>é</w:t>
      </w:r>
      <w:r w:rsidRPr="0098629B">
        <w:t>cret tertiaire</w:t>
      </w:r>
      <w:r w:rsidRPr="0098629B">
        <w:rPr>
          <w:rFonts w:ascii="Calibri" w:hAnsi="Calibri" w:cs="Calibri"/>
        </w:rPr>
        <w:t> </w:t>
      </w:r>
      <w:r w:rsidRPr="0098629B">
        <w:rPr>
          <w:rFonts w:cs="Marianne"/>
        </w:rPr>
        <w:t>»</w:t>
      </w:r>
      <w:r w:rsidRPr="0098629B">
        <w:t>) pris en application de la loi ELAN (Evolution du Logement, de l</w:t>
      </w:r>
      <w:r w:rsidRPr="0098629B">
        <w:rPr>
          <w:rFonts w:cs="Marianne"/>
        </w:rPr>
        <w:t>’</w:t>
      </w:r>
      <w:r w:rsidRPr="0098629B">
        <w:t>Am</w:t>
      </w:r>
      <w:r w:rsidRPr="0098629B">
        <w:rPr>
          <w:rFonts w:cs="Marianne"/>
        </w:rPr>
        <w:t>é</w:t>
      </w:r>
      <w:r w:rsidRPr="0098629B">
        <w:t>nagement et du Num</w:t>
      </w:r>
      <w:r w:rsidRPr="0098629B">
        <w:rPr>
          <w:rFonts w:cs="Marianne"/>
        </w:rPr>
        <w:t>é</w:t>
      </w:r>
      <w:r w:rsidRPr="0098629B">
        <w:t>rique) est entré en vigueur en 2019.</w:t>
      </w:r>
    </w:p>
    <w:p w14:paraId="4F5521AE" w14:textId="77777777" w:rsidR="0018240E" w:rsidRPr="0098629B" w:rsidRDefault="0018240E" w:rsidP="0018240E">
      <w:pPr>
        <w:spacing w:before="240" w:after="240"/>
      </w:pPr>
      <w:r w:rsidRPr="0098629B">
        <w:t>La loi énergie-climat de 2019 crée des obligations de rénovation des passoires énergétiques à horizon 2028.  Une première phase incitative prévoit l’obligation dès le 1</w:t>
      </w:r>
      <w:r w:rsidRPr="0098629B">
        <w:rPr>
          <w:vertAlign w:val="superscript"/>
        </w:rPr>
        <w:t>er</w:t>
      </w:r>
      <w:r w:rsidRPr="0098629B">
        <w:t xml:space="preserve"> avril 2023 de réaliser un audit énergétique en cas de mise en vente ou location d’une passoire thermique, contenant des propositions de travaux adaptés au logement ainsi que leur coût estimé, et d’informer l’acquéreur ou locataire sur ses futures dépenses en énergie. Il est prévu dans une deuxième phase une obligation avant 2028 pour les propriétaires de passoires thermiques de réaliser des travaux d’amélioration de la performance énergétique de leur logement.</w:t>
      </w:r>
    </w:p>
    <w:p w14:paraId="0FF9DD04" w14:textId="77777777" w:rsidR="0018240E" w:rsidRPr="0098629B" w:rsidRDefault="0018240E" w:rsidP="0018240E">
      <w:pPr>
        <w:pStyle w:val="Titre4niveau4"/>
        <w:spacing w:before="240"/>
      </w:pPr>
      <w:r w:rsidRPr="0098629B">
        <w:t xml:space="preserve">Améliorer l’efficacité énergétique des autres types d’équipement </w:t>
      </w:r>
    </w:p>
    <w:p w14:paraId="7FA09CE5" w14:textId="77777777" w:rsidR="0018240E" w:rsidRPr="0098629B" w:rsidRDefault="0018240E" w:rsidP="0018240E">
      <w:pPr>
        <w:spacing w:before="240" w:after="240"/>
      </w:pPr>
      <w:r w:rsidRPr="0098629B">
        <w:t>La directive-cadre européenne 2009/125/CE établit un cadre pour la fixation d'exigences en matière d'</w:t>
      </w:r>
      <w:r w:rsidRPr="0098629B">
        <w:rPr>
          <w:b/>
          <w:bCs/>
        </w:rPr>
        <w:t xml:space="preserve">écoconception </w:t>
      </w:r>
      <w:r w:rsidRPr="0098629B">
        <w:t>applicables aux produits liés à l'énergie. Un ensemble de règlements d’exécution de la directive-cadre ont été adoptés à ce jour couvrant de nombreux produits, et en particulier les règlements suivants qui ont un impact sur la consommation d’énergie du résidentiel/tertiaire (consommation d’électricité spécifique, cuisson, éclairage et chauffage) :</w:t>
      </w:r>
    </w:p>
    <w:p w14:paraId="4FAFF11B" w14:textId="77777777" w:rsidR="0018240E" w:rsidRPr="0098629B" w:rsidRDefault="0018240E" w:rsidP="00573042">
      <w:pPr>
        <w:numPr>
          <w:ilvl w:val="0"/>
          <w:numId w:val="28"/>
        </w:numPr>
        <w:spacing w:before="240" w:after="240"/>
      </w:pPr>
      <w:r w:rsidRPr="0098629B">
        <w:t xml:space="preserve">Des règlements horizontaux s’appliquant de manière systématique à tous types d’équipements comme les modes « veille et arrêt » ; </w:t>
      </w:r>
    </w:p>
    <w:p w14:paraId="2BC172A6" w14:textId="77777777" w:rsidR="0018240E" w:rsidRPr="0098629B" w:rsidRDefault="0018240E" w:rsidP="00573042">
      <w:pPr>
        <w:numPr>
          <w:ilvl w:val="0"/>
          <w:numId w:val="28"/>
        </w:numPr>
        <w:spacing w:before="240" w:after="240"/>
      </w:pPr>
      <w:r w:rsidRPr="0098629B">
        <w:t xml:space="preserve">Des règlements sur les produits dits « blancs » : appareils de froid, lave-linge, lave-vaisselle, sèche-linge ; appareils de cuisine comme les fours, les hottes, et les tables de cuisson ; les aspirateurs ; </w:t>
      </w:r>
    </w:p>
    <w:p w14:paraId="37581BFA" w14:textId="77777777" w:rsidR="0018240E" w:rsidRPr="0098629B" w:rsidRDefault="0018240E" w:rsidP="00573042">
      <w:pPr>
        <w:numPr>
          <w:ilvl w:val="0"/>
          <w:numId w:val="28"/>
        </w:numPr>
        <w:spacing w:before="240" w:after="240"/>
      </w:pPr>
      <w:r w:rsidRPr="0098629B">
        <w:t xml:space="preserve">Des règlements sur les produits « électroniques » : téléviseurs, ordinateurs et serveurs, décodeurs et alimentations externes ; </w:t>
      </w:r>
    </w:p>
    <w:p w14:paraId="4A361F36" w14:textId="77777777" w:rsidR="0018240E" w:rsidRPr="0098629B" w:rsidRDefault="0018240E" w:rsidP="00573042">
      <w:pPr>
        <w:numPr>
          <w:ilvl w:val="0"/>
          <w:numId w:val="28"/>
        </w:numPr>
        <w:spacing w:before="240" w:after="240"/>
      </w:pPr>
      <w:r w:rsidRPr="0098629B">
        <w:t xml:space="preserve">Des règlements sur les appareils de chauffage et de climatisation : chaudières (tous combustibles), chauffe-eau, chauffage mixte, pompes à chaleur et cogénération, appareils indépendants ; climatiseurs et ventilateurs ; </w:t>
      </w:r>
    </w:p>
    <w:p w14:paraId="195828D8" w14:textId="77777777" w:rsidR="0018240E" w:rsidRPr="0098629B" w:rsidRDefault="0018240E" w:rsidP="00573042">
      <w:pPr>
        <w:numPr>
          <w:ilvl w:val="0"/>
          <w:numId w:val="28"/>
        </w:numPr>
        <w:spacing w:before="240" w:after="240"/>
      </w:pPr>
      <w:r w:rsidRPr="0098629B">
        <w:lastRenderedPageBreak/>
        <w:t xml:space="preserve">Des règlements sur l’éclairage : éclairage domestique. </w:t>
      </w:r>
    </w:p>
    <w:p w14:paraId="6623B238" w14:textId="77777777" w:rsidR="0018240E" w:rsidRPr="0098629B" w:rsidRDefault="0018240E" w:rsidP="0018240E">
      <w:pPr>
        <w:spacing w:before="240" w:after="240"/>
      </w:pPr>
      <w:r w:rsidRPr="0098629B">
        <w:rPr>
          <w:b/>
          <w:bCs/>
        </w:rPr>
        <w:t xml:space="preserve">L’étiquetage énergétique </w:t>
      </w:r>
      <w:r w:rsidRPr="0098629B">
        <w:t>(encadré par la directive (UE) 2017/1369) vient compléter le dispositif en aidant le consommateur à s’orienter vers les produits les plus sobres. La gamme des produits soumis à cette obligation est progressivement élargie.</w:t>
      </w:r>
    </w:p>
    <w:p w14:paraId="027900B0" w14:textId="77777777" w:rsidR="0018240E" w:rsidRPr="0098629B" w:rsidRDefault="0018240E" w:rsidP="0018240E">
      <w:pPr>
        <w:pStyle w:val="Titre4niveau4"/>
        <w:spacing w:before="240"/>
      </w:pPr>
      <w:r w:rsidRPr="0098629B">
        <w:t xml:space="preserve">Mesures visant à réduire les émissions de HFC des bâtiments </w:t>
      </w:r>
    </w:p>
    <w:p w14:paraId="3BFD5CC4" w14:textId="36230AB5" w:rsidR="0018240E" w:rsidRDefault="0018240E" w:rsidP="006E0C3B">
      <w:pPr>
        <w:spacing w:before="240" w:after="240"/>
      </w:pPr>
      <w:r w:rsidRPr="0098629B">
        <w:t xml:space="preserve">Les émissions de gaz fluorés dans le secteur des bâtiments proviennent des équipements de production de froid (froid domestique pour le résidentiel et froid commercial pour le tertiaire), de climatisation à air et des pompes à chaleur. </w:t>
      </w:r>
      <w:r w:rsidRPr="0098629B">
        <w:rPr>
          <w:b/>
          <w:bCs/>
        </w:rPr>
        <w:t xml:space="preserve">Le règlement européen n° 517/2014 (dit « F-Gas II ») </w:t>
      </w:r>
      <w:r w:rsidRPr="0098629B">
        <w:t xml:space="preserve">met en place un certain nombre de dispositions visant à réduire les émissions de gaz fluorés des équipements de réfrigération et de climatisation utilisés dans les bâtiments, mais également dans tous les autres secteurs utilisant ce type d’équipements (industrie et transports frigorifiques) (cf. description détaillée du règlement F-Gas II dans la section </w:t>
      </w:r>
      <w:r w:rsidR="00B04A7C" w:rsidRPr="0098629B">
        <w:fldChar w:fldCharType="begin"/>
      </w:r>
      <w:r w:rsidR="00B04A7C" w:rsidRPr="0098629B">
        <w:instrText xml:space="preserve"> REF _Ref123290406 \r \h </w:instrText>
      </w:r>
      <w:r w:rsidR="0098629B">
        <w:instrText xml:space="preserve"> \* MERGEFORMAT </w:instrText>
      </w:r>
      <w:r w:rsidR="00B04A7C" w:rsidRPr="0098629B">
        <w:fldChar w:fldCharType="separate"/>
      </w:r>
      <w:r w:rsidR="00677B3C">
        <w:t>C.3.2</w:t>
      </w:r>
      <w:r w:rsidR="00B04A7C" w:rsidRPr="0098629B">
        <w:fldChar w:fldCharType="end"/>
      </w:r>
      <w:r w:rsidRPr="0098629B">
        <w:t>.</w:t>
      </w:r>
    </w:p>
    <w:p w14:paraId="240135E8" w14:textId="5A6F7F4F" w:rsidR="0098629B" w:rsidRPr="0098629B" w:rsidRDefault="0098629B" w:rsidP="006E0C3B">
      <w:pPr>
        <w:spacing w:before="240" w:after="240"/>
      </w:pPr>
      <w:r w:rsidRPr="0098629B">
        <w:t>Ce règlement européen est en cours de révision, afin de réduire encore davantage les émissions européennes de ces puissants gaz à effet de serre et d’aider l'Union à atteindre ses objectifs de réduction des émissions d'au moins 55 % d'ici à 2030 et de neutralité climatique d'ici à 2050 (soit une réduction supplémentaire des émissions de 310</w:t>
      </w:r>
      <w:r>
        <w:t> MtCO</w:t>
      </w:r>
      <w:r w:rsidRPr="0098629B">
        <w:rPr>
          <w:vertAlign w:val="subscript"/>
        </w:rPr>
        <w:t>2e</w:t>
      </w:r>
      <w:r w:rsidRPr="0098629B">
        <w:t xml:space="preserve"> d'ici à 2050.)</w:t>
      </w:r>
    </w:p>
    <w:p w14:paraId="1A68C919" w14:textId="6665585D" w:rsidR="00630A34" w:rsidRPr="0098629B" w:rsidRDefault="00630A34" w:rsidP="00B04A7C">
      <w:pPr>
        <w:pStyle w:val="Titre3Niveau3"/>
        <w:rPr>
          <w:lang w:eastAsia="en-US"/>
        </w:rPr>
      </w:pPr>
      <w:bookmarkStart w:id="59" w:name="_Toc121149512"/>
      <w:bookmarkStart w:id="60" w:name="_Toc138344597"/>
      <w:r w:rsidRPr="0098629B">
        <w:rPr>
          <w:lang w:eastAsia="en-US"/>
        </w:rPr>
        <w:t>Industrie manufacturière</w:t>
      </w:r>
      <w:bookmarkEnd w:id="59"/>
      <w:bookmarkEnd w:id="60"/>
    </w:p>
    <w:p w14:paraId="32D640F1" w14:textId="569EC1C5" w:rsidR="00CC6750" w:rsidRPr="0098629B" w:rsidRDefault="00CC6750" w:rsidP="00CC6750">
      <w:pPr>
        <w:spacing w:before="240" w:after="240"/>
      </w:pPr>
      <w:r w:rsidRPr="0098629B">
        <w:t>L’industrie manufacturière a contribué à hauteur de 19% des émissions de gaz à effet de serre de la France en 2020. C’est le 3</w:t>
      </w:r>
      <w:r w:rsidRPr="0098629B">
        <w:rPr>
          <w:vertAlign w:val="superscript"/>
        </w:rPr>
        <w:t>ème</w:t>
      </w:r>
      <w:r w:rsidRPr="0098629B">
        <w:t xml:space="preserve"> secteur le plus émetteur après l’agriculture et les transports. Les émissions de ce secteur sont dominées par les industries produisant des produits de base intensifs en </w:t>
      </w:r>
      <w:r w:rsidR="00811B0F" w:rsidRPr="0098629B">
        <w:t>CO</w:t>
      </w:r>
      <w:r w:rsidR="00811B0F" w:rsidRPr="0098629B">
        <w:rPr>
          <w:vertAlign w:val="subscript"/>
        </w:rPr>
        <w:t>2</w:t>
      </w:r>
      <w:r w:rsidRPr="0098629B">
        <w:t xml:space="preserve"> comme la métallurgie, la chimie ou la fabrication de minéraux non métalliques (ciment, chaux, verre, etc.). Le </w:t>
      </w:r>
      <w:r w:rsidR="00811B0F" w:rsidRPr="0098629B">
        <w:t>CO</w:t>
      </w:r>
      <w:r w:rsidR="00811B0F" w:rsidRPr="0098629B">
        <w:rPr>
          <w:vertAlign w:val="subscript"/>
        </w:rPr>
        <w:t>2</w:t>
      </w:r>
      <w:r w:rsidRPr="0098629B">
        <w:t xml:space="preserve"> est le principal gaz à effet de serre émis par le secteur de l’industrie manufacturière (94 %), suivis des gaz fluorés (4,5 %) et du </w:t>
      </w:r>
      <w:r w:rsidR="00891B49" w:rsidRPr="0098629B">
        <w:t>N</w:t>
      </w:r>
      <w:r w:rsidR="00891B49" w:rsidRPr="0098629B">
        <w:rPr>
          <w:vertAlign w:val="subscript"/>
        </w:rPr>
        <w:t>2</w:t>
      </w:r>
      <w:r w:rsidR="00891B49" w:rsidRPr="0098629B">
        <w:t>O</w:t>
      </w:r>
      <w:r w:rsidRPr="0098629B">
        <w:t xml:space="preserve"> (1,6 %).</w:t>
      </w:r>
    </w:p>
    <w:p w14:paraId="6086233C" w14:textId="7887016B" w:rsidR="00CC6750" w:rsidRPr="0098629B" w:rsidRDefault="00CC6750" w:rsidP="00CC6750">
      <w:pPr>
        <w:pStyle w:val="Titre4niveau4"/>
        <w:spacing w:before="240"/>
      </w:pPr>
      <w:r w:rsidRPr="0098629B">
        <w:t xml:space="preserve">Mesures visant à réduire les émissions de </w:t>
      </w:r>
      <w:r w:rsidR="00811B0F" w:rsidRPr="0098629B">
        <w:t>CO</w:t>
      </w:r>
      <w:r w:rsidR="00811B0F" w:rsidRPr="0098629B">
        <w:rPr>
          <w:vertAlign w:val="subscript"/>
        </w:rPr>
        <w:t>2</w:t>
      </w:r>
      <w:r w:rsidRPr="0098629B">
        <w:t xml:space="preserve"> de l’industrie </w:t>
      </w:r>
    </w:p>
    <w:p w14:paraId="15028BCB" w14:textId="4B43FD10" w:rsidR="00CC6750" w:rsidRPr="0098629B" w:rsidRDefault="00CC6750" w:rsidP="00CC6750">
      <w:pPr>
        <w:spacing w:before="240" w:after="240"/>
      </w:pPr>
      <w:r w:rsidRPr="0098629B">
        <w:t xml:space="preserve">Le </w:t>
      </w:r>
      <w:r w:rsidRPr="0098629B">
        <w:rPr>
          <w:b/>
          <w:bCs/>
        </w:rPr>
        <w:t xml:space="preserve">système européen d'échange de quotas d'émissions </w:t>
      </w:r>
      <w:r w:rsidRPr="0098629B">
        <w:rPr>
          <w:bCs/>
        </w:rPr>
        <w:t>(EU ETS)</w:t>
      </w:r>
      <w:r w:rsidRPr="0098629B">
        <w:rPr>
          <w:b/>
          <w:bCs/>
        </w:rPr>
        <w:t xml:space="preserve"> </w:t>
      </w:r>
      <w:r w:rsidRPr="0098629B">
        <w:t>joue un rôle structurant en plafonnant les émissions des installations industrielles de l’Union européenne. Celui-ci a été sensiblement renforcé pour la phase 2021-2030 avec la révision de la directive «</w:t>
      </w:r>
      <w:r w:rsidRPr="0098629B">
        <w:rPr>
          <w:rFonts w:ascii="Calibri" w:hAnsi="Calibri" w:cs="Calibri"/>
        </w:rPr>
        <w:t xml:space="preserve"> </w:t>
      </w:r>
      <w:r w:rsidRPr="0098629B">
        <w:t>EU ETS</w:t>
      </w:r>
      <w:r w:rsidRPr="0098629B">
        <w:rPr>
          <w:rFonts w:ascii="Calibri" w:hAnsi="Calibri" w:cs="Calibri"/>
        </w:rPr>
        <w:t> </w:t>
      </w:r>
      <w:r w:rsidRPr="0098629B">
        <w:rPr>
          <w:rFonts w:cs="Marianne"/>
        </w:rPr>
        <w:t>»</w:t>
      </w:r>
      <w:r w:rsidRPr="0098629B">
        <w:t xml:space="preserve"> entr</w:t>
      </w:r>
      <w:r w:rsidRPr="0098629B">
        <w:rPr>
          <w:rFonts w:cs="Marianne"/>
        </w:rPr>
        <w:t>é</w:t>
      </w:r>
      <w:r w:rsidRPr="0098629B">
        <w:t xml:space="preserve">e en vigueur en avril 2018. Cela a conduit </w:t>
      </w:r>
      <w:r w:rsidRPr="0098629B">
        <w:rPr>
          <w:rFonts w:cs="Marianne"/>
        </w:rPr>
        <w:t>à</w:t>
      </w:r>
      <w:r w:rsidRPr="0098629B">
        <w:t xml:space="preserve"> une forte augmentation du prix du carbone, qui est passé de 6 €/t</w:t>
      </w:r>
      <w:r w:rsidR="00811B0F" w:rsidRPr="0098629B">
        <w:t>CO</w:t>
      </w:r>
      <w:r w:rsidR="00811B0F" w:rsidRPr="0098629B">
        <w:rPr>
          <w:vertAlign w:val="subscript"/>
        </w:rPr>
        <w:t>2</w:t>
      </w:r>
      <w:r w:rsidRPr="0098629B">
        <w:t xml:space="preserve"> en moyenne sur l’année 2017 à 25€/t</w:t>
      </w:r>
      <w:r w:rsidR="00811B0F" w:rsidRPr="0098629B">
        <w:t>CO</w:t>
      </w:r>
      <w:r w:rsidR="00811B0F" w:rsidRPr="0098629B">
        <w:rPr>
          <w:vertAlign w:val="subscript"/>
        </w:rPr>
        <w:t>2</w:t>
      </w:r>
      <w:r w:rsidRPr="0098629B">
        <w:t xml:space="preserve"> en 2019 et 2020, puis 54€/t</w:t>
      </w:r>
      <w:r w:rsidR="00811B0F" w:rsidRPr="0098629B">
        <w:t>CO</w:t>
      </w:r>
      <w:r w:rsidR="00811B0F" w:rsidRPr="0098629B">
        <w:rPr>
          <w:vertAlign w:val="subscript"/>
        </w:rPr>
        <w:t>2</w:t>
      </w:r>
      <w:r w:rsidRPr="0098629B">
        <w:t xml:space="preserve"> en 2021. Sur la période de janvier à novembre 2022, le prix moyen du carbone s’élève à 81€/t</w:t>
      </w:r>
      <w:r w:rsidR="00811B0F" w:rsidRPr="0098629B">
        <w:t>CO</w:t>
      </w:r>
      <w:r w:rsidR="00811B0F" w:rsidRPr="0098629B">
        <w:rPr>
          <w:vertAlign w:val="subscript"/>
        </w:rPr>
        <w:t>2</w:t>
      </w:r>
      <w:r w:rsidRPr="0098629B">
        <w:t xml:space="preserve">. </w:t>
      </w:r>
    </w:p>
    <w:p w14:paraId="1DB999CE" w14:textId="08C73FA4" w:rsidR="00CC6750" w:rsidRPr="0098629B" w:rsidRDefault="00CC6750" w:rsidP="00CC6750">
      <w:pPr>
        <w:spacing w:before="240" w:after="240"/>
      </w:pPr>
      <w:r w:rsidRPr="0098629B">
        <w:t>Le système européen d’échange de quotas d’émission est en cours de révision dans le cadre des négociations européennes du paquet «</w:t>
      </w:r>
      <w:r w:rsidRPr="0098629B">
        <w:rPr>
          <w:rFonts w:ascii="Calibri" w:hAnsi="Calibri" w:cs="Calibri"/>
        </w:rPr>
        <w:t> </w:t>
      </w:r>
      <w:r w:rsidRPr="0098629B">
        <w:t>Ajustement à l’objectif 55</w:t>
      </w:r>
      <w:r w:rsidRPr="0098629B">
        <w:rPr>
          <w:rFonts w:ascii="Calibri" w:hAnsi="Calibri" w:cs="Calibri"/>
        </w:rPr>
        <w:t> </w:t>
      </w:r>
      <w:r w:rsidRPr="0098629B">
        <w:rPr>
          <w:rFonts w:cs="Marianne"/>
        </w:rPr>
        <w:t>»</w:t>
      </w:r>
      <w:r w:rsidRPr="0098629B">
        <w:t xml:space="preserve">. Cette révision vise à aligner l’EU ETS avec le nouvel objectif européen d’une réduction des émissions de l’UE de -55% net en 2030 par rapport à 1990, et devrait ainsi aboutir à un renforcement sensible de l’ambition de l’EU ETS pour 2030, notamment une baisse du plafond d’émission. </w:t>
      </w:r>
    </w:p>
    <w:p w14:paraId="744E2A02" w14:textId="42D22235" w:rsidR="00CC6750" w:rsidRPr="0098629B" w:rsidRDefault="00CC6750" w:rsidP="00CC6750">
      <w:pPr>
        <w:spacing w:before="240" w:after="240"/>
      </w:pPr>
      <w:r w:rsidRPr="0098629B">
        <w:t xml:space="preserve">Par ailleurs, au niveau national, des moyens importants sont déployés pour la décarbonation de l’industrie. Ainsi, le </w:t>
      </w:r>
      <w:r w:rsidRPr="0098629B">
        <w:rPr>
          <w:b/>
        </w:rPr>
        <w:t>fonds décarbonation de l’industrie</w:t>
      </w:r>
      <w:r w:rsidRPr="0098629B">
        <w:t xml:space="preserve"> mis en œuvre dans le cadre du Plan de Relance sur la période 2020-2022 a été doté d’une enveloppe d’1,2 milliard d’euros. Ce fonds permet de soutenir la production de chaleur à partir de biomasse, le déploiement de projets d’efficacité énergétique et de décarbonation des procédés industriels, à travers différents appels à projets opérés par l’ADEME (Agence de la Transition Ecologique). Près de 230 projets ont été soutenus permettant une réduction des émissions estimée à 4,5</w:t>
      </w:r>
      <w:r w:rsidR="00D13348" w:rsidRPr="0098629B">
        <w:t> </w:t>
      </w:r>
      <w:r w:rsidRPr="0098629B">
        <w:t>Mt</w:t>
      </w:r>
      <w:r w:rsidR="00811B0F" w:rsidRPr="0098629B">
        <w:t>CO</w:t>
      </w:r>
      <w:r w:rsidR="00811B0F" w:rsidRPr="0098629B">
        <w:rPr>
          <w:vertAlign w:val="subscript"/>
        </w:rPr>
        <w:t>2</w:t>
      </w:r>
      <w:r w:rsidR="00891B49" w:rsidRPr="0098629B">
        <w:rPr>
          <w:vertAlign w:val="subscript"/>
        </w:rPr>
        <w:t>e</w:t>
      </w:r>
      <w:r w:rsidRPr="0098629B">
        <w:t xml:space="preserve">/an. </w:t>
      </w:r>
    </w:p>
    <w:p w14:paraId="75AE7513" w14:textId="77777777" w:rsidR="00CC6750" w:rsidRPr="0098629B" w:rsidRDefault="00CC6750" w:rsidP="00CC6750">
      <w:pPr>
        <w:spacing w:after="120"/>
        <w:rPr>
          <w:rFonts w:cs="Arial"/>
        </w:rPr>
      </w:pPr>
      <w:r w:rsidRPr="0098629B">
        <w:rPr>
          <w:rFonts w:cs="Arial"/>
        </w:rPr>
        <w:t xml:space="preserve">Pour la période 2022-2026, le </w:t>
      </w:r>
      <w:r w:rsidRPr="0098629B">
        <w:rPr>
          <w:rFonts w:cs="Arial"/>
          <w:b/>
        </w:rPr>
        <w:t>plan d’investissement «</w:t>
      </w:r>
      <w:r w:rsidRPr="0098629B">
        <w:rPr>
          <w:rFonts w:ascii="Calibri" w:hAnsi="Calibri" w:cs="Calibri"/>
          <w:b/>
        </w:rPr>
        <w:t> </w:t>
      </w:r>
      <w:r w:rsidRPr="0098629B">
        <w:rPr>
          <w:rFonts w:cs="Arial"/>
          <w:b/>
        </w:rPr>
        <w:t>France 2030</w:t>
      </w:r>
      <w:r w:rsidRPr="0098629B">
        <w:rPr>
          <w:rFonts w:ascii="Calibri" w:hAnsi="Calibri" w:cs="Calibri"/>
          <w:b/>
        </w:rPr>
        <w:t> </w:t>
      </w:r>
      <w:r w:rsidRPr="0098629B">
        <w:rPr>
          <w:rFonts w:cs="Marianne"/>
          <w:b/>
        </w:rPr>
        <w:t>»</w:t>
      </w:r>
      <w:r w:rsidRPr="0098629B">
        <w:rPr>
          <w:rFonts w:cs="Arial"/>
        </w:rPr>
        <w:t xml:space="preserve"> consacre 5,6 milliards d’euros à la décarbonation de l’industrie suivant deux grands axes</w:t>
      </w:r>
      <w:r w:rsidRPr="0098629B">
        <w:rPr>
          <w:rFonts w:ascii="Calibri" w:hAnsi="Calibri" w:cs="Calibri"/>
        </w:rPr>
        <w:t> </w:t>
      </w:r>
      <w:r w:rsidRPr="0098629B">
        <w:rPr>
          <w:rFonts w:cs="Arial"/>
        </w:rPr>
        <w:t>:</w:t>
      </w:r>
    </w:p>
    <w:p w14:paraId="40CE5EE6" w14:textId="77777777" w:rsidR="00CC6750" w:rsidRPr="0098629B" w:rsidRDefault="00CC6750" w:rsidP="00573042">
      <w:pPr>
        <w:pStyle w:val="ListParagraph"/>
        <w:numPr>
          <w:ilvl w:val="0"/>
          <w:numId w:val="33"/>
        </w:numPr>
        <w:spacing w:after="120" w:line="256" w:lineRule="auto"/>
        <w:rPr>
          <w:rFonts w:cs="Arial"/>
        </w:rPr>
      </w:pPr>
      <w:r w:rsidRPr="0098629B">
        <w:rPr>
          <w:rFonts w:cs="Arial"/>
        </w:rPr>
        <w:t>5 milliards d’euros sont consacrés au déploiement de solutions de décarbonation des sites industriels, via 2 volets à mettre en œuvre d’ici fin 2022</w:t>
      </w:r>
      <w:r w:rsidRPr="0098629B">
        <w:rPr>
          <w:rFonts w:ascii="Calibri" w:hAnsi="Calibri" w:cs="Calibri"/>
        </w:rPr>
        <w:t> </w:t>
      </w:r>
      <w:r w:rsidRPr="0098629B">
        <w:rPr>
          <w:rFonts w:cs="Arial"/>
        </w:rPr>
        <w:t>:</w:t>
      </w:r>
    </w:p>
    <w:p w14:paraId="481B8747" w14:textId="77777777" w:rsidR="00CC6750" w:rsidRPr="0098629B" w:rsidRDefault="00CC6750" w:rsidP="00573042">
      <w:pPr>
        <w:pStyle w:val="ListParagraph"/>
        <w:numPr>
          <w:ilvl w:val="1"/>
          <w:numId w:val="33"/>
        </w:numPr>
        <w:spacing w:after="120" w:line="256" w:lineRule="auto"/>
        <w:rPr>
          <w:rFonts w:cs="Arial"/>
        </w:rPr>
      </w:pPr>
      <w:r w:rsidRPr="0098629B">
        <w:rPr>
          <w:rFonts w:cs="Arial"/>
        </w:rPr>
        <w:lastRenderedPageBreak/>
        <w:t>4 milliards d’euros pour le soutien à la décarbonation profonde de sites industriels très émetteurs (par exemple, la sidérurgie, la chimie lourde, le ciment, l’aluminium),</w:t>
      </w:r>
    </w:p>
    <w:p w14:paraId="632193F2" w14:textId="77777777" w:rsidR="00CC6750" w:rsidRPr="0098629B" w:rsidRDefault="00CC6750" w:rsidP="00573042">
      <w:pPr>
        <w:pStyle w:val="ListParagraph"/>
        <w:numPr>
          <w:ilvl w:val="1"/>
          <w:numId w:val="33"/>
        </w:numPr>
        <w:spacing w:after="120" w:line="256" w:lineRule="auto"/>
        <w:rPr>
          <w:rFonts w:cs="Arial"/>
        </w:rPr>
      </w:pPr>
      <w:r w:rsidRPr="0098629B">
        <w:rPr>
          <w:rFonts w:cs="Arial"/>
        </w:rPr>
        <w:t>1 milliards d’euros pour le déploiement de solutions plus matures dans le tissu industriel français, notamment la chaleur bas carbone et l’efficacité énergétique.</w:t>
      </w:r>
    </w:p>
    <w:p w14:paraId="1A358CFF" w14:textId="77777777" w:rsidR="00CC6750" w:rsidRPr="0098629B" w:rsidRDefault="00CC6750" w:rsidP="00573042">
      <w:pPr>
        <w:pStyle w:val="ListParagraph"/>
        <w:numPr>
          <w:ilvl w:val="0"/>
          <w:numId w:val="33"/>
        </w:numPr>
        <w:rPr>
          <w:rFonts w:cs="Arial"/>
        </w:rPr>
      </w:pPr>
      <w:r w:rsidRPr="0098629B">
        <w:rPr>
          <w:rFonts w:cs="Arial"/>
        </w:rPr>
        <w:t xml:space="preserve">610 millions d’euros sont dédiés à l’émergence et l’industrialisation de solutions de décarbonation de l’industrie (soutien à l’innovation). </w:t>
      </w:r>
    </w:p>
    <w:p w14:paraId="136EE390" w14:textId="77777777" w:rsidR="00CC6750" w:rsidRPr="0098629B" w:rsidRDefault="00CC6750" w:rsidP="00CC6750">
      <w:pPr>
        <w:spacing w:before="240" w:after="240"/>
      </w:pPr>
      <w:r w:rsidRPr="0098629B">
        <w:t xml:space="preserve">Outre les soutiens publics, un important travail d’élaboration de </w:t>
      </w:r>
      <w:r w:rsidRPr="0098629B">
        <w:rPr>
          <w:b/>
        </w:rPr>
        <w:t>feuilles de route de décarbonation des secteurs industriels</w:t>
      </w:r>
      <w:r w:rsidRPr="0098629B">
        <w:t xml:space="preserve"> a également été lancé par le Gouvernement avec les acteurs industriels depuis 2019, pour engager l’industrie dans la transition. Certaines filières ont ainsi publié des feuilles de route (Chimie, Mines métallurgie, Papier Carton, Ciment), qui constituent des engagements croisés Etat / filière d’ici à 2030. </w:t>
      </w:r>
    </w:p>
    <w:p w14:paraId="201CC562" w14:textId="77777777" w:rsidR="00CC6750" w:rsidRPr="0098629B" w:rsidRDefault="00CC6750" w:rsidP="00CC6750">
      <w:pPr>
        <w:spacing w:before="240" w:after="240"/>
      </w:pPr>
      <w:r w:rsidRPr="0098629B">
        <w:t>Par ailleurs, l’ADEME est en train de construire depuis 2020 des Plans de Transition Sectoriels avec les 9 secteurs industriels les plus émetteurs (acier, aluminium, verre, ciment, éthylène, chlore, ammoniac, papier/carton, sucre), une initiative méthodologique proposant de modéliser différents scénarios de trajectoire de décarbonation à échéance 2050, quantifier les impacts sur les coûts de production, évaluer les besoins d’investissements climat et analyser les mutations en emplois. Ces plans sont élaborés dans le cadre du projet européen LIFE Finance Climat et seront finalisés d’ici 2024.</w:t>
      </w:r>
    </w:p>
    <w:p w14:paraId="0ACD11AD" w14:textId="77777777" w:rsidR="00CC6750" w:rsidRPr="0098629B" w:rsidRDefault="00CC6750" w:rsidP="00CC6750">
      <w:pPr>
        <w:spacing w:before="240" w:after="240"/>
      </w:pPr>
      <w:r w:rsidRPr="0098629B">
        <w:t>Des réductions d’émissions de gaz à effet de serre dans l’industrie sont aussi générées par certaines mesures transversales (rapportées dans la section ‘réduction des consommations d’énergie dans l’ensemble des secteurs’)</w:t>
      </w:r>
      <w:r w:rsidRPr="0098629B">
        <w:rPr>
          <w:rFonts w:ascii="Calibri" w:hAnsi="Calibri" w:cs="Calibri"/>
        </w:rPr>
        <w:t> </w:t>
      </w:r>
      <w:r w:rsidRPr="0098629B">
        <w:t xml:space="preserve">: dispositif des </w:t>
      </w:r>
      <w:r w:rsidRPr="0098629B">
        <w:rPr>
          <w:b/>
        </w:rPr>
        <w:t>certificats d’économies d’énergie</w:t>
      </w:r>
      <w:r w:rsidRPr="0098629B">
        <w:t xml:space="preserve">, </w:t>
      </w:r>
      <w:r w:rsidRPr="0098629B">
        <w:rPr>
          <w:b/>
        </w:rPr>
        <w:t>fonds chaleur de l’Ademe</w:t>
      </w:r>
      <w:r w:rsidRPr="0098629B">
        <w:t xml:space="preserve"> et </w:t>
      </w:r>
      <w:r w:rsidRPr="0098629B">
        <w:rPr>
          <w:b/>
        </w:rPr>
        <w:t>obligation de réalisation d’audits énergétiques</w:t>
      </w:r>
      <w:r w:rsidRPr="0098629B">
        <w:t xml:space="preserve"> pour les grandes entreprises. L’industrie peut également bénéficier des financements du </w:t>
      </w:r>
      <w:r w:rsidRPr="0098629B">
        <w:rPr>
          <w:b/>
        </w:rPr>
        <w:t>Programme des Investissements d’Avenir (PIA)</w:t>
      </w:r>
      <w:r w:rsidRPr="0098629B">
        <w:t xml:space="preserve"> pour des projets d’innovation dans le domaine de la transition écologique et énergétique.  </w:t>
      </w:r>
    </w:p>
    <w:p w14:paraId="782BE1DA" w14:textId="77777777" w:rsidR="00CC6750" w:rsidRPr="0098629B" w:rsidRDefault="00CC6750" w:rsidP="00CC6750">
      <w:pPr>
        <w:spacing w:before="240" w:after="240"/>
      </w:pPr>
      <w:r w:rsidRPr="0098629B">
        <w:t>Certains dispositifs complémentaires spécifiques pour les entreprises industrielles ont par ailleurs été mis en place</w:t>
      </w:r>
      <w:r w:rsidRPr="0098629B">
        <w:rPr>
          <w:rFonts w:ascii="Calibri" w:hAnsi="Calibri" w:cs="Calibri"/>
        </w:rPr>
        <w:t> </w:t>
      </w:r>
      <w:r w:rsidRPr="0098629B">
        <w:t xml:space="preserve">: </w:t>
      </w:r>
    </w:p>
    <w:p w14:paraId="46845764" w14:textId="77777777" w:rsidR="00CC6750" w:rsidRPr="0098629B" w:rsidRDefault="00CC6750" w:rsidP="00573042">
      <w:pPr>
        <w:numPr>
          <w:ilvl w:val="0"/>
          <w:numId w:val="32"/>
        </w:numPr>
        <w:spacing w:before="240" w:after="240"/>
      </w:pPr>
      <w:r w:rsidRPr="0098629B">
        <w:t xml:space="preserve">Le </w:t>
      </w:r>
      <w:r w:rsidRPr="0098629B">
        <w:rPr>
          <w:b/>
        </w:rPr>
        <w:t>Prêt Eco Énergie</w:t>
      </w:r>
      <w:r w:rsidRPr="0098629B">
        <w:t>, allant de 10 000€ à 500 000€, permet de financer l’acquisition ou les travaux d’installation réalisés par les TPE et petites PME qui investissent dans des équipements générateurs de certificats d’économies d’énergie ;</w:t>
      </w:r>
    </w:p>
    <w:p w14:paraId="5E196015" w14:textId="77777777" w:rsidR="00CC6750" w:rsidRPr="0098629B" w:rsidRDefault="00CC6750" w:rsidP="00573042">
      <w:pPr>
        <w:numPr>
          <w:ilvl w:val="0"/>
          <w:numId w:val="32"/>
        </w:numPr>
        <w:spacing w:before="240" w:after="240"/>
      </w:pPr>
      <w:r w:rsidRPr="0098629B">
        <w:t xml:space="preserve">Le dispositif des </w:t>
      </w:r>
      <w:r w:rsidRPr="0098629B">
        <w:rPr>
          <w:b/>
          <w:bCs/>
        </w:rPr>
        <w:t xml:space="preserve">« Aides à la décision » </w:t>
      </w:r>
      <w:r w:rsidRPr="0098629B">
        <w:t xml:space="preserve">de l’Ademe subventionne la réalisation d’études sur l’efficacité énergétique dans l’industrie, dont des diagnostics énergétiques, tant qu’ils ne sont pas rendus obligatoires par la réglementation, ainsi que la mise en place de systèmes de management de l’énergie ; </w:t>
      </w:r>
    </w:p>
    <w:p w14:paraId="0E87EDC8" w14:textId="77777777" w:rsidR="00CC6750" w:rsidRPr="0098629B" w:rsidRDefault="00CC6750" w:rsidP="00573042">
      <w:pPr>
        <w:numPr>
          <w:ilvl w:val="0"/>
          <w:numId w:val="32"/>
        </w:numPr>
        <w:spacing w:before="240" w:after="240"/>
      </w:pPr>
      <w:r w:rsidRPr="0098629B">
        <w:t xml:space="preserve">Le </w:t>
      </w:r>
      <w:r w:rsidRPr="0098629B">
        <w:rPr>
          <w:b/>
          <w:bCs/>
        </w:rPr>
        <w:t>programme de formation PROREFEI</w:t>
      </w:r>
      <w:r w:rsidRPr="0098629B">
        <w:rPr>
          <w:bCs/>
        </w:rPr>
        <w:t>, lancé en 2018 et financé par le dispositif des certificats d’économies d’énergie, v</w:t>
      </w:r>
      <w:r w:rsidRPr="0098629B">
        <w:t>ise à former les personnes en charge de la gestion de l’énergie dans les entreprises pour en faire de véritables référents énergie qui seront à même de concevoir, mettre en place et coordonner des actions permettant d’améliorer la performance énergétique de leurs sites. Il vise également à créer un réseau de référents énergie qui auront accès notamment aux retours d’expérience de l’ensemble de la communauté et à une veille technique et réglementaire</w:t>
      </w:r>
      <w:r w:rsidRPr="0098629B">
        <w:rPr>
          <w:rFonts w:ascii="Calibri" w:hAnsi="Calibri" w:cs="Calibri"/>
        </w:rPr>
        <w:t> </w:t>
      </w:r>
      <w:r w:rsidRPr="0098629B">
        <w:t>;</w:t>
      </w:r>
    </w:p>
    <w:p w14:paraId="0FB9D791" w14:textId="77777777" w:rsidR="00CC6750" w:rsidRPr="0098629B" w:rsidRDefault="00CC6750" w:rsidP="00573042">
      <w:pPr>
        <w:numPr>
          <w:ilvl w:val="0"/>
          <w:numId w:val="32"/>
        </w:numPr>
        <w:spacing w:before="240" w:after="240"/>
      </w:pPr>
      <w:r w:rsidRPr="0098629B">
        <w:t xml:space="preserve">Le </w:t>
      </w:r>
      <w:r w:rsidRPr="0098629B">
        <w:rPr>
          <w:b/>
        </w:rPr>
        <w:t>programme INVEEST</w:t>
      </w:r>
      <w:r w:rsidRPr="0098629B">
        <w:t>, également financé par le dispositif des certificats d’économies d’énergie, s’adresse aux acteurs financiers (banquiers, commissaires aux comptes, experts comptables, etc.). Grâce à un programme de formation et d’accompagnement combinant expertises énergétique, financière et industrielle, ce programme vise à accélérer le financement de projets d’efficacité énergétique dans l’industrie</w:t>
      </w:r>
      <w:r w:rsidRPr="0098629B">
        <w:rPr>
          <w:rFonts w:ascii="Calibri" w:hAnsi="Calibri" w:cs="Calibri"/>
        </w:rPr>
        <w:t> </w:t>
      </w:r>
      <w:r w:rsidRPr="0098629B">
        <w:t>;</w:t>
      </w:r>
    </w:p>
    <w:p w14:paraId="678F9B35" w14:textId="77777777" w:rsidR="00CC6750" w:rsidRPr="0098629B" w:rsidRDefault="00CC6750" w:rsidP="00573042">
      <w:pPr>
        <w:pStyle w:val="ListParagraph"/>
        <w:numPr>
          <w:ilvl w:val="0"/>
          <w:numId w:val="32"/>
        </w:numPr>
        <w:spacing w:before="240" w:after="240"/>
      </w:pPr>
      <w:r w:rsidRPr="0098629B">
        <w:t>Depuis le 1</w:t>
      </w:r>
      <w:r w:rsidRPr="0098629B">
        <w:rPr>
          <w:vertAlign w:val="superscript"/>
        </w:rPr>
        <w:t>er</w:t>
      </w:r>
      <w:r w:rsidRPr="0098629B">
        <w:t xml:space="preserve"> janvier 2015, en application de l’article 14 de la directive 2012/27/UE relative à l’efficacité énergétique, les installations industrielles générant de la </w:t>
      </w:r>
      <w:r w:rsidRPr="0098629B">
        <w:rPr>
          <w:b/>
        </w:rPr>
        <w:t>chaleur fatale</w:t>
      </w:r>
      <w:r w:rsidRPr="0098629B">
        <w:t xml:space="preserve"> non valorisée doivent réaliser une </w:t>
      </w:r>
      <w:r w:rsidRPr="0098629B">
        <w:rPr>
          <w:b/>
          <w:bCs/>
        </w:rPr>
        <w:t xml:space="preserve">analyse coûts-avantages </w:t>
      </w:r>
      <w:r w:rsidRPr="0098629B">
        <w:t xml:space="preserve">lorsqu'il s'agit d'installations nouvelles et en cas de rénovation substantielle. Cette analyse permet d'évaluer pour un industriel la rentabilité de la valorisation de la chaleur fatale par un raccordement à un réseau de chaleur ou de froid et s'accompagne de la mise en œuvre des solutions jugées </w:t>
      </w:r>
      <w:r w:rsidRPr="0098629B">
        <w:lastRenderedPageBreak/>
        <w:t>rentables. Les principaux secteurs industriels concernés par la mesure sont la chimie, la production de verre, ciment, chaux, plâtre, papier-carton, la transformation des métaux et l'agroalimentaire ;</w:t>
      </w:r>
    </w:p>
    <w:p w14:paraId="0B422FAD" w14:textId="77777777" w:rsidR="00CC6750" w:rsidRPr="0098629B" w:rsidRDefault="00CC6750" w:rsidP="00573042">
      <w:pPr>
        <w:numPr>
          <w:ilvl w:val="0"/>
          <w:numId w:val="32"/>
        </w:numPr>
        <w:spacing w:before="240" w:after="240"/>
      </w:pPr>
      <w:r w:rsidRPr="0098629B">
        <w:t xml:space="preserve">Depuis 2016, les entreprises fortement consommatrices d'électricité peuvent bénéficier d'une </w:t>
      </w:r>
      <w:r w:rsidRPr="0098629B">
        <w:rPr>
          <w:b/>
        </w:rPr>
        <w:t>réduction sur le tarif d'utilisation des réseaux publics d'électricité (TURPE)</w:t>
      </w:r>
      <w:r w:rsidRPr="0098629B">
        <w:t>. En contrepartie, elles doivent mettre en œuvre une politique de performance énergétique (mettre en œuvre un système de management de l'énergie selon la norme ISO 50001, atteindre dans un délai de 5 ans un objectif de performance suivi au moyen d'indicateurs faisant l'objet d'une certification et élaborer un plan de performance énergétique pour atteindre cet objectif) ;</w:t>
      </w:r>
    </w:p>
    <w:p w14:paraId="052BB726" w14:textId="77777777" w:rsidR="00CC6750" w:rsidRPr="0098629B" w:rsidRDefault="00CC6750" w:rsidP="00CC6750">
      <w:pPr>
        <w:pStyle w:val="Titre4niveau4"/>
        <w:spacing w:before="240"/>
      </w:pPr>
      <w:bookmarkStart w:id="61" w:name="_Ref123290406"/>
      <w:r w:rsidRPr="0098629B">
        <w:t>Mesures visant à réduire les émissions de gaz fluorés de l’industrie</w:t>
      </w:r>
      <w:bookmarkEnd w:id="61"/>
      <w:r w:rsidRPr="0098629B">
        <w:t xml:space="preserve"> </w:t>
      </w:r>
    </w:p>
    <w:p w14:paraId="791DE23A" w14:textId="77777777" w:rsidR="00CC6750" w:rsidRPr="0098629B" w:rsidRDefault="00CC6750" w:rsidP="00CC6750">
      <w:pPr>
        <w:spacing w:before="240" w:after="240"/>
      </w:pPr>
      <w:r w:rsidRPr="0098629B">
        <w:t xml:space="preserve">Depuis 2013, les émissions de perfluorocarbures (PFC) de la production d'aluminium sont soumises au </w:t>
      </w:r>
      <w:r w:rsidRPr="0098629B">
        <w:rPr>
          <w:b/>
        </w:rPr>
        <w:t>système européen d'échange de quotas d'émissions</w:t>
      </w:r>
      <w:r w:rsidRPr="0098629B">
        <w:t xml:space="preserve">. </w:t>
      </w:r>
    </w:p>
    <w:p w14:paraId="0A7CB878" w14:textId="77777777" w:rsidR="00CC6750" w:rsidRPr="0098629B" w:rsidRDefault="00CC6750" w:rsidP="00CC6750">
      <w:pPr>
        <w:spacing w:before="240" w:after="240"/>
      </w:pPr>
      <w:r w:rsidRPr="0098629B">
        <w:t xml:space="preserve">Le </w:t>
      </w:r>
      <w:r w:rsidRPr="0098629B">
        <w:rPr>
          <w:b/>
        </w:rPr>
        <w:t xml:space="preserve">règlement européen n° 517/2014 </w:t>
      </w:r>
      <w:r w:rsidRPr="0098629B">
        <w:t>(dit « F-Gas II ») met en place un certain nombre de dispositions visant à réduire les émissions de gaz fluorés issues des équipements de climatisation et de froid, notamment le froid industriel (cf. description détaillée du règlement dans la section B.8). La révision de ce règlement «</w:t>
      </w:r>
      <w:r w:rsidRPr="0098629B">
        <w:rPr>
          <w:rFonts w:ascii="Calibri" w:hAnsi="Calibri" w:cs="Calibri"/>
        </w:rPr>
        <w:t> </w:t>
      </w:r>
      <w:r w:rsidRPr="0098629B">
        <w:t>F-Gas</w:t>
      </w:r>
      <w:r w:rsidRPr="0098629B">
        <w:rPr>
          <w:rFonts w:ascii="Calibri" w:hAnsi="Calibri" w:cs="Calibri"/>
        </w:rPr>
        <w:t> </w:t>
      </w:r>
      <w:r w:rsidRPr="0098629B">
        <w:rPr>
          <w:rFonts w:cs="Marianne"/>
        </w:rPr>
        <w:t>»</w:t>
      </w:r>
      <w:r w:rsidRPr="0098629B">
        <w:t xml:space="preserve"> est engagée afin de réduire encore plus fortement la production et la mise sur le marché de gaz à effet de serre fluorés sur le territoire de l’Union européenne. La proposition actuellement discutée entre les Etats-membres prévoit notamment une diminution de 95% de la mise sur le marché de HFC d’ici 2030 par rapport à 2015 (contre 80% selon le règlement F-Gaz actuellement en vigueur).</w:t>
      </w:r>
    </w:p>
    <w:p w14:paraId="6DBD8E8F" w14:textId="7F9A7E1A" w:rsidR="00CC6750" w:rsidRPr="0098629B" w:rsidRDefault="00CC6750" w:rsidP="00CC6750">
      <w:pPr>
        <w:spacing w:before="240" w:after="240"/>
      </w:pPr>
      <w:r w:rsidRPr="0098629B">
        <w:t>Au niveau national, la loi de finances pour 2019 avait prévu la mise en place à partir du 1</w:t>
      </w:r>
      <w:r w:rsidRPr="0098629B">
        <w:rPr>
          <w:vertAlign w:val="superscript"/>
        </w:rPr>
        <w:t>er</w:t>
      </w:r>
      <w:r w:rsidRPr="0098629B">
        <w:t xml:space="preserve"> janvier 2021 d’une </w:t>
      </w:r>
      <w:r w:rsidRPr="0098629B">
        <w:rPr>
          <w:b/>
        </w:rPr>
        <w:t>taxe sur les HFC</w:t>
      </w:r>
      <w:r w:rsidRPr="0098629B">
        <w:t xml:space="preserve"> dont le tarif devait évoluer de la manière suivante : 15€ par tonne équivalent </w:t>
      </w:r>
      <w:r w:rsidR="00811B0F" w:rsidRPr="0098629B">
        <w:t>CO</w:t>
      </w:r>
      <w:r w:rsidR="00811B0F" w:rsidRPr="0098629B">
        <w:rPr>
          <w:vertAlign w:val="subscript"/>
        </w:rPr>
        <w:t>2</w:t>
      </w:r>
      <w:r w:rsidRPr="0098629B">
        <w:t xml:space="preserve"> en 2021, 18€ en 2022, 22€ en 2023, 26€ en 2024 et 30€ à compter de 2025. L’entrée en vigueur de la taxe HFC a été repoussée au 1</w:t>
      </w:r>
      <w:r w:rsidRPr="0098629B">
        <w:rPr>
          <w:vertAlign w:val="superscript"/>
        </w:rPr>
        <w:t>er</w:t>
      </w:r>
      <w:r w:rsidRPr="0098629B">
        <w:t xml:space="preserve"> janvier 2025 par la loi de finances 2022 compte tenu de l’atteinte des objectifs de réduction </w:t>
      </w:r>
      <w:r w:rsidRPr="0098629B">
        <w:rPr>
          <w:rFonts w:cstheme="minorHAnsi"/>
        </w:rPr>
        <w:t xml:space="preserve">de l’utilisation de HFC qui avaient été fixés aux professionnels du froid et de la réfrigération en 2019. </w:t>
      </w:r>
    </w:p>
    <w:p w14:paraId="1C130248" w14:textId="77777777" w:rsidR="00CC6750" w:rsidRPr="0098629B" w:rsidRDefault="00CC6750" w:rsidP="00CC6750">
      <w:pPr>
        <w:spacing w:before="240" w:after="240"/>
      </w:pPr>
      <w:r w:rsidRPr="0098629B">
        <w:t>La loi de finances pour 2019 a également créé un dispositif de suramortissement destiné à accompagner, jusqu'à la fin 2022, l’effort d’investissement des entreprises dans les équipements de production de froid utilisant des réfrigérants à faible pouvoir de réchauffement planétaire. Les entreprises soumises à l'impôt sur les sociétés ou à l'impôt sur le revenu selon un régime réel d'imposition peuvent ainsi, dans le cadre de ce dispositif, déduire de leur résultat imposable une somme égale à 40 % de la valeur d'origine des biens d'équipement de réfrigération et de traitement de l'air fonctionnant sans HFC acquis à l'état neuf entre le 1er janvier 2019 et le 31 décembre 2022.</w:t>
      </w:r>
    </w:p>
    <w:p w14:paraId="204B413A" w14:textId="7B55CD03" w:rsidR="00CC6750" w:rsidRPr="0098629B" w:rsidRDefault="00CC6750" w:rsidP="00CC6750">
      <w:pPr>
        <w:pStyle w:val="Titre4niveau4"/>
        <w:spacing w:before="240"/>
      </w:pPr>
      <w:r w:rsidRPr="0098629B">
        <w:t xml:space="preserve">Mesures visant à réduire les émissions de </w:t>
      </w:r>
      <w:r w:rsidR="00891B49" w:rsidRPr="0098629B">
        <w:t>N</w:t>
      </w:r>
      <w:r w:rsidR="00891B49" w:rsidRPr="0098629B">
        <w:rPr>
          <w:vertAlign w:val="subscript"/>
        </w:rPr>
        <w:t>2</w:t>
      </w:r>
      <w:r w:rsidR="00891B49" w:rsidRPr="0098629B">
        <w:t>O</w:t>
      </w:r>
      <w:r w:rsidRPr="0098629B">
        <w:t xml:space="preserve"> de l’industrie </w:t>
      </w:r>
    </w:p>
    <w:p w14:paraId="05B588EE" w14:textId="53EE2EFB" w:rsidR="00CC6750" w:rsidRPr="0098629B" w:rsidRDefault="00CC6750" w:rsidP="00CC6750">
      <w:r w:rsidRPr="0098629B">
        <w:t xml:space="preserve">Depuis 2013, les émissions de </w:t>
      </w:r>
      <w:r w:rsidR="00891B49" w:rsidRPr="0098629B">
        <w:t>N</w:t>
      </w:r>
      <w:r w:rsidR="00891B49" w:rsidRPr="0098629B">
        <w:rPr>
          <w:vertAlign w:val="subscript"/>
        </w:rPr>
        <w:t>2</w:t>
      </w:r>
      <w:r w:rsidR="00891B49" w:rsidRPr="0098629B">
        <w:t>O</w:t>
      </w:r>
      <w:r w:rsidRPr="0098629B">
        <w:t xml:space="preserve"> du secteur de la chimie sont soumises au système européen d'échange de quotas d'émissions</w:t>
      </w:r>
      <w:r w:rsidR="006E0C3B" w:rsidRPr="0098629B">
        <w:t>.</w:t>
      </w:r>
    </w:p>
    <w:p w14:paraId="736A1B52" w14:textId="7A88A742" w:rsidR="00630A34" w:rsidRPr="0098629B" w:rsidRDefault="00630A34" w:rsidP="00B04A7C">
      <w:pPr>
        <w:pStyle w:val="Titre3Niveau3"/>
        <w:rPr>
          <w:lang w:eastAsia="en-US"/>
        </w:rPr>
      </w:pPr>
      <w:bookmarkStart w:id="62" w:name="_Toc121149513"/>
      <w:bookmarkStart w:id="63" w:name="_Toc138344598"/>
      <w:r w:rsidRPr="0098629B">
        <w:rPr>
          <w:lang w:eastAsia="en-US"/>
        </w:rPr>
        <w:t>Industrie de l’énergie</w:t>
      </w:r>
      <w:bookmarkEnd w:id="62"/>
      <w:bookmarkEnd w:id="63"/>
    </w:p>
    <w:p w14:paraId="59A2D98F" w14:textId="3B1CC391" w:rsidR="00C060AE" w:rsidRPr="0098629B" w:rsidRDefault="00C060AE" w:rsidP="00C060AE">
      <w:r w:rsidRPr="0098629B">
        <w:t>Dans cette section, on distingue la production d’énergie et la consommation d’énergie. Dans la sous-section sur la consommation d’énergie (</w:t>
      </w:r>
      <w:r w:rsidR="00151882" w:rsidRPr="0098629B">
        <w:fldChar w:fldCharType="begin"/>
      </w:r>
      <w:r w:rsidR="00151882" w:rsidRPr="0098629B">
        <w:instrText xml:space="preserve"> REF _Ref122700483 \r \h </w:instrText>
      </w:r>
      <w:r w:rsidR="0098629B">
        <w:instrText xml:space="preserve"> \* MERGEFORMAT </w:instrText>
      </w:r>
      <w:r w:rsidR="00151882" w:rsidRPr="0098629B">
        <w:fldChar w:fldCharType="separate"/>
      </w:r>
      <w:r w:rsidR="00677B3C">
        <w:t>C.4.2</w:t>
      </w:r>
      <w:r w:rsidR="00151882" w:rsidRPr="0098629B">
        <w:fldChar w:fldCharType="end"/>
      </w:r>
      <w:r w:rsidRPr="0098629B">
        <w:t>), le choix a été fait de rapporter les politiques et mesures impactant la consommation d’énergie de manière transversale (</w:t>
      </w:r>
      <w:r w:rsidRPr="0098629B">
        <w:rPr>
          <w:i/>
        </w:rPr>
        <w:t>i.e.</w:t>
      </w:r>
      <w:r w:rsidRPr="0098629B">
        <w:t xml:space="preserve"> dans plusieurs secteurs). Les politiques et mesures impactant la consommation d’énergie d’un seul secteur ont été rapportées dans les sections dédiées aux différents secteurs. </w:t>
      </w:r>
    </w:p>
    <w:p w14:paraId="5781196A" w14:textId="77777777" w:rsidR="00C060AE" w:rsidRPr="0098629B" w:rsidRDefault="00C060AE" w:rsidP="00C060AE">
      <w:pPr>
        <w:pStyle w:val="Titre4niveau4"/>
      </w:pPr>
      <w:r w:rsidRPr="0098629B">
        <w:t>La production d’énergie</w:t>
      </w:r>
    </w:p>
    <w:p w14:paraId="0EB8E8E1" w14:textId="77777777" w:rsidR="00C060AE" w:rsidRPr="0098629B" w:rsidRDefault="00C060AE" w:rsidP="00C060AE">
      <w:r w:rsidRPr="0098629B">
        <w:t xml:space="preserve">Ce secteur représente 10 % des émissions nationales en 2020 (hors UTCATF). Les principaux postes d’émissions sont la production d’électricité qui représente 43 % des émissions du secteur, le raffinage du pétrole (18%), la </w:t>
      </w:r>
      <w:r w:rsidRPr="0098629B">
        <w:lastRenderedPageBreak/>
        <w:t>transformation d’énergie (17 %) et le chauffage urbain (13 %), suivis de la transformation de combustibles minéraux solides dans la sidérurgie (5 %) et l’extraction et la distribution de combustibles gazeux (3%)</w:t>
      </w:r>
      <w:r w:rsidRPr="0098629B">
        <w:rPr>
          <w:rStyle w:val="FootnoteReference"/>
        </w:rPr>
        <w:footnoteReference w:id="5"/>
      </w:r>
      <w:r w:rsidRPr="0098629B">
        <w:t>.</w:t>
      </w:r>
    </w:p>
    <w:p w14:paraId="66CAAC65" w14:textId="350120D0" w:rsidR="00C060AE" w:rsidRPr="0098629B" w:rsidRDefault="00C060AE" w:rsidP="00C060AE">
      <w:pPr>
        <w:pStyle w:val="titreencadre"/>
        <w:spacing w:before="120" w:after="60" w:line="240" w:lineRule="auto"/>
      </w:pPr>
      <w:r w:rsidRPr="0098629B">
        <w:t xml:space="preserve">Mesures visant à réduire les émissions de </w:t>
      </w:r>
      <w:r w:rsidR="00811B0F" w:rsidRPr="0098629B">
        <w:t>CO</w:t>
      </w:r>
      <w:r w:rsidR="00811B0F" w:rsidRPr="0098629B">
        <w:rPr>
          <w:vertAlign w:val="subscript"/>
        </w:rPr>
        <w:t>2</w:t>
      </w:r>
      <w:r w:rsidRPr="0098629B">
        <w:t xml:space="preserve"> de la production d’énergie </w:t>
      </w:r>
    </w:p>
    <w:p w14:paraId="0844826D" w14:textId="52D36F30" w:rsidR="00C060AE" w:rsidRPr="0098629B" w:rsidRDefault="00C060AE" w:rsidP="00C060AE">
      <w:r w:rsidRPr="0098629B">
        <w:t xml:space="preserve">La réduction des émissions de </w:t>
      </w:r>
      <w:r w:rsidR="00811B0F" w:rsidRPr="0098629B">
        <w:t>CO</w:t>
      </w:r>
      <w:r w:rsidR="00811B0F" w:rsidRPr="0098629B">
        <w:rPr>
          <w:vertAlign w:val="subscript"/>
        </w:rPr>
        <w:t>2</w:t>
      </w:r>
      <w:r w:rsidRPr="0098629B">
        <w:t xml:space="preserve"> du secteur de la production d’énergie passe notamment par le plafonnement des émissions des installations de production d'électricité, de chaleur et des raffineries par le système européen d’échange de quotas d’émissions, par la réduction de la demande en énergie et la décarbonation du secteur. À ce titre, le projet de SNBC révisée vise la décarbonation complète du secteur d’ici 2050, notamment via le développement des énergies renouvelables.</w:t>
      </w:r>
    </w:p>
    <w:p w14:paraId="474C3A02" w14:textId="77777777" w:rsidR="00C060AE" w:rsidRPr="0098629B" w:rsidRDefault="00C060AE" w:rsidP="00C060AE">
      <w:pPr>
        <w:spacing w:before="240" w:after="240"/>
        <w:rPr>
          <w:b/>
        </w:rPr>
      </w:pPr>
      <w:r w:rsidRPr="0098629B">
        <w:t>Par ailleurs, la loi hydrocarbures adoptée fin 2017 interdit tout nouveau permis d’exploration ou d’exploitation d’énergies fossiles et assoit l’objectif de fin des exploitations de production existantes en 2040.</w:t>
      </w:r>
    </w:p>
    <w:p w14:paraId="525A3139" w14:textId="77777777" w:rsidR="00C060AE" w:rsidRPr="0098629B" w:rsidRDefault="00C060AE" w:rsidP="00C060AE">
      <w:pPr>
        <w:spacing w:before="240" w:after="240"/>
      </w:pPr>
      <w:r w:rsidRPr="0098629B">
        <w:t xml:space="preserve">Afin de soutenir la réalisation concrète des projets de développement d’énergie renouvelables (EnR), l’État a lancé fin 2017 le </w:t>
      </w:r>
      <w:r w:rsidRPr="0098629B">
        <w:rPr>
          <w:bCs/>
        </w:rPr>
        <w:t xml:space="preserve">plan de libération des EnR, </w:t>
      </w:r>
      <w:r w:rsidRPr="0098629B">
        <w:t xml:space="preserve">qui vise l’adoption de </w:t>
      </w:r>
      <w:r w:rsidRPr="0098629B">
        <w:rPr>
          <w:bCs/>
        </w:rPr>
        <w:t>mesures de simplification</w:t>
      </w:r>
      <w:r w:rsidRPr="0098629B">
        <w:t xml:space="preserve"> administrative engagées afin de raccourcir les délais de développement et de réduire les coûts. Ce plan a d’ores et déjà abouti à des simplifications administratives pour les filières de l’éolien terrestre, du solaire photovoltaïque et de la méthanisation et une augmentation du volume de l’appel d’offres solaire (1,5 à 2,5 GW/an). </w:t>
      </w:r>
    </w:p>
    <w:p w14:paraId="691F3105" w14:textId="77777777" w:rsidR="00C060AE" w:rsidRPr="0098629B" w:rsidRDefault="00C060AE" w:rsidP="00C060AE">
      <w:pPr>
        <w:spacing w:before="240" w:after="240"/>
      </w:pPr>
      <w:r w:rsidRPr="0098629B">
        <w:t xml:space="preserve">Un </w:t>
      </w:r>
      <w:r w:rsidRPr="0098629B">
        <w:rPr>
          <w:b/>
        </w:rPr>
        <w:t>dispositif de réfaction tarifaire pour le raccordement des installations de production d’énergies renouvelables</w:t>
      </w:r>
      <w:r w:rsidRPr="0098629B">
        <w:t xml:space="preserve"> aux réseaux d’électricité et de gaz a été introduit en 2017. Il permet la prise en charge jusqu’à 40 % de ces coûts par les gestionnaires de réseau. Ceci permet d’alléger significativement les coûts de raccordement pour les exploitations agricoles souvent éloignées des réseaux et ainsi de faciliter le déploiement des énergies renouvelables.</w:t>
      </w:r>
    </w:p>
    <w:p w14:paraId="6CA87A6F" w14:textId="77777777" w:rsidR="00C060AE" w:rsidRPr="0098629B" w:rsidRDefault="00C060AE" w:rsidP="00C060AE">
      <w:pPr>
        <w:spacing w:before="240" w:after="240"/>
      </w:pPr>
      <w:r w:rsidRPr="0098629B">
        <w:t xml:space="preserve">La </w:t>
      </w:r>
      <w:r w:rsidRPr="0098629B">
        <w:rPr>
          <w:b/>
        </w:rPr>
        <w:t>stratégie nationale de mobilisation de la biomasse</w:t>
      </w:r>
      <w:r w:rsidRPr="0098629B">
        <w:t xml:space="preserve"> créée en 2018 définit des orientations, recommandations et actions concernant les filières de production et de valorisation de la biomasse susceptible d'avoir un usage énergétique, en vue de développer la production de biomasse, et d'augmenter sa mobilisation tout en veillant à une bonne articulation de ses usages et à l'atténuation du changement climatique. Les schémas régionaux de mobilisation de la biomasse adaptent la stratégie nationale de mobilisation de la biomasse aux spécificités régionales.</w:t>
      </w:r>
    </w:p>
    <w:p w14:paraId="166DEA90" w14:textId="77777777" w:rsidR="00C060AE" w:rsidRPr="0098629B" w:rsidRDefault="00C060AE" w:rsidP="00C060AE">
      <w:pPr>
        <w:spacing w:before="240" w:after="240"/>
      </w:pPr>
      <w:r w:rsidRPr="0098629B">
        <w:t xml:space="preserve">Le </w:t>
      </w:r>
      <w:r w:rsidRPr="0098629B">
        <w:rPr>
          <w:b/>
        </w:rPr>
        <w:t>droit à l’injection pour les installations de biométhane</w:t>
      </w:r>
      <w:r w:rsidRPr="0098629B">
        <w:t>, créé en 2019, qui permet aux gestionnaires des réseaux de gaz naturels d’effectuer les renforcements nécessaires pour permettre l'injection dans le réseau de gaz du biométhane produit (dans des conditions et limites permettant de s'assurer de la pertinence technico-économique des investissements). L'objectif est de faciliter la réalisation de projets de méthanisation aujourd'hui limités par la capacité de l'antenne de réseau de gaz locale.</w:t>
      </w:r>
    </w:p>
    <w:p w14:paraId="11CC6211" w14:textId="77777777" w:rsidR="00C060AE" w:rsidRPr="0098629B" w:rsidRDefault="00C060AE" w:rsidP="00C060AE">
      <w:pPr>
        <w:spacing w:before="240" w:after="240"/>
      </w:pPr>
      <w:r w:rsidRPr="0098629B">
        <w:t>La programmation pluriannuelle de l'énergie 2019-2028 (PPE 2) prévoit également les mesures suivantes, favorisant le déploiement des énergies renouvelables et la décarbonation du secteur</w:t>
      </w:r>
      <w:r w:rsidRPr="0098629B">
        <w:rPr>
          <w:rFonts w:ascii="Calibri" w:hAnsi="Calibri" w:cs="Calibri"/>
        </w:rPr>
        <w:t> </w:t>
      </w:r>
      <w:r w:rsidRPr="0098629B">
        <w:t>:</w:t>
      </w:r>
    </w:p>
    <w:p w14:paraId="68DAF227" w14:textId="77777777" w:rsidR="00C060AE" w:rsidRPr="0098629B" w:rsidRDefault="00C060AE" w:rsidP="00573042">
      <w:pPr>
        <w:numPr>
          <w:ilvl w:val="0"/>
          <w:numId w:val="17"/>
        </w:numPr>
        <w:spacing w:before="240" w:after="240"/>
      </w:pPr>
      <w:r w:rsidRPr="0098629B">
        <w:t>En faveur de l'</w:t>
      </w:r>
      <w:r w:rsidRPr="0098629B">
        <w:rPr>
          <w:b/>
        </w:rPr>
        <w:t>éolien terrestre</w:t>
      </w:r>
      <w:r w:rsidRPr="0098629B">
        <w:t xml:space="preserve"> : rendre obligatoire d’ici 2023 le recyclage des matériaux constitutifs des éoliennes lors de leur démantèlement, favoriser la réutilisation des sites éoliens en fin de vie pour y réimplanter des machines plus performantes, lancer des appels d’offres à hauteur de 2 GW/an selon un calendrier défini dans la PPE.</w:t>
      </w:r>
    </w:p>
    <w:p w14:paraId="3288A30D" w14:textId="77777777" w:rsidR="00C060AE" w:rsidRPr="0098629B" w:rsidRDefault="00C060AE" w:rsidP="00573042">
      <w:pPr>
        <w:numPr>
          <w:ilvl w:val="0"/>
          <w:numId w:val="17"/>
        </w:numPr>
        <w:spacing w:before="240" w:after="240"/>
      </w:pPr>
      <w:r w:rsidRPr="0098629B">
        <w:t>En faveur du</w:t>
      </w:r>
      <w:r w:rsidRPr="0098629B">
        <w:rPr>
          <w:b/>
        </w:rPr>
        <w:t xml:space="preserve"> photovoltaïque</w:t>
      </w:r>
      <w:r w:rsidRPr="0098629B">
        <w:t xml:space="preserve"> : privilégier le développement du photovoltaïque au sol, moins coûteux, de préférence sur les terrains urbanisés ou dégradés et les parkings, en veillant à ce que les projets respectent la biodiversité et les terres agricoles, soutenir l’innovation dans la filière du photovoltaïque par appel d’offres afin d’encourager de nouvelles solutions solaires au sol (agrivoltaïsme, centrales flottantes…) et </w:t>
      </w:r>
      <w:r w:rsidRPr="0098629B">
        <w:lastRenderedPageBreak/>
        <w:t>sur les bâtiments. Le projet de PPE 2 définit un calendrier d’appel d’offres correspondant à 2 GW par an pour les centrales au sol et 0,9 GW par an pour les installations sur grandes toitures, et elle maintient un objectif de 3050 MW installés par an pour les installations sur petites et moyennes toitures (inférieures à 100 kWc) via un système de guichet ouvert en orientant les projets vers l’autoconsommation.</w:t>
      </w:r>
    </w:p>
    <w:p w14:paraId="3EE3FE3E" w14:textId="77777777" w:rsidR="00C060AE" w:rsidRPr="0098629B" w:rsidRDefault="00C060AE" w:rsidP="00573042">
      <w:pPr>
        <w:numPr>
          <w:ilvl w:val="0"/>
          <w:numId w:val="17"/>
        </w:numPr>
        <w:spacing w:before="240" w:after="240"/>
      </w:pPr>
      <w:r w:rsidRPr="0098629B">
        <w:t>En faveur du développement du</w:t>
      </w:r>
      <w:r w:rsidRPr="0098629B">
        <w:rPr>
          <w:b/>
        </w:rPr>
        <w:t xml:space="preserve"> gaz renouvelable</w:t>
      </w:r>
      <w:r w:rsidRPr="0098629B">
        <w:t xml:space="preserve"> : donner de la visibilité en adoptant un calendrier d’appel d’offres pour le biométhane injecté : deux appels d’offres, pour un objectif de production annuelle de 350 GWh PCS/an chacun, seront lancés chaque année ; consolider l’obligation d’achat de biogaz à un tarif réglementé et lancer des appels d’offres permettant d’atteindre les objectifs de production à un coût maîtrisé grâce à de fortes baisses des coûts ; mettre en place un dispositif de soutien adapté pour le biométhane non injecté dans les réseaux de gaz naturel (en particulier le biométhane utilisé directement pour des véhicules au biométhane-véhicule).</w:t>
      </w:r>
    </w:p>
    <w:p w14:paraId="4B9D662B" w14:textId="77777777" w:rsidR="00C060AE" w:rsidRPr="0098629B" w:rsidRDefault="00C060AE" w:rsidP="00573042">
      <w:pPr>
        <w:numPr>
          <w:ilvl w:val="0"/>
          <w:numId w:val="17"/>
        </w:numPr>
        <w:spacing w:before="240" w:after="240"/>
      </w:pPr>
      <w:r w:rsidRPr="0098629B">
        <w:t>En faveur du développement de l'</w:t>
      </w:r>
      <w:r w:rsidRPr="0098629B">
        <w:rPr>
          <w:b/>
        </w:rPr>
        <w:t>hydrogène</w:t>
      </w:r>
      <w:r w:rsidRPr="0098629B">
        <w:t xml:space="preserve"> : mettre en place un soutien au développement de l’hydrogène à hauteur de 100 millions d’euros et lancer des appels à projet sur la mobilité et la production d’hydrogène à l’aide d’électrolyseurs ; mettre en place d’ici 2020 d’un système de traçabilité de l’hydrogène décarboné ; prolonger la mesure de suramortissement à l’achat de véhicules hydrogène a minima dans les mêmes conditions que pour le GNV (poids lourds&gt;3,5t) ;  mobiliser les institutions financières (financements privés et publics dont CDC, BPI) et standardiser les modèles de cofinancement pour les projets de déploiements d’écosystèmes dans les territoires ; mener avec tous les acteurs concernés une réflexion sur la simplification et l’harmonisation des procédures d’autorisation et d’homologation des bateaux et des solutions d’avitaillement hydrogène associées.</w:t>
      </w:r>
    </w:p>
    <w:p w14:paraId="70654AB2" w14:textId="77777777" w:rsidR="00C060AE" w:rsidRPr="0098629B" w:rsidRDefault="00C060AE" w:rsidP="00573042">
      <w:pPr>
        <w:numPr>
          <w:ilvl w:val="0"/>
          <w:numId w:val="18"/>
        </w:numPr>
        <w:spacing w:before="240" w:after="240"/>
      </w:pPr>
      <w:r w:rsidRPr="0098629B">
        <w:t>En faveur du développement des</w:t>
      </w:r>
      <w:r w:rsidRPr="0098629B">
        <w:rPr>
          <w:b/>
        </w:rPr>
        <w:t xml:space="preserve"> biocarburants</w:t>
      </w:r>
      <w:r w:rsidRPr="0098629B">
        <w:rPr>
          <w:rFonts w:ascii="Calibri" w:hAnsi="Calibri" w:cs="Calibri"/>
        </w:rPr>
        <w:t> </w:t>
      </w:r>
      <w:r w:rsidRPr="0098629B">
        <w:t xml:space="preserve">: une incitation </w:t>
      </w:r>
      <w:r w:rsidRPr="0098629B">
        <w:rPr>
          <w:rFonts w:cs="Marianne"/>
        </w:rPr>
        <w:t>à</w:t>
      </w:r>
      <w:r w:rsidRPr="0098629B">
        <w:t xml:space="preserve"> l</w:t>
      </w:r>
      <w:r w:rsidRPr="0098629B">
        <w:rPr>
          <w:rFonts w:cs="Marianne"/>
        </w:rPr>
        <w:t>’</w:t>
      </w:r>
      <w:r w:rsidRPr="0098629B">
        <w:t>incorporation pour les op</w:t>
      </w:r>
      <w:r w:rsidRPr="0098629B">
        <w:rPr>
          <w:rFonts w:cs="Marianne"/>
        </w:rPr>
        <w:t>é</w:t>
      </w:r>
      <w:r w:rsidRPr="0098629B">
        <w:t xml:space="preserve">rateurs qui mettent </w:t>
      </w:r>
      <w:r w:rsidRPr="0098629B">
        <w:rPr>
          <w:rFonts w:cs="Marianne"/>
        </w:rPr>
        <w:t>à</w:t>
      </w:r>
      <w:r w:rsidRPr="0098629B">
        <w:t xml:space="preserve"> la consommation les carburants. Par ailleurs, au-del</w:t>
      </w:r>
      <w:r w:rsidRPr="0098629B">
        <w:rPr>
          <w:rFonts w:cs="Marianne"/>
        </w:rPr>
        <w:t>à</w:t>
      </w:r>
      <w:r w:rsidRPr="0098629B">
        <w:t xml:space="preserve"> du plafond existant pour les biocarburants conventionnels, il prévoit de limiter l’incorporation de biocarburants réalisés à partir de matières premières présentant un risque élevé d'induire des changements indirects dans l'affectation des sols (huile de palme en l’occurrence), comme le prévoit la nouvelle directive européenne relative aux énergies renouvelables RED II du 11 décembre 2018 et notamment son acte délégué du 13 mars 2019.</w:t>
      </w:r>
      <w:r w:rsidRPr="0098629B">
        <w:rPr>
          <w:vertAlign w:val="superscript"/>
        </w:rPr>
        <w:footnoteReference w:id="6"/>
      </w:r>
    </w:p>
    <w:p w14:paraId="78EF8F03" w14:textId="237D7616" w:rsidR="00C060AE" w:rsidRPr="0098629B" w:rsidRDefault="00C060AE" w:rsidP="00573042">
      <w:pPr>
        <w:numPr>
          <w:ilvl w:val="0"/>
          <w:numId w:val="18"/>
        </w:numPr>
        <w:spacing w:before="240" w:after="240"/>
      </w:pPr>
      <w:r w:rsidRPr="0098629B">
        <w:t>En faveur de la décarbonation du secteur</w:t>
      </w:r>
      <w:r w:rsidRPr="0098629B">
        <w:rPr>
          <w:rFonts w:ascii="Calibri" w:hAnsi="Calibri" w:cs="Calibri"/>
        </w:rPr>
        <w:t> </w:t>
      </w:r>
      <w:r w:rsidRPr="0098629B">
        <w:t xml:space="preserve">: </w:t>
      </w:r>
      <w:r w:rsidRPr="0098629B">
        <w:rPr>
          <w:b/>
        </w:rPr>
        <w:t>d’arrêter les dernières centrales électriques fonctionnant exclusivement au charbon d’ici 2022</w:t>
      </w:r>
      <w:r w:rsidRPr="0098629B">
        <w:t xml:space="preserve"> ou d’accompagner leur évolution vers des solutions moins carbonées, mais également de </w:t>
      </w:r>
      <w:r w:rsidRPr="0098629B">
        <w:rPr>
          <w:b/>
        </w:rPr>
        <w:t>ne plus autoriser de nouveau projet de centrale de production exclusive d’électricité à partir d’énergies fossiles</w:t>
      </w:r>
      <w:r w:rsidRPr="0098629B">
        <w:t>. À ce titre, les contrats de transition écologique (CTE), signés entre l’État et les territoires, fixent un programme d’actions de transformation écologique volontaire des territoires. Ils ont en particulier pour but d’accompagner les situations de reconversion industrielles des territoires touchés par la fermeture des centrales à charbon. Après une première phase d’expérimentation en 2018, il a été décidé d’étendre la démarche CTE et de conduire une seconde phase d’expérimentation au premier semestre 2019. Un déploiement plus large est maintenant envisagé.</w:t>
      </w:r>
      <w:r w:rsidR="00484343" w:rsidRPr="0098629B">
        <w:t xml:space="preserve"> Concernant l’arrêt des centrales charbon, un décret a dû être pris au 15 septembre 2022 pour rehausser leur plafond d’émissions pour permettre environ « 2500 kilotonne d'équivalents dioxyde de carbone par mégawatt de plus » sur la période entre le 1</w:t>
      </w:r>
      <w:r w:rsidR="00484343" w:rsidRPr="0098629B">
        <w:rPr>
          <w:vertAlign w:val="superscript"/>
        </w:rPr>
        <w:t>er</w:t>
      </w:r>
      <w:r w:rsidR="00484343" w:rsidRPr="0098629B">
        <w:t xml:space="preserve"> octobre 2022 et le 31 mars 2023. Ce décret conduit au maintien en activité de deux centrales charbon : cette mesure d’urgence doit garantir l’approvisionnement en électricité durant l’hiver dans un contexte de tension sur le parc nucléaire et sur le gaz. Cette décision ne remet cependant pas en cause l’ambition qui est d’arrêter les centrales thermiques au charbon à terme.</w:t>
      </w:r>
    </w:p>
    <w:p w14:paraId="194E6C24" w14:textId="033D0A63" w:rsidR="00C060AE" w:rsidRPr="0098629B" w:rsidRDefault="00C060AE" w:rsidP="00C060AE">
      <w:pPr>
        <w:spacing w:before="240" w:after="240"/>
      </w:pPr>
      <w:r w:rsidRPr="0098629B">
        <w:t>La programmation pluriannuelle de l'énergie 2019-2028 (PPE 2) prévoit également d'engager, au cours de la première période de la PPE (2019-2023), les démarches permettant le développement des stations de</w:t>
      </w:r>
      <w:r w:rsidR="00484343" w:rsidRPr="0098629B">
        <w:t xml:space="preserve"> pompage d’</w:t>
      </w:r>
      <w:r w:rsidRPr="0098629B">
        <w:t xml:space="preserve">électricité pour un potentiel de 1,5 GW identifié en vue de la mise en service des installations entre 2030 et </w:t>
      </w:r>
      <w:r w:rsidRPr="0098629B">
        <w:lastRenderedPageBreak/>
        <w:t>2035. La PPE 2 fixe en outre un objectif d'effacement de 6,5 GW à l’horizon 2028 avec un objectif intermédiaire de 4,5GW en 2023.</w:t>
      </w:r>
    </w:p>
    <w:p w14:paraId="709752E7" w14:textId="77777777" w:rsidR="00C060AE" w:rsidRPr="0098629B" w:rsidRDefault="00C060AE" w:rsidP="00C060AE">
      <w:pPr>
        <w:spacing w:before="240" w:after="240"/>
      </w:pPr>
      <w:r w:rsidRPr="0098629B">
        <w:t>La PPE permet notamment de se donner les moyens d’atteindre les objectifs de production d’énergies renouvelables fixés par la loi de transition énergétique pour la croissance verte de 2015 et la loi énergie-climat de 2019. La législation française prévoit en effet d’atteindre une part d’énergies renouvelables d’au moins 33 % dans la consommation finale brute d’énergie en 2030. Cet objectif se décline par vecteur énergétique : 40 % de la production d’électricité sera renouvelable en 2030, 38 % de la consommation finale de chaleur, 15 % de la consommation finale de carburant et 10 % de la consommation finale de gaz. La production de chaleur et de froid d’origine renouvelable dans les réseaux de chaleur sera multipliée par 5 entre 2012 et 2030.</w:t>
      </w:r>
    </w:p>
    <w:p w14:paraId="7854601A" w14:textId="77777777" w:rsidR="00C060AE" w:rsidRPr="0098629B" w:rsidRDefault="00C060AE" w:rsidP="00C060AE">
      <w:pPr>
        <w:spacing w:before="240" w:after="240"/>
      </w:pPr>
      <w:r w:rsidRPr="0098629B">
        <w:t xml:space="preserve">Dans cette perspective, la PPE fixe des objectifs pour chaque filière renouvelable à l’horizon 2023 et 2028. Les mécanismes incitatifs mis en place sont spécifiques à chaque filière et doivent faire l'objet d'adaptations périodiques pour tenir compte des évolutions techniques et économiques. Ils sont guidés par le principe d’assurer à ces technologies la rentabilité minimale nécessaire à leur déploiement. </w:t>
      </w:r>
    </w:p>
    <w:p w14:paraId="57F7ACC5" w14:textId="77777777" w:rsidR="00C060AE" w:rsidRPr="0098629B" w:rsidRDefault="00C060AE" w:rsidP="00C060AE">
      <w:pPr>
        <w:spacing w:before="240" w:after="240"/>
      </w:pPr>
      <w:r w:rsidRPr="0098629B">
        <w:t xml:space="preserve">Pour atteindre les objectifs concernant la production d'électricité renouvelable, le gouvernement dispose principalement de deux types de dispositifs de soutien : les guichets ouverts et les procédures de mise en concurrence. </w:t>
      </w:r>
    </w:p>
    <w:p w14:paraId="53ABEDFD" w14:textId="77777777" w:rsidR="00C060AE" w:rsidRPr="0098629B" w:rsidRDefault="00C060AE" w:rsidP="00C060AE">
      <w:pPr>
        <w:spacing w:before="240" w:after="240"/>
      </w:pPr>
      <w:r w:rsidRPr="0098629B">
        <w:t>Le dispositif des guichets ouverts ouvre un droit à bénéficier d’un soutien pour toute installation éligible. Ce dispositif est adapté aux filières matures pour lesquelles les coûts de production sont relativement connus et stables et pour lesquelles les sites potentiels de développement sont nombreux, avec des conflits d’usages limités. Ce dispositif ne permettant pas de développer des énergies renouvelables au meilleur coût, il est réservé aux installations de petite taille (jusqu’à 1 MW, et par exception jusqu’à 18 MW pour l’éolien), par souci de simplicité d’accès. On distingue deux mécanismes de soutien en guichet ouvert en fonction de la taille de l’installation : l’obligation d’achat et le complément de rémunération.</w:t>
      </w:r>
    </w:p>
    <w:p w14:paraId="05D5D662" w14:textId="77777777" w:rsidR="00C060AE" w:rsidRPr="0098629B" w:rsidRDefault="00C060AE" w:rsidP="00C060AE">
      <w:pPr>
        <w:spacing w:before="240" w:after="240"/>
      </w:pPr>
      <w:r w:rsidRPr="0098629B">
        <w:t xml:space="preserve">L’obligation d’achat ne s’applique depuis 2016 que pour les plus petites installations (jusqu’à 500 kW). Tout kilowattheure injecté sur le réseau public est acheté par un acheteur obligé à un tarif d’achat, supérieur au niveau moyen du prix de marché, fixé à l’avance et permettant de couvrir les coûts de son installation tout en assurant une rentabilité normale de son projet. </w:t>
      </w:r>
    </w:p>
    <w:p w14:paraId="778E2E69" w14:textId="77777777" w:rsidR="00C060AE" w:rsidRPr="0098629B" w:rsidRDefault="00C060AE" w:rsidP="00C060AE">
      <w:pPr>
        <w:spacing w:before="240" w:after="240"/>
      </w:pPr>
      <w:r w:rsidRPr="0098629B">
        <w:t xml:space="preserve">Le complément de rémunération, mis en place en 2016, en accord avec les lignes directrices énergie environnement, s’applique pour les installations de plus grande puissance (obligatoire lorsque la puissance installée est supérieure à 500 kW). Le complément de rémunération en guichet ouvert est une prime versée à un producteur d'énergie renouvelable en complément de la vente sur le marché de l’électricité qu’il a produite. Cette prime est proportionnelle à l’énergie produite et calculée comme la différence entre un tarif de référence et le prix de marché. Elle doit permettre de donner au producteur un niveau de rémunération permettant de couvrir les coûts de son installation tout en assurant une rentabilité normale de son projet. </w:t>
      </w:r>
    </w:p>
    <w:p w14:paraId="249776EB" w14:textId="77777777" w:rsidR="00C060AE" w:rsidRPr="0098629B" w:rsidRDefault="00C060AE" w:rsidP="00C060AE">
      <w:pPr>
        <w:spacing w:before="240" w:after="240"/>
      </w:pPr>
      <w:r w:rsidRPr="0098629B">
        <w:t>Dans les procédures de mise en concurrence, le soutien est attribué aux seuls lauréats de ces procédures (ex. : appels d’offres). Ces dispositifs sont adaptés aux filières renouvelables présentant l’une des caractéristiques suivantes : besoin de pilotage du fait du risque de conflits d’usage ; rareté des zones propices (cas de l’éolien en mer) ; forte asymétrie d’information sur les coûts ; enjeu de démonstration technologique et de développement industriel. Les procédures de mise en concurrence permettent d’améliorer la compétitivité du développement des énergies renouvelables par la mise en concurrence des projets et constituent des outils adaptés pour piloter les trajectoires de développement des énergies renouvelables conformément aux objectifs fixés par la PPE. En effet, lorsque les objectifs en termes de puissance installée fixés par la PPE ne sont pas atteints, le ministre en charge de l’énergie a la possibilité de lancer des procédures de mise en concurrence pour développer de nouvelles capacités de production. Les lauréats pourront bénéficier soit d’un tarif d’achat soit d’un complément de rémunération, en fonction de la puissance installée des projets et du cahier des charges de la procédure.</w:t>
      </w:r>
    </w:p>
    <w:p w14:paraId="61B9EA1D" w14:textId="77777777" w:rsidR="00C060AE" w:rsidRPr="0098629B" w:rsidRDefault="00C060AE" w:rsidP="00C060AE">
      <w:pPr>
        <w:spacing w:before="240" w:after="240"/>
      </w:pPr>
      <w:r w:rsidRPr="0098629B">
        <w:t>Le soutien aux énergies renouvelables dans le secteur gazier est assuré par les mécanismes suivants :</w:t>
      </w:r>
    </w:p>
    <w:p w14:paraId="34574516" w14:textId="77777777" w:rsidR="00C060AE" w:rsidRPr="0098629B" w:rsidRDefault="00C060AE" w:rsidP="00573042">
      <w:pPr>
        <w:numPr>
          <w:ilvl w:val="0"/>
          <w:numId w:val="35"/>
        </w:numPr>
        <w:spacing w:before="240" w:after="240"/>
      </w:pPr>
      <w:r w:rsidRPr="0098629B">
        <w:lastRenderedPageBreak/>
        <w:t xml:space="preserve">Les guichets ouverts : tout producteur de biométhane souhaitant injecter sa production dans les réseaux de transport et de distribution de gaz naturel est éligible à une obligation d’achat en guichet ouvert, sous réserve de la préservation du bon fonctionnement des réseaux. Dans ce système, le biométhane injecté est acheté par un fournisseur de gaz naturel à un tarif d’achat fixé à l’avance et permettant de couvrir les coûts d’investissement et d’exploitation de l’installation de production de biométhane tout en assurant une rentabilité normale du projet. L’obligation d’achat est contractée pour une durée de 15 ans ; </w:t>
      </w:r>
    </w:p>
    <w:p w14:paraId="13021BB6" w14:textId="77777777" w:rsidR="00C060AE" w:rsidRPr="0098629B" w:rsidRDefault="00C060AE" w:rsidP="00573042">
      <w:pPr>
        <w:numPr>
          <w:ilvl w:val="0"/>
          <w:numId w:val="35"/>
        </w:numPr>
        <w:spacing w:before="240" w:after="240"/>
      </w:pPr>
      <w:r w:rsidRPr="0098629B">
        <w:t xml:space="preserve">Les appels d’offres : lorsque les capacités de production de biogaz destiné à être injecté dans le réseau de gaz ne répondent pas aux objectifs chiffrés de la programmation pluriannuelle de l’énergie, le ministre chargé de l’Énergie peut recourir à une procédure d’appel d’offres. </w:t>
      </w:r>
    </w:p>
    <w:p w14:paraId="52EDC9DE" w14:textId="77777777" w:rsidR="00C060AE" w:rsidRPr="0098629B" w:rsidRDefault="00C060AE" w:rsidP="00C060AE">
      <w:pPr>
        <w:spacing w:before="240" w:after="240"/>
      </w:pPr>
      <w:r w:rsidRPr="0098629B">
        <w:t xml:space="preserve">Par ailleurs, les producteurs qui en font la demande peuvent bénéficier de </w:t>
      </w:r>
      <w:r w:rsidRPr="0098629B">
        <w:rPr>
          <w:b/>
          <w:bCs/>
        </w:rPr>
        <w:t xml:space="preserve">garanties d'origine </w:t>
      </w:r>
      <w:r w:rsidRPr="0098629B">
        <w:t xml:space="preserve">pour la production d'électricité renouvelable, issue de cogénération haut rendement, ou pour le biogaz injecté. Ces garanties d'origine peuvent être valorisées sur les marchés et constituer une source de revenu complémentaire pour les producteurs. </w:t>
      </w:r>
    </w:p>
    <w:p w14:paraId="07661EB2" w14:textId="77777777" w:rsidR="00C060AE" w:rsidRPr="0098629B" w:rsidRDefault="00C060AE" w:rsidP="00C060AE">
      <w:pPr>
        <w:spacing w:before="240" w:after="240"/>
      </w:pPr>
      <w:r w:rsidRPr="0098629B">
        <w:t xml:space="preserve">Depuis le 1er janvier 2015, en application de l’article 14 de la directive 2012/27/UE relative à l’efficacité énergétique, les installations de production d'énergie dans des réseaux de chaleur ou de froid, d'une puissance thermique totale supérieure à 20 MW, doivent réaliser une </w:t>
      </w:r>
      <w:r w:rsidRPr="0098629B">
        <w:rPr>
          <w:b/>
          <w:bCs/>
        </w:rPr>
        <w:t xml:space="preserve">analyse coûts-avantages </w:t>
      </w:r>
      <w:r w:rsidRPr="0098629B">
        <w:t>lorsqu'il s'agit d'installations nouvelles et en cas de rénovation substantielle. Cette analyse permet d'identifier les fournisseurs potentiels de chaleur fatale situés à proximité du réseau et de mettre en œuvre la solution jugée rentable.</w:t>
      </w:r>
    </w:p>
    <w:p w14:paraId="73B44C5B" w14:textId="77777777" w:rsidR="00C060AE" w:rsidRPr="0098629B" w:rsidRDefault="00C060AE" w:rsidP="00C060AE">
      <w:pPr>
        <w:spacing w:before="240" w:after="240"/>
      </w:pPr>
      <w:r w:rsidRPr="0098629B">
        <w:rPr>
          <w:b/>
          <w:bCs/>
        </w:rPr>
        <w:t xml:space="preserve">Enfin, le fonds chaleur </w:t>
      </w:r>
      <w:r w:rsidRPr="0098629B">
        <w:t>soutient financièrement des projets de production de chaleur à partir d’énergies renouvelables : biomasse (sylvicole, agricole, biogaz), géothermie (en utilisation directe ou par le biais de pompes à chaleur), solaire thermique, énergies de récupération, ainsi que le développement des réseaux de chaleur utilisant ces énergies. Les secteurs concernés sont l’habitat collectif, le tertiaire, l’agriculture et l’industrie. Le fonds chaleur permet à la chaleur renouvelable d’être compétitive par rapport à la chaleur produite à partir d’énergies conventionnelles, en garantissant un prix de la chaleur d'origine renouvelable inférieur d'environ 5 % à celui obtenu avec des énergies conventionnelles. Le fonds chaleur a été doté d’une enveloppe de 2,9 milliards d’euros en engagements juridiques pour la période 2009-2021. La PPE 2019-2028 prévoit également une simplification des règles, notamment en supprimant l’obligation des avances remboursables pour les remplacer par des subventions.</w:t>
      </w:r>
    </w:p>
    <w:p w14:paraId="66E23A04" w14:textId="77777777" w:rsidR="00C060AE" w:rsidRPr="0098629B" w:rsidRDefault="00C060AE" w:rsidP="00C060AE">
      <w:r w:rsidRPr="0098629B">
        <w:t xml:space="preserve">Enfin, le </w:t>
      </w:r>
      <w:r w:rsidRPr="0098629B">
        <w:rPr>
          <w:b/>
        </w:rPr>
        <w:t>classement des réseaux de chaleur et de froid</w:t>
      </w:r>
      <w:r w:rsidRPr="0098629B">
        <w:t xml:space="preserve"> alimentés majoritairement par des énergies renouvelables ou de récupération a été rendu automatique par la loi énergie climat. Cette réglementation permet de rendre obligatoire, au sein d’une zone de développement prioritaire du réseau, le raccordement des bâtiments neufs ou des bâtiments existants remplaçant leur système de chauffage.</w:t>
      </w:r>
    </w:p>
    <w:p w14:paraId="0FD88825" w14:textId="77777777" w:rsidR="00C060AE" w:rsidRPr="0098629B" w:rsidRDefault="00C060AE" w:rsidP="00C060AE">
      <w:pPr>
        <w:pStyle w:val="Titre4niveau4"/>
        <w:spacing w:before="240"/>
      </w:pPr>
      <w:bookmarkStart w:id="64" w:name="_Ref122700483"/>
      <w:r w:rsidRPr="0098629B">
        <w:t>Les politiques et mesures impactant la consommation d’énergie de manière transversale</w:t>
      </w:r>
      <w:bookmarkEnd w:id="64"/>
      <w:r w:rsidRPr="0098629B">
        <w:t xml:space="preserve"> </w:t>
      </w:r>
    </w:p>
    <w:p w14:paraId="00EB9B02" w14:textId="77777777" w:rsidR="00C060AE" w:rsidRPr="0098629B" w:rsidRDefault="00C060AE" w:rsidP="00C060AE">
      <w:pPr>
        <w:spacing w:before="240" w:after="240"/>
      </w:pPr>
      <w:r w:rsidRPr="0098629B">
        <w:t xml:space="preserve">Plusieurs politiques et mesures structurantes ont été mises en place pour limiter la consommation d’énergie et favoriser l’efficacité énergétique dans plusieurs secteurs consommateurs d’énergie, dont les principales sont citées ci-dessous. Ces mesures contribuent ainsi à la réduction des émissions de gaz à effet de serre. </w:t>
      </w:r>
    </w:p>
    <w:p w14:paraId="69A64B9B" w14:textId="77777777" w:rsidR="00C060AE" w:rsidRPr="0098629B" w:rsidRDefault="00C060AE" w:rsidP="00C060AE">
      <w:pPr>
        <w:spacing w:before="240" w:after="240"/>
      </w:pPr>
      <w:r w:rsidRPr="0098629B">
        <w:t xml:space="preserve">Le code de l’énergie prévoit un objectif de réduction de 20% de la consommation finale en 2030 et 50% en 2050 par rapport au niveau de 2012. </w:t>
      </w:r>
    </w:p>
    <w:p w14:paraId="16FD9C4A" w14:textId="77777777" w:rsidR="00151882" w:rsidRPr="0098629B" w:rsidRDefault="00C060AE" w:rsidP="00C060AE">
      <w:pPr>
        <w:spacing w:before="240" w:after="240"/>
      </w:pPr>
      <w:r w:rsidRPr="0098629B">
        <w:t xml:space="preserve">Le dispositif des </w:t>
      </w:r>
      <w:r w:rsidRPr="0098629B">
        <w:rPr>
          <w:b/>
          <w:bCs/>
        </w:rPr>
        <w:t>certificats d’économies d’énergie</w:t>
      </w:r>
      <w:r w:rsidRPr="0098629B">
        <w:t>, en vigueur depuis 2006, repose sur une obligation de réalisation d’économies d’énergie imposée par les pouvoirs publics aux vendeurs d’énergie (électricité, gaz, GPL, chaleur et froid, fioul domestique et carburants pour automobiles). Un objectif pluriannuel est défini et réparti entre les obligés en fonction de leurs volumes de ventes. En fin de période, les obligés doivent justifier de l'accomplissement de leurs obligations par la détention d'un montant de certificats d'économies d'énergi</w:t>
      </w:r>
      <w:r w:rsidR="00151882" w:rsidRPr="0098629B">
        <w:t>e équivalent à ces obligations.</w:t>
      </w:r>
    </w:p>
    <w:p w14:paraId="1DABF8AE" w14:textId="77777777" w:rsidR="00151882" w:rsidRPr="0098629B" w:rsidRDefault="00C060AE" w:rsidP="00C060AE">
      <w:pPr>
        <w:spacing w:before="240" w:after="240"/>
      </w:pPr>
      <w:r w:rsidRPr="0098629B">
        <w:t xml:space="preserve">Pour obtenir des certificats, les obligés ont le choix des actions à mettre en œuvre (réaliser des actions d'économies d'énergie eux-mêmes, faire réaliser des actions d'énergie par les consommateurs, acheter des certificats à d'autres </w:t>
      </w:r>
      <w:r w:rsidRPr="0098629B">
        <w:lastRenderedPageBreak/>
        <w:t>acteurs sur le marché, etc.), des secteurs d’activité (résidentiel, tertiaire, industriel, agricole, transport) et des types de clients (ménages, entreprises, collectivités publiques, etc.).</w:t>
      </w:r>
    </w:p>
    <w:p w14:paraId="4332CF20" w14:textId="77777777" w:rsidR="00151882" w:rsidRPr="0098629B" w:rsidRDefault="00C060AE" w:rsidP="00C060AE">
      <w:pPr>
        <w:spacing w:before="240" w:after="240"/>
      </w:pPr>
      <w:r w:rsidRPr="0098629B">
        <w:t>La première période triennale du dispositif s’est déroulée entre mi 2006 et mi 2009, avec une obligation totale fixée à 54 T</w:t>
      </w:r>
      <w:r w:rsidR="00151882" w:rsidRPr="0098629B">
        <w:t>Wh cumac.</w:t>
      </w:r>
    </w:p>
    <w:p w14:paraId="4558FAAD" w14:textId="77777777" w:rsidR="00151882" w:rsidRPr="0098629B" w:rsidRDefault="00C060AE" w:rsidP="00C060AE">
      <w:pPr>
        <w:spacing w:before="240" w:after="240"/>
      </w:pPr>
      <w:r w:rsidRPr="0098629B">
        <w:t>La seconde période, qui s’est étendue du 1</w:t>
      </w:r>
      <w:r w:rsidRPr="0098629B">
        <w:rPr>
          <w:vertAlign w:val="superscript"/>
        </w:rPr>
        <w:t>er</w:t>
      </w:r>
      <w:r w:rsidRPr="0098629B">
        <w:t xml:space="preserve"> janvier 2011 au 31 décembre 2014, comportait un objectif de 460 TWh cumac.</w:t>
      </w:r>
    </w:p>
    <w:p w14:paraId="071B2580" w14:textId="4149C009" w:rsidR="00151882" w:rsidRPr="0098629B" w:rsidRDefault="00C060AE" w:rsidP="00C060AE">
      <w:pPr>
        <w:spacing w:before="240" w:after="240"/>
      </w:pPr>
      <w:r w:rsidRPr="0098629B">
        <w:t>La troisième période s’est déroulée entre le 1</w:t>
      </w:r>
      <w:r w:rsidRPr="0098629B">
        <w:rPr>
          <w:vertAlign w:val="superscript"/>
        </w:rPr>
        <w:t>er</w:t>
      </w:r>
      <w:r w:rsidRPr="0098629B">
        <w:t xml:space="preserve"> janvier 2015 et le 31 décembre 2017. L’obligation globale imposée aux vendeurs d’énerg</w:t>
      </w:r>
      <w:r w:rsidR="00151882" w:rsidRPr="0098629B">
        <w:t>ie était fixée à 700 TWh cumac.</w:t>
      </w:r>
    </w:p>
    <w:p w14:paraId="31804117" w14:textId="77777777" w:rsidR="00151882" w:rsidRPr="0098629B" w:rsidRDefault="00C060AE" w:rsidP="00C060AE">
      <w:pPr>
        <w:spacing w:before="240" w:after="240"/>
      </w:pPr>
      <w:r w:rsidRPr="0098629B">
        <w:t>En application de la loi du 17 août 2015 relative à la transition énergétique pour la croissance verte, une nouvelle obligation dédiée au bénéfice des ménages en situation de précarité énergétique a été mise en place depuis le 1er janvier 2016, avec un objectif d</w:t>
      </w:r>
      <w:r w:rsidR="00151882" w:rsidRPr="0098629B">
        <w:t>e 150 TWh cumac d’ici fin 2017.</w:t>
      </w:r>
    </w:p>
    <w:p w14:paraId="3051B6E9" w14:textId="352397B8" w:rsidR="00151882" w:rsidRPr="0098629B" w:rsidRDefault="00C060AE" w:rsidP="00C060AE">
      <w:pPr>
        <w:spacing w:before="240" w:after="240"/>
      </w:pPr>
      <w:r w:rsidRPr="0098629B">
        <w:t>La quatrième période initialement prévue du 1</w:t>
      </w:r>
      <w:r w:rsidRPr="0098629B">
        <w:rPr>
          <w:vertAlign w:val="superscript"/>
        </w:rPr>
        <w:t>er</w:t>
      </w:r>
      <w:r w:rsidRPr="0098629B">
        <w:t xml:space="preserve"> janvier 2018 au 31 décembre 2020, s’est étendue au 31 décembre 2021. L’obligation imposée aux vendeurs d’énergie en quatrième période équivaut à 2133 TWhc d’actions classiques sur la période 2018-2021 dont 533 TWhc à réaliser au bénéfice des ménages en situation de précarité énergétique.</w:t>
      </w:r>
    </w:p>
    <w:p w14:paraId="2BAF55C6" w14:textId="4278D35F" w:rsidR="00C060AE" w:rsidRPr="0098629B" w:rsidRDefault="00C060AE" w:rsidP="00C060AE">
      <w:pPr>
        <w:spacing w:before="240" w:after="240"/>
      </w:pPr>
      <w:r w:rsidRPr="0098629B">
        <w:t>La 5ème période, qui commence au 1er janvier 2022 dans le cadre du paquet législatif « Fit for 55 », a un niveau d’obligation fixé à 2 500 TWh cumac sur quatre ans dont près de 30 % au bénéfice des ménages en situation de précarité énergétique.</w:t>
      </w:r>
    </w:p>
    <w:p w14:paraId="007A516B" w14:textId="4151EB69" w:rsidR="00C060AE" w:rsidRPr="0098629B" w:rsidRDefault="00C060AE" w:rsidP="00C060AE">
      <w:pPr>
        <w:spacing w:before="240" w:after="240"/>
      </w:pPr>
      <w:r w:rsidRPr="0098629B">
        <w:t xml:space="preserve">En 2014, une part proportionnelle aux émissions de </w:t>
      </w:r>
      <w:r w:rsidR="00811B0F" w:rsidRPr="0098629B">
        <w:t>CO</w:t>
      </w:r>
      <w:r w:rsidR="00811B0F" w:rsidRPr="0098629B">
        <w:rPr>
          <w:vertAlign w:val="subscript"/>
        </w:rPr>
        <w:t>2</w:t>
      </w:r>
      <w:r w:rsidRPr="0098629B">
        <w:t xml:space="preserve"> des produits énergétiques a été introduite au sein des taxes intérieures de consommation sur les produits énergétiques (TICPE). La </w:t>
      </w:r>
      <w:r w:rsidRPr="0098629B">
        <w:rPr>
          <w:b/>
          <w:bCs/>
        </w:rPr>
        <w:t xml:space="preserve">« composante carbone </w:t>
      </w:r>
      <w:r w:rsidRPr="0098629B">
        <w:t>» s’élève actuellement à 44,6€/t</w:t>
      </w:r>
      <w:r w:rsidR="00811B0F" w:rsidRPr="0098629B">
        <w:t>CO</w:t>
      </w:r>
      <w:r w:rsidR="00811B0F" w:rsidRPr="0098629B">
        <w:rPr>
          <w:vertAlign w:val="subscript"/>
        </w:rPr>
        <w:t>2</w:t>
      </w:r>
      <w:r w:rsidRPr="0098629B">
        <w:t xml:space="preserve">. </w:t>
      </w:r>
    </w:p>
    <w:p w14:paraId="6785867C" w14:textId="47075929" w:rsidR="00C060AE" w:rsidRPr="0098629B" w:rsidRDefault="00C060AE" w:rsidP="00C060AE">
      <w:r w:rsidRPr="0098629B">
        <w:t xml:space="preserve">Dans le cadre de la transposition de la directive 2012/27/UE relative à l'efficacité énergétique, les entreprises employant plus de 250 salariés ou ayant un chiffre d'affaire annuel de plus de 50 millions d’euros et un total de bilan de plus de 43 millions d’euros doivent réaliser tous les 4 ans un </w:t>
      </w:r>
      <w:r w:rsidRPr="0098629B">
        <w:rPr>
          <w:b/>
          <w:bCs/>
        </w:rPr>
        <w:t>audit énergétique</w:t>
      </w:r>
      <w:r w:rsidRPr="0098629B">
        <w:t>. L’audit énergétique, réalisé par un auditeur interne ou externe, consiste en une analyse méthodique des flux et des consommations énergétiques d’un site et doit permettre aux entreprises d’identifier des actions d'économies d'énergie à tous les niveaux (bâtiments, procédés industriels, transport, etc.).</w:t>
      </w:r>
    </w:p>
    <w:p w14:paraId="4D6B1A89" w14:textId="09FE8494" w:rsidR="00630A34" w:rsidRPr="0098629B" w:rsidRDefault="00630A34" w:rsidP="00B04A7C">
      <w:pPr>
        <w:pStyle w:val="Titre3Niveau3"/>
        <w:rPr>
          <w:lang w:eastAsia="en-US"/>
        </w:rPr>
      </w:pPr>
      <w:bookmarkStart w:id="65" w:name="_Toc121149514"/>
      <w:bookmarkStart w:id="66" w:name="_Toc138344599"/>
      <w:r w:rsidRPr="0098629B">
        <w:rPr>
          <w:lang w:eastAsia="en-US"/>
        </w:rPr>
        <w:t>Agriculture et forêt</w:t>
      </w:r>
      <w:bookmarkEnd w:id="65"/>
      <w:bookmarkEnd w:id="66"/>
    </w:p>
    <w:p w14:paraId="619F948E" w14:textId="77777777" w:rsidR="002A52F3" w:rsidRPr="0098629B" w:rsidRDefault="002A52F3" w:rsidP="002A52F3">
      <w:pPr>
        <w:rPr>
          <w:shd w:val="clear" w:color="auto" w:fill="FFFFFF"/>
        </w:rPr>
      </w:pPr>
      <w:r w:rsidRPr="0098629B">
        <w:rPr>
          <w:shd w:val="clear" w:color="auto" w:fill="FFFFFF"/>
        </w:rPr>
        <w:t xml:space="preserve">Les politiques et mesures dans le domaine agricole visent une meilleure maîtrise de la fertilisation azotée, la lutte contre les excédents d’azotes organique et minéral, la réduction des émissions des effluents d’élevage, le développement d’énergies renouvelables d’origine agricole (méthanisation notamment), l’amélioration de la performance énergétique des exploitations, l’augmentation des stocks de carbone dans les sols agricoles, et la diminution des pertes et gaspillages. </w:t>
      </w:r>
    </w:p>
    <w:p w14:paraId="4212ED84" w14:textId="77777777" w:rsidR="002A52F3" w:rsidRPr="0098629B" w:rsidRDefault="002A52F3" w:rsidP="002A52F3">
      <w:pPr>
        <w:rPr>
          <w:shd w:val="clear" w:color="auto" w:fill="FFFFFF"/>
        </w:rPr>
      </w:pPr>
    </w:p>
    <w:p w14:paraId="6B2ECA4D" w14:textId="4CA58C28" w:rsidR="002A52F3" w:rsidRPr="0098629B" w:rsidRDefault="002A52F3" w:rsidP="002A52F3">
      <w:r w:rsidRPr="0098629B">
        <w:rPr>
          <w:shd w:val="clear" w:color="auto" w:fill="FFFFFF"/>
        </w:rPr>
        <w:t xml:space="preserve">La Stratégie Nationale Bas Carbone fixe 6 orientations pour assurer la transition du secteur agricole, comprenant la réduction des émissions de </w:t>
      </w:r>
      <w:r w:rsidR="00891B49" w:rsidRPr="0098629B">
        <w:t>N</w:t>
      </w:r>
      <w:r w:rsidR="00891B49" w:rsidRPr="0098629B">
        <w:rPr>
          <w:vertAlign w:val="subscript"/>
        </w:rPr>
        <w:t>2</w:t>
      </w:r>
      <w:r w:rsidR="00891B49" w:rsidRPr="0098629B">
        <w:t>O</w:t>
      </w:r>
      <w:r w:rsidRPr="0098629B">
        <w:rPr>
          <w:shd w:val="clear" w:color="auto" w:fill="FFFFFF"/>
        </w:rPr>
        <w:t xml:space="preserve">, </w:t>
      </w:r>
      <w:r w:rsidR="00891B49" w:rsidRPr="0098629B">
        <w:t>CH</w:t>
      </w:r>
      <w:r w:rsidR="00891B49" w:rsidRPr="0098629B">
        <w:rPr>
          <w:vertAlign w:val="subscript"/>
        </w:rPr>
        <w:t>4</w:t>
      </w:r>
      <w:r w:rsidRPr="0098629B">
        <w:rPr>
          <w:shd w:val="clear" w:color="auto" w:fill="FFFFFF"/>
        </w:rPr>
        <w:t xml:space="preserve"> et </w:t>
      </w:r>
      <w:r w:rsidR="00811B0F" w:rsidRPr="0098629B">
        <w:t>CO</w:t>
      </w:r>
      <w:r w:rsidR="00811B0F" w:rsidRPr="0098629B">
        <w:rPr>
          <w:vertAlign w:val="subscript"/>
        </w:rPr>
        <w:t>2</w:t>
      </w:r>
      <w:r w:rsidRPr="0098629B">
        <w:rPr>
          <w:shd w:val="clear" w:color="auto" w:fill="FFFFFF"/>
        </w:rPr>
        <w:t xml:space="preserve"> ; le développement de la production d’énergie décarbonée et de la bioéconomie ; l’augmentation du stockage de carbone ; l’évolution des modes de consommation alimentaire. </w:t>
      </w:r>
      <w:r w:rsidRPr="0098629B">
        <w:t xml:space="preserve">Pour renforcer la contribution de l’agriculture à la lutte contre le changement climatique, </w:t>
      </w:r>
      <w:r w:rsidRPr="0098629B">
        <w:rPr>
          <w:bCs/>
        </w:rPr>
        <w:t>plusieurs actions structurantes sont en cours de mise en œuvre. Le volet « Transition agricole, alimentation et forêt » du plan « France Relance »</w:t>
      </w:r>
      <w:r w:rsidRPr="0098629B">
        <w:t xml:space="preserve"> se fixe </w:t>
      </w:r>
      <w:r w:rsidRPr="0098629B">
        <w:rPr>
          <w:bCs/>
        </w:rPr>
        <w:t>3 objectifs</w:t>
      </w:r>
      <w:r w:rsidRPr="0098629B">
        <w:t xml:space="preserve"> : renforcer la souveraineté alimentaire ; accélérer la transition agroécologique pour donner accès à tous les Français à une alimentation saine, durable et locale ; et adapter l’agriculture et la forêt au changement climatique. Le PSN 2023-2027 contribuera à la dynamique de baisse des émissions de l’agriculture et à l’augmentation du stockage de carbone, en particulier via la conditionnalité renforcée, l’écorégime et les mesures du 2</w:t>
      </w:r>
      <w:r w:rsidRPr="0098629B">
        <w:rPr>
          <w:vertAlign w:val="superscript"/>
        </w:rPr>
        <w:t>e</w:t>
      </w:r>
      <w:r w:rsidRPr="0098629B">
        <w:t xml:space="preserve"> pilier. L’article 274 de La loi « climat et résilience » dispose que le PSN doit être compatible avec la SNBC. Un ensemble de plans transversaux contribue également à ces objectifs : </w:t>
      </w:r>
      <w:r w:rsidRPr="0098629B">
        <w:rPr>
          <w:shd w:val="clear" w:color="auto" w:fill="FFFFFF"/>
        </w:rPr>
        <w:t xml:space="preserve">le plan de compétitivité et d’adaptation des exploitations agricoles, le plan énergie méthanisation autonomie azote et le plan de développement de </w:t>
      </w:r>
      <w:r w:rsidRPr="0098629B">
        <w:rPr>
          <w:shd w:val="clear" w:color="auto" w:fill="FFFFFF"/>
        </w:rPr>
        <w:lastRenderedPageBreak/>
        <w:t xml:space="preserve">l’agroforesterie. </w:t>
      </w:r>
      <w:r w:rsidRPr="0098629B">
        <w:t xml:space="preserve">Enfin, </w:t>
      </w:r>
      <w:r w:rsidRPr="0098629B">
        <w:rPr>
          <w:b/>
          <w:bCs/>
        </w:rPr>
        <w:t>le plan d’action climat du ministère de l’Agriculture</w:t>
      </w:r>
      <w:r w:rsidRPr="0098629B">
        <w:t>, publié en juin 2021, trace une feuille de route pour atteindre les objectifs climatiques des secteurs agricole et forestier, et rappelle la cohérence d’ensemble des différents leviers et outils mobilisés par le ministère.</w:t>
      </w:r>
    </w:p>
    <w:p w14:paraId="7D13D4A5" w14:textId="77777777" w:rsidR="002A52F3" w:rsidRPr="0098629B" w:rsidRDefault="002A52F3" w:rsidP="002A52F3">
      <w:pPr>
        <w:rPr>
          <w:shd w:val="clear" w:color="auto" w:fill="FFFFFF"/>
        </w:rPr>
      </w:pPr>
    </w:p>
    <w:p w14:paraId="211256A2" w14:textId="6E401CEA" w:rsidR="002A52F3" w:rsidRPr="0098629B" w:rsidRDefault="002A52F3" w:rsidP="002A52F3">
      <w:pPr>
        <w:rPr>
          <w:lang w:eastAsia="en-US"/>
        </w:rPr>
      </w:pPr>
      <w:r w:rsidRPr="0098629B">
        <w:rPr>
          <w:shd w:val="clear" w:color="auto" w:fill="FFFFFF"/>
        </w:rPr>
        <w:t>Concernant la forêt, les mesures en place cherchent à favoriser la séquestration de carbone dans l’écosystème forestier, et la résilience des peuplements face au changement climatique par une meilleure gestion des forêts, et à développer l’utilisation de produits bio-sourcés (qui permettent à la fois un stockage du carbone et la substitution de matériaux ou de sources d’énergie fortement émetteurs de gaz à effet de serre). Des moyens financiers importants (France Relance, France 2030…)</w:t>
      </w:r>
      <w:r w:rsidRPr="0098629B">
        <w:rPr>
          <w:rFonts w:ascii="Calibri" w:hAnsi="Calibri" w:cs="Calibri"/>
          <w:shd w:val="clear" w:color="auto" w:fill="FFFFFF"/>
        </w:rPr>
        <w:t xml:space="preserve"> </w:t>
      </w:r>
      <w:r w:rsidRPr="0098629B">
        <w:rPr>
          <w:shd w:val="clear" w:color="auto" w:fill="FFFFFF"/>
        </w:rPr>
        <w:t>sont déployés pour atteindre ces objectifs. La filière forêt-bois fait plus globalement l’objet d’une attention spécifique associée à des dispositifs de gouvernance renforcés. Les Assises de la forêt et du bois, conduites entre octobre 2021 et mars 2022, ont notamment permis de dégager de façon concertée les principales actions sur lesquels se focaliser à court-terme, et ont donné lieu à un engagement politique à pérenniser des moyens financiers conséquents sur la forêt. Ces moyens sont associés à des dispositifs de recherche et de suivi renforcés, ainsi qu’à un encadrement environnemental plus exigeant.</w:t>
      </w:r>
    </w:p>
    <w:p w14:paraId="2F6651A4" w14:textId="41D4907F" w:rsidR="00630A34" w:rsidRPr="0098629B" w:rsidRDefault="00630A34" w:rsidP="00B04A7C">
      <w:pPr>
        <w:pStyle w:val="Titre3Niveau3"/>
        <w:rPr>
          <w:lang w:eastAsia="en-US"/>
        </w:rPr>
      </w:pPr>
      <w:bookmarkStart w:id="67" w:name="_Toc123072531"/>
      <w:bookmarkStart w:id="68" w:name="_Toc123072609"/>
      <w:bookmarkStart w:id="69" w:name="_Toc123072779"/>
      <w:bookmarkStart w:id="70" w:name="_Toc121149515"/>
      <w:bookmarkStart w:id="71" w:name="_Toc138344600"/>
      <w:bookmarkEnd w:id="67"/>
      <w:bookmarkEnd w:id="68"/>
      <w:bookmarkEnd w:id="69"/>
      <w:r w:rsidRPr="0098629B">
        <w:rPr>
          <w:lang w:eastAsia="en-US"/>
        </w:rPr>
        <w:t>UTCATF</w:t>
      </w:r>
      <w:bookmarkEnd w:id="70"/>
      <w:bookmarkEnd w:id="71"/>
    </w:p>
    <w:p w14:paraId="2EE7196B" w14:textId="7CD4880D" w:rsidR="00896B85" w:rsidRPr="0098629B" w:rsidRDefault="00896B85" w:rsidP="00896B85">
      <w:pPr>
        <w:spacing w:before="240" w:after="240"/>
      </w:pPr>
      <w:r w:rsidRPr="0098629B">
        <w:t xml:space="preserve">Par rapport aux autres secteurs, le secteur de l’usage des terres, des changements d'affectation des terres et des forêts (UTCATF, ou en anglais LULUCF pour </w:t>
      </w:r>
      <w:r w:rsidRPr="0098629B">
        <w:rPr>
          <w:i/>
          <w:iCs/>
        </w:rPr>
        <w:t>Land Use, Land-Use Change and Forestry</w:t>
      </w:r>
      <w:r w:rsidRPr="0098629B">
        <w:t>) présente la particularité d’être un puits net de carbone : en 2020, l'absorption globale du secteur est d’environ -14 Mt</w:t>
      </w:r>
      <w:r w:rsidR="00811B0F" w:rsidRPr="0098629B">
        <w:t>CO</w:t>
      </w:r>
      <w:r w:rsidR="00811B0F" w:rsidRPr="0098629B">
        <w:rPr>
          <w:vertAlign w:val="subscript"/>
        </w:rPr>
        <w:t>2</w:t>
      </w:r>
      <w:r w:rsidR="00891B49" w:rsidRPr="0098629B">
        <w:rPr>
          <w:vertAlign w:val="subscript"/>
        </w:rPr>
        <w:t>e</w:t>
      </w:r>
      <w:r w:rsidRPr="0098629B">
        <w:t>, ce qui</w:t>
      </w:r>
      <w:r w:rsidRPr="0098629B">
        <w:rPr>
          <w:rFonts w:ascii="TrebuchetMS" w:eastAsiaTheme="minorHAnsi" w:hAnsi="TrebuchetMS" w:cs="TrebuchetMS"/>
          <w:sz w:val="18"/>
          <w:szCs w:val="18"/>
          <w:lang w:eastAsia="en-US"/>
        </w:rPr>
        <w:t xml:space="preserve"> </w:t>
      </w:r>
      <w:r w:rsidRPr="0098629B">
        <w:t>permet donc de compenser 3,6% des émissions des autres secteurs. À elles seules, les forêts représentent un puits de -30,4 Mt</w:t>
      </w:r>
      <w:r w:rsidR="00811B0F" w:rsidRPr="0098629B">
        <w:t>CO</w:t>
      </w:r>
      <w:r w:rsidR="00811B0F" w:rsidRPr="0098629B">
        <w:rPr>
          <w:vertAlign w:val="subscript"/>
        </w:rPr>
        <w:t>2</w:t>
      </w:r>
      <w:r w:rsidR="00891B49" w:rsidRPr="0098629B">
        <w:rPr>
          <w:vertAlign w:val="subscript"/>
        </w:rPr>
        <w:t>e</w:t>
      </w:r>
      <w:r w:rsidRPr="0098629B">
        <w:t>.</w:t>
      </w:r>
      <w:r w:rsidRPr="0098629B">
        <w:rPr>
          <w:strike/>
        </w:rPr>
        <w:t xml:space="preserve"> </w:t>
      </w:r>
    </w:p>
    <w:p w14:paraId="72C6E1FA" w14:textId="409616D0" w:rsidR="00896B85" w:rsidRPr="0098629B" w:rsidRDefault="00896B85" w:rsidP="00896B85">
      <w:pPr>
        <w:spacing w:before="240" w:after="240"/>
      </w:pPr>
      <w:r w:rsidRPr="0098629B">
        <w:t xml:space="preserve">Les mesures présentées dans cette section ont pour effet principal de réduire les émissions de </w:t>
      </w:r>
      <w:r w:rsidR="00811B0F" w:rsidRPr="0098629B">
        <w:t>CO</w:t>
      </w:r>
      <w:r w:rsidR="00811B0F" w:rsidRPr="0098629B">
        <w:rPr>
          <w:vertAlign w:val="subscript"/>
        </w:rPr>
        <w:t>2</w:t>
      </w:r>
      <w:r w:rsidRPr="0098629B">
        <w:t xml:space="preserve"> ou de contribuer au stockage de carbone grâce à l’absorption de </w:t>
      </w:r>
      <w:r w:rsidR="00811B0F" w:rsidRPr="0098629B">
        <w:t>CO</w:t>
      </w:r>
      <w:r w:rsidR="00811B0F" w:rsidRPr="0098629B">
        <w:rPr>
          <w:vertAlign w:val="subscript"/>
        </w:rPr>
        <w:t>2</w:t>
      </w:r>
      <w:r w:rsidRPr="0098629B">
        <w:t xml:space="preserve">. De manière générale, la LAAAF, présentée dans la section B.5, est désormais le texte de référence pour guider l'action climatique dans la filière forêt-bois. En particulier, l'article 67 reconnaît d'intérêt général « la fixation du </w:t>
      </w:r>
      <w:r w:rsidR="00811B0F" w:rsidRPr="0098629B">
        <w:t>CO</w:t>
      </w:r>
      <w:r w:rsidR="00811B0F" w:rsidRPr="0098629B">
        <w:rPr>
          <w:vertAlign w:val="subscript"/>
        </w:rPr>
        <w:t>2</w:t>
      </w:r>
      <w:r w:rsidRPr="0098629B">
        <w:t xml:space="preserve"> par les bois et forêts et le stockage de carbone dans les bois et forêts, le bois et les produits fabriqués à partir de bois, contribuant ainsi à la lutte contre le changement climatique ». Les autres catégories de terres, notamment les terres cultivées et les prairies, sont également l'objet de plusieurs dispositions de la LAAAF, au titre des dispositions sur l'agriculture (voir section B.5). </w:t>
      </w:r>
    </w:p>
    <w:p w14:paraId="52D8384B" w14:textId="77777777" w:rsidR="00896B85" w:rsidRPr="0098629B" w:rsidRDefault="00896B85" w:rsidP="00573042">
      <w:pPr>
        <w:pStyle w:val="Titre4niveau4"/>
        <w:numPr>
          <w:ilvl w:val="2"/>
          <w:numId w:val="13"/>
        </w:numPr>
        <w:spacing w:before="240"/>
      </w:pPr>
      <w:r w:rsidRPr="0098629B">
        <w:t xml:space="preserve">Dispositifs favorables au stockage de carbone dans les sols et la biomasse </w:t>
      </w:r>
    </w:p>
    <w:p w14:paraId="4BF4747B" w14:textId="77777777" w:rsidR="00896B85" w:rsidRPr="0098629B" w:rsidRDefault="00896B85" w:rsidP="00896B85">
      <w:pPr>
        <w:spacing w:before="240" w:after="240"/>
      </w:pPr>
      <w:r w:rsidRPr="0098629B">
        <w:t xml:space="preserve">La Politique agricole commune (PAC) comprend différentes mesures favorables au stockage du carbone dans les sols et la biomasse : </w:t>
      </w:r>
    </w:p>
    <w:p w14:paraId="7C256759" w14:textId="77777777" w:rsidR="00896B85" w:rsidRPr="0098629B" w:rsidRDefault="00896B85" w:rsidP="00573042">
      <w:pPr>
        <w:numPr>
          <w:ilvl w:val="0"/>
          <w:numId w:val="36"/>
        </w:numPr>
        <w:spacing w:before="240" w:after="240"/>
      </w:pPr>
      <w:r w:rsidRPr="0098629B">
        <w:t xml:space="preserve">Le </w:t>
      </w:r>
      <w:r w:rsidRPr="0098629B">
        <w:rPr>
          <w:b/>
        </w:rPr>
        <w:t xml:space="preserve">verdissement </w:t>
      </w:r>
      <w:r w:rsidRPr="0098629B">
        <w:t>qui contribue au maintien d’un ratio des prairies permanentes, à une exigence de diversification des cultures, et à disposer de 5 % de la surfaces des terres arables de l’exploitation agricole en surfaces d’intérêt écologique</w:t>
      </w:r>
      <w:r w:rsidRPr="0098629B">
        <w:rPr>
          <w:rFonts w:ascii="Calibri" w:hAnsi="Calibri" w:cs="Calibri"/>
        </w:rPr>
        <w:t> </w:t>
      </w:r>
      <w:r w:rsidRPr="0098629B">
        <w:t>;</w:t>
      </w:r>
    </w:p>
    <w:p w14:paraId="41FACB46" w14:textId="77777777" w:rsidR="00896B85" w:rsidRPr="0098629B" w:rsidRDefault="00896B85" w:rsidP="00573042">
      <w:pPr>
        <w:numPr>
          <w:ilvl w:val="0"/>
          <w:numId w:val="36"/>
        </w:numPr>
        <w:spacing w:before="240" w:after="240"/>
      </w:pPr>
      <w:r w:rsidRPr="0098629B">
        <w:rPr>
          <w:bCs/>
        </w:rPr>
        <w:t>L’</w:t>
      </w:r>
      <w:r w:rsidRPr="0098629B">
        <w:rPr>
          <w:b/>
          <w:bCs/>
        </w:rPr>
        <w:t xml:space="preserve">Indemnité compensatoire de handicap naturel </w:t>
      </w:r>
      <w:r w:rsidRPr="0098629B">
        <w:t xml:space="preserve">(ICHN), en contribuant largement au maintien des surfaces herbagères extensives, est un levier important pour la préservation et le stockage du carbone dans les sols des terres cultivées et des prairies ; </w:t>
      </w:r>
    </w:p>
    <w:p w14:paraId="4D5525B4" w14:textId="77777777" w:rsidR="00896B85" w:rsidRPr="0098629B" w:rsidRDefault="00896B85" w:rsidP="00573042">
      <w:pPr>
        <w:numPr>
          <w:ilvl w:val="0"/>
          <w:numId w:val="36"/>
        </w:numPr>
        <w:spacing w:before="240" w:after="240"/>
      </w:pPr>
      <w:r w:rsidRPr="0098629B">
        <w:t xml:space="preserve">La conditionnalité prévoit plusieurs </w:t>
      </w:r>
      <w:r w:rsidRPr="0098629B">
        <w:rPr>
          <w:b/>
          <w:bCs/>
        </w:rPr>
        <w:t xml:space="preserve">bonnes conditions agricoles et environnementales </w:t>
      </w:r>
      <w:r w:rsidRPr="0098629B">
        <w:t xml:space="preserve">(BCAE) et plusieurs </w:t>
      </w:r>
      <w:r w:rsidRPr="0098629B">
        <w:rPr>
          <w:b/>
          <w:bCs/>
        </w:rPr>
        <w:t xml:space="preserve">exigences réglementaires en matière de gestion </w:t>
      </w:r>
      <w:r w:rsidRPr="0098629B">
        <w:t xml:space="preserve">(ERMG) qui favorisent un plus fort retour au sol des matières organiques, des surfaces en herbe ou des milieux propices à la diversité des espèces animales et végétales (maintien des haies, des mares et des bosquets) et donc mieux adaptés ; </w:t>
      </w:r>
    </w:p>
    <w:p w14:paraId="56944C19" w14:textId="77777777" w:rsidR="00896B85" w:rsidRPr="0098629B" w:rsidRDefault="00896B85" w:rsidP="00573042">
      <w:pPr>
        <w:numPr>
          <w:ilvl w:val="0"/>
          <w:numId w:val="36"/>
        </w:numPr>
        <w:spacing w:before="240" w:after="240"/>
      </w:pPr>
      <w:r w:rsidRPr="0098629B">
        <w:t xml:space="preserve">Les </w:t>
      </w:r>
      <w:r w:rsidRPr="0098629B">
        <w:rPr>
          <w:b/>
          <w:bCs/>
        </w:rPr>
        <w:t xml:space="preserve">soutiens couplés du premier pilier </w:t>
      </w:r>
      <w:r w:rsidRPr="0098629B">
        <w:t xml:space="preserve">visant à accompagner la production de légumineuses, peuvent contribuer à permettre le stockage de matière organique en maintenant la fertilité des sols. Les trois composantes du verdissement favorisent les apports en matière organique, les surfaces en herbe ou les couverts ligneux, bénéfiques pour le stockage du carbone, ainsi que la diversité, source d’une meilleure adaptation ; </w:t>
      </w:r>
    </w:p>
    <w:p w14:paraId="12382F88" w14:textId="77777777" w:rsidR="00896B85" w:rsidRPr="0098629B" w:rsidRDefault="00896B85" w:rsidP="00573042">
      <w:pPr>
        <w:numPr>
          <w:ilvl w:val="0"/>
          <w:numId w:val="36"/>
        </w:numPr>
        <w:spacing w:before="240" w:after="240"/>
      </w:pPr>
      <w:r w:rsidRPr="0098629B">
        <w:lastRenderedPageBreak/>
        <w:t xml:space="preserve">L’action climatique sur les sols agricoles passe aussi par les </w:t>
      </w:r>
      <w:r w:rsidRPr="0098629B">
        <w:rPr>
          <w:b/>
          <w:bCs/>
        </w:rPr>
        <w:t xml:space="preserve">mesures agro-environnementales et climatiques </w:t>
      </w:r>
      <w:r w:rsidRPr="0098629B">
        <w:t>(MAEC). L’une d’entre elles, la conversion au semis direct sous couvert (SOL_01), est désormais consacrée aux sols agricoles, visant explicitement à la réduction du travail du sol, la mise en place de couverts et la diversification des rotations culturales. Plusieurs types d’opération (TO) et de MAEC dites « systèmes » concouraient déjà à l’augmentation ou la préservation de la matière organique dans les sols, en permettant le maintien et la gestion extensive des surfaces en herbe et des parcours, d’arbres et de haies, des légumineuses, ou encore de milieux remarquables, ou l’entretien des prés-vergers</w:t>
      </w:r>
      <w:r w:rsidRPr="0098629B">
        <w:rPr>
          <w:rFonts w:ascii="Calibri" w:hAnsi="Calibri" w:cs="Calibri"/>
        </w:rPr>
        <w:t> </w:t>
      </w:r>
      <w:r w:rsidRPr="0098629B">
        <w:t xml:space="preserve">; </w:t>
      </w:r>
    </w:p>
    <w:p w14:paraId="10841CB9" w14:textId="77777777" w:rsidR="00896B85" w:rsidRPr="0098629B" w:rsidRDefault="00896B85" w:rsidP="00573042">
      <w:pPr>
        <w:numPr>
          <w:ilvl w:val="0"/>
          <w:numId w:val="36"/>
        </w:numPr>
        <w:spacing w:before="240" w:after="240"/>
      </w:pPr>
      <w:r w:rsidRPr="0098629B">
        <w:t>Dans le cadre du second pilier, le volet d’</w:t>
      </w:r>
      <w:r w:rsidRPr="0098629B">
        <w:rPr>
          <w:b/>
          <w:bCs/>
        </w:rPr>
        <w:t xml:space="preserve">assistance technique du Programme national de gestion des risques et de l’assistance technique </w:t>
      </w:r>
      <w:r w:rsidRPr="0098629B">
        <w:t xml:space="preserve">(PNGRAT) est mobilisé pour améliorer la connaissance des sols (référentiels régionaux pédologiques) et plusieurs mesures des </w:t>
      </w:r>
      <w:r w:rsidRPr="0098629B">
        <w:rPr>
          <w:b/>
          <w:bCs/>
        </w:rPr>
        <w:t xml:space="preserve">Programmes de développement rural régionaux </w:t>
      </w:r>
      <w:r w:rsidRPr="0098629B">
        <w:t xml:space="preserve">(PDRR) concourent à l’amélioration de la teneur en carbone des sols agricoles. </w:t>
      </w:r>
    </w:p>
    <w:p w14:paraId="374E8E0B" w14:textId="77777777" w:rsidR="00896B85" w:rsidRPr="0098629B" w:rsidRDefault="00896B85" w:rsidP="00896B85">
      <w:pPr>
        <w:spacing w:before="240" w:after="240"/>
      </w:pPr>
      <w:r w:rsidRPr="0098629B">
        <w:t xml:space="preserve">L’amélioration de la teneur en carbone des sols agricoles passe également par l’investissement, grâce à certaines aides du </w:t>
      </w:r>
      <w:r w:rsidRPr="0098629B">
        <w:rPr>
          <w:b/>
          <w:bCs/>
        </w:rPr>
        <w:t xml:space="preserve">Plan de compétitivité et d’adaptation des exploitations agricoles </w:t>
      </w:r>
      <w:r w:rsidRPr="0098629B">
        <w:t xml:space="preserve">(PCAE) dédiées à la lutte contre l’érosion, à l’optimisation de la fertilisation organique qui permet un retour accru de matière organique aux sols, aux plantations de cultures pérennes et aux couvertures végétales plus importantes des sols agricoles. </w:t>
      </w:r>
    </w:p>
    <w:p w14:paraId="5BAC159C" w14:textId="77777777" w:rsidR="00896B85" w:rsidRPr="0098629B" w:rsidRDefault="00896B85" w:rsidP="00896B85">
      <w:pPr>
        <w:spacing w:before="240" w:after="240"/>
      </w:pPr>
      <w:r w:rsidRPr="0098629B">
        <w:t xml:space="preserve">Les mesures en faveur de l'agroforesterie sont aussi des leviers importants pour favoriser le stockage de carbone à la fois dans le sol et dans la biomasse végétale. </w:t>
      </w:r>
      <w:r w:rsidRPr="0098629B">
        <w:rPr>
          <w:b/>
          <w:bCs/>
        </w:rPr>
        <w:t xml:space="preserve">Le plan de développement de l’agroforesterie </w:t>
      </w:r>
      <w:r w:rsidRPr="0098629B">
        <w:t xml:space="preserve">lancé en 2016 est constitué de cinq axes d'actions : i) renforcer la connaissance, le suivi, et les actions de recherche sur l'agroforesterie ; ii) améliorer le cadre réglementaire et juridique et renforcer les appuis financiers ; iii) développer le conseil et la formation, promouvoir l'agroforesterie et valoriser ses productions ; iv) valoriser économiquement les productions de l'agroforesterie, et les développer sur les terroirs et les territoires ; v) promouvoir les approches européennes et internationales. </w:t>
      </w:r>
    </w:p>
    <w:p w14:paraId="73C5E4CD" w14:textId="77777777" w:rsidR="00896B85" w:rsidRPr="0098629B" w:rsidRDefault="00896B85" w:rsidP="00896B85">
      <w:pPr>
        <w:spacing w:before="240" w:after="240"/>
      </w:pPr>
      <w:r w:rsidRPr="0098629B">
        <w:rPr>
          <w:bCs/>
        </w:rPr>
        <w:t>L’</w:t>
      </w:r>
      <w:r w:rsidRPr="0098629B">
        <w:rPr>
          <w:b/>
          <w:bCs/>
        </w:rPr>
        <w:t xml:space="preserve">agriculture biologique </w:t>
      </w:r>
      <w:r w:rsidRPr="0098629B">
        <w:t xml:space="preserve">mérite également d’être mentionnée, par son usage presque exclusif de fertilisants organiques, par des pratiques impliquant plus souvent une diversification des cultures et des couverts intermédiaires, par son usage privilégié de l’herbe en élevage et/ou par une plus forte propension à l’agroforesterie. </w:t>
      </w:r>
    </w:p>
    <w:p w14:paraId="09E7723B" w14:textId="77777777" w:rsidR="00896B85" w:rsidRPr="0098629B" w:rsidRDefault="00896B85" w:rsidP="00896B85">
      <w:pPr>
        <w:spacing w:before="240" w:after="240"/>
      </w:pPr>
      <w:r w:rsidRPr="0098629B">
        <w:rPr>
          <w:bCs/>
        </w:rPr>
        <w:t xml:space="preserve">Le </w:t>
      </w:r>
      <w:r w:rsidRPr="0098629B">
        <w:rPr>
          <w:b/>
          <w:bCs/>
        </w:rPr>
        <w:t xml:space="preserve">réseau Natura 2000 et la directive-cadre sur l’eau </w:t>
      </w:r>
      <w:r w:rsidRPr="0098629B">
        <w:t xml:space="preserve">permettent dans certains cas (lorsque la protection de la biodiversité entraîne des couverts végétaux plus importants ou autour des captages d’eau) de favoriser des sols plus riches en matière organique et des stocks accrus de carbone dans la biomasse végétale. </w:t>
      </w:r>
    </w:p>
    <w:p w14:paraId="0F15E853" w14:textId="77777777" w:rsidR="00896B85" w:rsidRPr="0098629B" w:rsidRDefault="00896B85" w:rsidP="00896B85">
      <w:pPr>
        <w:spacing w:before="240" w:after="240"/>
      </w:pPr>
      <w:r w:rsidRPr="0098629B">
        <w:t xml:space="preserve">Par ailleurs, la mise en œuvre de critères de </w:t>
      </w:r>
      <w:r w:rsidRPr="0098629B">
        <w:rPr>
          <w:b/>
          <w:bCs/>
        </w:rPr>
        <w:t xml:space="preserve">durabilité pour les bioénergies </w:t>
      </w:r>
      <w:r w:rsidRPr="0098629B">
        <w:t>conduit à éviter la production des matières premières agricoles destinées à la production énergétique sur certains sols riches en carbone et dans certaines zones riches en biodiversité, au sein de l’Union européenne ou dans les pays exportateurs vers l’Union européenne.</w:t>
      </w:r>
    </w:p>
    <w:p w14:paraId="567E760B" w14:textId="77777777" w:rsidR="00896B85" w:rsidRPr="0098629B" w:rsidRDefault="00896B85" w:rsidP="00896B85">
      <w:pPr>
        <w:spacing w:before="240" w:after="240"/>
      </w:pPr>
      <w:r w:rsidRPr="0098629B">
        <w:t xml:space="preserve">Le </w:t>
      </w:r>
      <w:r w:rsidRPr="0098629B">
        <w:rPr>
          <w:b/>
        </w:rPr>
        <w:t>plan biodiversité</w:t>
      </w:r>
      <w:r w:rsidRPr="0098629B">
        <w:t xml:space="preserve">, publié en 2018, qui vise à mettre en œuvre l’objectif de réduire à zéro la perte de biodiversité nette, propose des actions pour limiter la consommation d’espaces naturels, agricoles et forestiers pour atteindre l’objectif de zéro artificialisation nette. Il prévoit notamment de revoir les politiques d’urbanisme et d’aménagement commercial afin d’enrayer l’augmentation des surfaces artificialisées (bâtiments, infrastructures de transports, parkings, terrains de sports...) et de favoriser un urbanisme sobre en consommation d’espace. </w:t>
      </w:r>
    </w:p>
    <w:p w14:paraId="4C835F2F" w14:textId="77777777" w:rsidR="00896B85" w:rsidRPr="0098629B" w:rsidRDefault="00896B85" w:rsidP="00896B85">
      <w:pPr>
        <w:spacing w:before="240" w:after="240"/>
      </w:pPr>
      <w:r w:rsidRPr="0098629B">
        <w:t>Le Gouvernement français vise désormais un objectif de zéro artificialisation nette en 2050</w:t>
      </w:r>
      <w:r w:rsidRPr="0098629B">
        <w:rPr>
          <w:rStyle w:val="FootnoteReference"/>
        </w:rPr>
        <w:footnoteReference w:id="7"/>
      </w:r>
      <w:r w:rsidRPr="0098629B">
        <w:t>. Il dispose pour cela des mesures réglementaires de la Loi dite Climat-Résilience, de nouveaux outils d’observation et d’identification des friches, ainsi que de plusieurs dispositifs d’aides financières (financement des opérations de recyclage des friches, doté initialement de 300 M€, et abondé de 350M€ en mai 2021, « aide à la relance de la construction durable » (350M€) favorisant la sobriété foncière, un appel à projet en faveur de l’innovation urbaine est également doté de 305M€, programme Action Cœur de Ville doté de 5 mds€ sur 5 ans).</w:t>
      </w:r>
    </w:p>
    <w:p w14:paraId="66E76A16" w14:textId="77777777" w:rsidR="00896B85" w:rsidRPr="0098629B" w:rsidRDefault="00896B85" w:rsidP="00573042">
      <w:pPr>
        <w:pStyle w:val="Titre4niveau4"/>
        <w:numPr>
          <w:ilvl w:val="2"/>
          <w:numId w:val="13"/>
        </w:numPr>
        <w:spacing w:before="240"/>
      </w:pPr>
      <w:r w:rsidRPr="0098629B">
        <w:t xml:space="preserve">Stockage de carbone en forêt </w:t>
      </w:r>
    </w:p>
    <w:p w14:paraId="56DDA9EE" w14:textId="71F2EC52" w:rsidR="00896B85" w:rsidRPr="0098629B" w:rsidRDefault="00896B85" w:rsidP="00896B85">
      <w:pPr>
        <w:spacing w:before="240" w:after="240"/>
      </w:pPr>
      <w:r w:rsidRPr="0098629B">
        <w:t>Les forêts françaises ont actuellement une contribution nette globalement positive à l’atténuation du changement climatique, avec des émissions (provenant notamment de l’oxydation des bois morts et des prélèvements) inférieures à la séquestration. Le puits forestier était de -30,4</w:t>
      </w:r>
      <w:r w:rsidRPr="0098629B">
        <w:rPr>
          <w:rFonts w:ascii="Calibri" w:hAnsi="Calibri" w:cs="Calibri"/>
        </w:rPr>
        <w:t> </w:t>
      </w:r>
      <w:r w:rsidRPr="0098629B">
        <w:t>Mt</w:t>
      </w:r>
      <w:r w:rsidR="00811B0F" w:rsidRPr="0098629B">
        <w:t>CO</w:t>
      </w:r>
      <w:r w:rsidR="00811B0F" w:rsidRPr="0098629B">
        <w:rPr>
          <w:vertAlign w:val="subscript"/>
        </w:rPr>
        <w:t>2</w:t>
      </w:r>
      <w:r w:rsidRPr="0098629B">
        <w:t xml:space="preserve"> en 2020.</w:t>
      </w:r>
    </w:p>
    <w:p w14:paraId="10CCE46F" w14:textId="6BEEAA91" w:rsidR="00896B85" w:rsidRPr="0098629B" w:rsidRDefault="00896B85" w:rsidP="00896B85">
      <w:pPr>
        <w:spacing w:before="240" w:after="240"/>
      </w:pPr>
      <w:r w:rsidRPr="0098629B">
        <w:rPr>
          <w:b/>
        </w:rPr>
        <w:t>Les Assises de la forêt et du bois, conduites entre octobre 2021 et mars 2022</w:t>
      </w:r>
      <w:r w:rsidRPr="0098629B">
        <w:t>, ont permis de dégager de façon concertée les principales actions sur lesquels se focaliser à court-terme en matière de connaissance, de renouvellement forestier, de préservation de la biodiversité, d’investissement dans la filière de transformation, de gouvernance…</w:t>
      </w:r>
      <w:r w:rsidR="00E862E7" w:rsidRPr="0098629B">
        <w:t>s</w:t>
      </w:r>
      <w:r w:rsidRPr="0098629B">
        <w:t xml:space="preserve"> Ces actions seront reprises et amplifiées dans le cadre du </w:t>
      </w:r>
      <w:r w:rsidRPr="0098629B">
        <w:rPr>
          <w:b/>
        </w:rPr>
        <w:t>« volet forêt » de la planification écologique</w:t>
      </w:r>
      <w:r w:rsidRPr="0098629B">
        <w:t xml:space="preserve"> lancée par la Première Ministre française fin 2022, planification qui viendra notamment concrétiser l’objectif de replantation d’un milliard d’arbres en 10 ans fixé par le Président de la République le 28 octobre 2022, suite aux incendies de l’été.</w:t>
      </w:r>
    </w:p>
    <w:p w14:paraId="1F64290E" w14:textId="77777777" w:rsidR="00896B85" w:rsidRPr="0098629B" w:rsidRDefault="00896B85" w:rsidP="00896B85">
      <w:pPr>
        <w:spacing w:before="240" w:after="240"/>
      </w:pPr>
      <w:r w:rsidRPr="0098629B">
        <w:rPr>
          <w:b/>
        </w:rPr>
        <w:t>Des moyens financiers conséquents ont été débloqués ces dernières années pour financer le renouvellement forestier</w:t>
      </w:r>
      <w:r w:rsidRPr="0098629B">
        <w:t xml:space="preserve"> (France Relance puis France 2030). En clôture des Assises de la forêt et du bois, un financement pérenne a été annoncé. Dédié au renouvellement forestier et doté de 100 à 150 millions d’euros chaque année, il sera mis en place à partir de 2024, faisant appel notamment aux mécanismes de la finance carbone au regard du rôle de puits de carbone que représente la forêt et ses produits.</w:t>
      </w:r>
    </w:p>
    <w:p w14:paraId="6087B070" w14:textId="77777777" w:rsidR="00896B85" w:rsidRPr="0098629B" w:rsidRDefault="00896B85" w:rsidP="00896B85">
      <w:pPr>
        <w:spacing w:before="240" w:after="240"/>
      </w:pPr>
      <w:r w:rsidRPr="0098629B">
        <w:t>Parmi les différentes politiques et mesures contribuant à renforcer le puits carbone forestier, on peut également citer</w:t>
      </w:r>
      <w:r w:rsidRPr="0098629B">
        <w:rPr>
          <w:rFonts w:ascii="Calibri" w:hAnsi="Calibri" w:cs="Calibri"/>
        </w:rPr>
        <w:t> </w:t>
      </w:r>
      <w:r w:rsidRPr="0098629B">
        <w:t xml:space="preserve">: </w:t>
      </w:r>
    </w:p>
    <w:p w14:paraId="508894EC" w14:textId="77777777" w:rsidR="00896B85" w:rsidRPr="0098629B" w:rsidRDefault="00896B85" w:rsidP="00573042">
      <w:pPr>
        <w:numPr>
          <w:ilvl w:val="0"/>
          <w:numId w:val="37"/>
        </w:numPr>
        <w:spacing w:before="240" w:after="240"/>
      </w:pPr>
      <w:r w:rsidRPr="0098629B">
        <w:rPr>
          <w:bCs/>
        </w:rPr>
        <w:t>Le</w:t>
      </w:r>
      <w:r w:rsidRPr="0098629B">
        <w:rPr>
          <w:b/>
          <w:bCs/>
        </w:rPr>
        <w:t xml:space="preserve"> dispositif d'encouragement fiscal à l'investissement en forêt </w:t>
      </w:r>
      <w:r w:rsidRPr="0098629B">
        <w:t>(DEFI) incitant les propriétaires forestiers à s'inscrire dans une démarche de gestion durable de leur forêt, y compris à se regrouper dans des organisations de producteurs ou dans des groupements d’intérêt économique et environnemental forestiers (GIEEF), du fait d'un taux de crédit d'impôt supérieur, est prorogé jusqu'au 31 décembre 2020. L'objectif est d’améliorer la gestion forestière permettant de multiples bénéfices, notamment une réduction de la surcapitalisation de certaines forêts, une meilleure résilience au risque de tempête, mais aussi une plus grande mobilisation du bois ;</w:t>
      </w:r>
    </w:p>
    <w:p w14:paraId="22C61294" w14:textId="77777777" w:rsidR="00896B85" w:rsidRPr="0098629B" w:rsidRDefault="00896B85" w:rsidP="00573042">
      <w:pPr>
        <w:numPr>
          <w:ilvl w:val="0"/>
          <w:numId w:val="37"/>
        </w:numPr>
        <w:spacing w:before="240" w:after="240"/>
      </w:pPr>
      <w:r w:rsidRPr="0098629B">
        <w:t xml:space="preserve">Le </w:t>
      </w:r>
      <w:r w:rsidRPr="0098629B">
        <w:rPr>
          <w:b/>
          <w:bCs/>
        </w:rPr>
        <w:t xml:space="preserve">compte d’investissement forestier et d’assurance </w:t>
      </w:r>
      <w:r w:rsidRPr="0098629B">
        <w:t>(CIFA) incitant les propriétaires forestiers à s’assurer contre le risque de tempête et à constituer une épargne pour financer les travaux de prévention et, le cas échéant, de nettoyage et de reconstitution des peuplements endommagés. L'objectif est d’améliorer la résilience au changement climatique et donc de maintenir la séquestration en forêt</w:t>
      </w:r>
      <w:r w:rsidRPr="0098629B">
        <w:rPr>
          <w:rFonts w:ascii="Calibri" w:hAnsi="Calibri" w:cs="Calibri"/>
        </w:rPr>
        <w:t> </w:t>
      </w:r>
      <w:r w:rsidRPr="0098629B">
        <w:t>;</w:t>
      </w:r>
    </w:p>
    <w:p w14:paraId="23C38060" w14:textId="77777777" w:rsidR="00896B85" w:rsidRPr="0098629B" w:rsidRDefault="00896B85" w:rsidP="00573042">
      <w:pPr>
        <w:pStyle w:val="ListParagraph"/>
        <w:numPr>
          <w:ilvl w:val="0"/>
          <w:numId w:val="37"/>
        </w:numPr>
        <w:spacing w:before="240" w:after="240"/>
      </w:pPr>
      <w:r w:rsidRPr="0098629B">
        <w:rPr>
          <w:bCs/>
        </w:rPr>
        <w:t>Le</w:t>
      </w:r>
      <w:r w:rsidRPr="0098629B">
        <w:rPr>
          <w:b/>
          <w:bCs/>
        </w:rPr>
        <w:t xml:space="preserve"> dispositif de lutte contre les feux de forêts</w:t>
      </w:r>
      <w:r w:rsidRPr="0098629B">
        <w:t>, mis en place chaque année pour protéger les populations et les massifs forestiers. La lutte contre les feux de forêts débute par la mobilisation préventive des moyens d'intervention et sur une évaluation quotidienne et précise du risque de feu. Le Président de la République a annoncé un renforcement de ces moyens suite aux incendies de l’été 2022.</w:t>
      </w:r>
    </w:p>
    <w:p w14:paraId="1E2096BA" w14:textId="77777777" w:rsidR="00896B85" w:rsidRPr="0098629B" w:rsidRDefault="00896B85" w:rsidP="00573042">
      <w:pPr>
        <w:numPr>
          <w:ilvl w:val="0"/>
          <w:numId w:val="37"/>
        </w:numPr>
        <w:spacing w:before="240" w:after="240"/>
      </w:pPr>
      <w:r w:rsidRPr="0098629B">
        <w:t xml:space="preserve">Le </w:t>
      </w:r>
      <w:r w:rsidRPr="0098629B">
        <w:rPr>
          <w:b/>
        </w:rPr>
        <w:t>label bas-carbone</w:t>
      </w:r>
      <w:r w:rsidRPr="0098629B">
        <w:t xml:space="preserve"> créé par le décret n°2018-1043 du 28 novembre 2018, permet au Ministère de la Transition Energétique de favoriser l’émergence de projets évitant l’émission ou séquestrant des gaz à effet de serre (GES) et de les valoriser, dans le cadre de la compensation volontaire ou obligatoire d’acteurs publics ou privés. Des projets séquestrant des émissions de GES de manière additionnelle, par rapport à la réglementation et aux incitations existantes, peuvent ainsi être labellisés puis financés par des acteurs publics ou privés, les réductions d’émission étant finalement reconnues à leur bénéfice. Les projets souhaitant être labellisés bas-carbone doivent s’inscrire dans le champ d’application d’une méthode approuvée par le Ministère de la Transition Energétique. Ces méthodes ont pour rôle de définir le périmètre d’application, les critères d’éligibilité et les critères d’additionnalité et le mode de calcul des GES séquestrés ou réduits. Ces projets de séquestration de GES peuvent concerner l’ensemble des secteurs d’activité, hormis les activités soumises au système d’échange de quotas d’émissions de l’Union Européenne (SEQE-UE). Onze méthodes ont déjà été approuvées dont trois en sylviculture.</w:t>
      </w:r>
    </w:p>
    <w:p w14:paraId="63432BB8" w14:textId="77777777" w:rsidR="00896B85" w:rsidRPr="0098629B" w:rsidRDefault="00896B85" w:rsidP="00573042">
      <w:pPr>
        <w:numPr>
          <w:ilvl w:val="0"/>
          <w:numId w:val="37"/>
        </w:numPr>
        <w:spacing w:before="240" w:after="240"/>
      </w:pPr>
      <w:r w:rsidRPr="0098629B">
        <w:t xml:space="preserve">Le </w:t>
      </w:r>
      <w:r w:rsidRPr="0098629B">
        <w:rPr>
          <w:b/>
        </w:rPr>
        <w:t>Plan national d'adaptation au changement climatique</w:t>
      </w:r>
      <w:r w:rsidRPr="0098629B">
        <w:t>, qui comporte des mesures concernant la forêt. L'adaptation au changement climatique est essentielle pour assurer et sécuriser la fonction de puits de carbone de la forêt.</w:t>
      </w:r>
    </w:p>
    <w:p w14:paraId="22F11CFE" w14:textId="77777777" w:rsidR="00896B85" w:rsidRPr="0098629B" w:rsidRDefault="00896B85" w:rsidP="00896B85">
      <w:pPr>
        <w:spacing w:before="240" w:after="240"/>
      </w:pPr>
      <w:r w:rsidRPr="0098629B">
        <w:t xml:space="preserve">Par ailleurs, un certain nombre de dispositifs transversaux visent à la fois une meilleure gestion de la forêt et une plus grande mobilisation du bois : </w:t>
      </w:r>
    </w:p>
    <w:p w14:paraId="16F20C60" w14:textId="77777777" w:rsidR="00896B85" w:rsidRPr="0098629B" w:rsidRDefault="00896B85" w:rsidP="00573042">
      <w:pPr>
        <w:numPr>
          <w:ilvl w:val="0"/>
          <w:numId w:val="38"/>
        </w:numPr>
        <w:spacing w:before="240" w:after="240"/>
      </w:pPr>
      <w:r w:rsidRPr="0098629B">
        <w:rPr>
          <w:bCs/>
        </w:rPr>
        <w:t xml:space="preserve">Le </w:t>
      </w:r>
      <w:r w:rsidRPr="0098629B">
        <w:rPr>
          <w:b/>
          <w:bCs/>
        </w:rPr>
        <w:t xml:space="preserve">programme national de la forêt et du bois </w:t>
      </w:r>
      <w:r w:rsidRPr="0098629B">
        <w:t xml:space="preserve">(PNFB), issu de la LAAAF et approuvé par décret le 8 février 2017, fixe les orientations de la politique forestière pour la décennie 2016-2026. Il a notamment pour objet l'optimisation des leviers forestiers pour adapter les forêts françaises au changement climatique et contribuer à l’atténuation, en prenant en considération le bilan carbone complet de la filière forêt-bois (stockage de carbone dans la biomasse vivante aérienne et souterraine, dans la biomasse morte, dans les sols forestiers, dans les produits en bois, substitution du bois en remplacement d’énergies fossiles ou de matériaux concurrents). Il fixe notamment un objectif de mobilisation supplémentaire de bois de 12 Mm³ commerciaux d'ici 2026 par rapport à 2015. Les </w:t>
      </w:r>
      <w:r w:rsidRPr="0098629B">
        <w:rPr>
          <w:b/>
          <w:bCs/>
        </w:rPr>
        <w:t xml:space="preserve">programmes régionaux de la forêt et du bois </w:t>
      </w:r>
      <w:r w:rsidRPr="0098629B">
        <w:t xml:space="preserve">(PRFB) sont une déclinaison régionale du programme national de la forêt et du bois et sont en cours d’élaboration par les régions. Les PRFB reprendront les éléments structurants des plans pluriannuels régionaux de développement forestier ; </w:t>
      </w:r>
    </w:p>
    <w:p w14:paraId="5ED17905" w14:textId="77777777" w:rsidR="00896B85" w:rsidRPr="0098629B" w:rsidRDefault="00896B85" w:rsidP="00573042">
      <w:pPr>
        <w:numPr>
          <w:ilvl w:val="0"/>
          <w:numId w:val="38"/>
        </w:numPr>
        <w:spacing w:before="240" w:after="240"/>
      </w:pPr>
      <w:r w:rsidRPr="0098629B">
        <w:rPr>
          <w:bCs/>
        </w:rPr>
        <w:t xml:space="preserve">Le </w:t>
      </w:r>
      <w:r w:rsidRPr="0098629B">
        <w:rPr>
          <w:b/>
          <w:bCs/>
        </w:rPr>
        <w:t xml:space="preserve">plan d’action interministériel pour la relance de la filière forêt bois </w:t>
      </w:r>
      <w:r w:rsidRPr="0098629B">
        <w:rPr>
          <w:bCs/>
        </w:rPr>
        <w:t>(PAIFB), présenté par le gouvernement le 16 novembre 2018. Il identifie des actions prioritaires regroupées en trois axes qui portent sur la mobilisation et le renouvellement durable de la forêt, le développement des marchés finaux et le soutien à l’innovation et à l’investissement, l’amélioration de la performance environnementale de la filière et son développement dans les territoires.</w:t>
      </w:r>
    </w:p>
    <w:p w14:paraId="251C8CDC" w14:textId="77777777" w:rsidR="00896B85" w:rsidRPr="0098629B" w:rsidRDefault="00896B85" w:rsidP="00573042">
      <w:pPr>
        <w:numPr>
          <w:ilvl w:val="0"/>
          <w:numId w:val="38"/>
        </w:numPr>
        <w:spacing w:before="240" w:after="240"/>
      </w:pPr>
      <w:r w:rsidRPr="0098629B">
        <w:t xml:space="preserve">Le </w:t>
      </w:r>
      <w:r w:rsidRPr="0098629B">
        <w:rPr>
          <w:b/>
        </w:rPr>
        <w:t>contrat stratégique de la filière bois</w:t>
      </w:r>
      <w:r w:rsidRPr="0098629B">
        <w:t xml:space="preserve"> (CSF 2018-2022), signé par les professionnels de la filière et le gouvernement, vise à promouvoir l'usage de bois et renforcer la compétitivité de la filière. Le CSF contribue à préciser un nouveau modèle d’économie circulaire visant à produire de manière durable, en limitant les gaspillages de matières premières et en veillant au recyclage et à la valorisation des déchets de bois. Il prévoit également de développer l'usage du bois dans la construction, permettant ainsi un stockage de longue durée du carbone. Un avenant a été signé pour les années 2021-2022 pour la mise en œuvre du plan de relance.</w:t>
      </w:r>
    </w:p>
    <w:p w14:paraId="535497CE" w14:textId="77777777" w:rsidR="00896B85" w:rsidRPr="0098629B" w:rsidRDefault="00896B85" w:rsidP="00573042">
      <w:pPr>
        <w:numPr>
          <w:ilvl w:val="0"/>
          <w:numId w:val="38"/>
        </w:numPr>
        <w:spacing w:before="240" w:after="240"/>
      </w:pPr>
      <w:r w:rsidRPr="0098629B">
        <w:t xml:space="preserve">La </w:t>
      </w:r>
      <w:r w:rsidRPr="0098629B">
        <w:rPr>
          <w:b/>
        </w:rPr>
        <w:t>Stratégie nationale bio-économie</w:t>
      </w:r>
      <w:r w:rsidRPr="0098629B">
        <w:t xml:space="preserve"> (adoptée en 2017) et son plan d'action 2018-2020 intègrent dans une même perspective toutes les politiques publiques s’intéressant à la biomasse, afin de remettre l’économie du carbone renouvelable et du vivant au cœur de l’économie, en substituant les produits fossiles et miniers par des produits biosourcés. Le plan d'action décline la stratégie bio-économie en actions opérationnelles réparties en cinq axes : améliorer la connaissance</w:t>
      </w:r>
      <w:r w:rsidRPr="0098629B">
        <w:rPr>
          <w:rFonts w:ascii="Calibri" w:hAnsi="Calibri" w:cs="Calibri"/>
        </w:rPr>
        <w:t> </w:t>
      </w:r>
      <w:r w:rsidRPr="0098629B">
        <w:t>; promouvoir la bio-</w:t>
      </w:r>
      <w:r w:rsidRPr="0098629B">
        <w:rPr>
          <w:rFonts w:cs="Marianne"/>
        </w:rPr>
        <w:t>é</w:t>
      </w:r>
      <w:r w:rsidRPr="0098629B">
        <w:t>conomie et ses produits aupr</w:t>
      </w:r>
      <w:r w:rsidRPr="0098629B">
        <w:rPr>
          <w:rFonts w:cs="Marianne"/>
        </w:rPr>
        <w:t>è</w:t>
      </w:r>
      <w:r w:rsidRPr="0098629B">
        <w:t>s du grand public</w:t>
      </w:r>
      <w:r w:rsidRPr="0098629B">
        <w:rPr>
          <w:rFonts w:ascii="Calibri" w:hAnsi="Calibri" w:cs="Calibri"/>
        </w:rPr>
        <w:t> </w:t>
      </w:r>
      <w:r w:rsidRPr="0098629B">
        <w:t>; créer les conditions d'une rencontre de l’offre et de la demande</w:t>
      </w:r>
      <w:r w:rsidRPr="0098629B">
        <w:rPr>
          <w:rFonts w:ascii="Calibri" w:hAnsi="Calibri" w:cs="Calibri"/>
        </w:rPr>
        <w:t> </w:t>
      </w:r>
      <w:r w:rsidRPr="0098629B">
        <w:t>; produire, mobiliser et transformer durablement des bio-ressources</w:t>
      </w:r>
      <w:r w:rsidRPr="0098629B">
        <w:rPr>
          <w:rFonts w:ascii="Calibri" w:hAnsi="Calibri" w:cs="Calibri"/>
        </w:rPr>
        <w:t> </w:t>
      </w:r>
      <w:r w:rsidRPr="0098629B">
        <w:t>; lever les freins et mobiliser les financements.</w:t>
      </w:r>
    </w:p>
    <w:p w14:paraId="047FC005" w14:textId="3C575468" w:rsidR="00896B85" w:rsidRPr="0098629B" w:rsidRDefault="00896B85" w:rsidP="00573042">
      <w:pPr>
        <w:numPr>
          <w:ilvl w:val="0"/>
          <w:numId w:val="38"/>
        </w:numPr>
        <w:spacing w:before="240" w:after="240"/>
      </w:pPr>
      <w:r w:rsidRPr="0098629B">
        <w:t xml:space="preserve">Le </w:t>
      </w:r>
      <w:r w:rsidRPr="0098629B">
        <w:rPr>
          <w:b/>
        </w:rPr>
        <w:t>Plan Recherche-Innovation Forêt-Bois 2025</w:t>
      </w:r>
      <w:r w:rsidRPr="0098629B">
        <w:t xml:space="preserve"> qui décrit les grandes priorités de la filière en termes de recherche et développement: accroître les usages du bois à forte valeur ajoutée notamment les feuillus, accroître la performance de la filière, assurer son adaptation, etc. Le lancement d’un programme prioritaire de recherche doté de 50 millions d’euros en faveur de la résilience et de la biodiversité des forêts et d’une bioéconomie agile, programme porté par la recherche publique, a été annoncé le 21 novembre 2022</w:t>
      </w:r>
      <w:r w:rsidRPr="0098629B">
        <w:rPr>
          <w:rStyle w:val="FootnoteReference"/>
        </w:rPr>
        <w:footnoteReference w:id="8"/>
      </w:r>
      <w:r w:rsidRPr="0098629B">
        <w:t xml:space="preserve">. </w:t>
      </w:r>
    </w:p>
    <w:p w14:paraId="33F62D00" w14:textId="77777777" w:rsidR="00896B85" w:rsidRPr="0098629B" w:rsidRDefault="00896B85" w:rsidP="00573042">
      <w:pPr>
        <w:pStyle w:val="Titre4niveau4"/>
        <w:numPr>
          <w:ilvl w:val="2"/>
          <w:numId w:val="13"/>
        </w:numPr>
        <w:spacing w:before="240"/>
      </w:pPr>
      <w:r w:rsidRPr="0098629B">
        <w:t xml:space="preserve">Développement du bois matériau </w:t>
      </w:r>
    </w:p>
    <w:p w14:paraId="062920C9" w14:textId="13A94711" w:rsidR="00896B85" w:rsidRPr="0098629B" w:rsidRDefault="00896B85" w:rsidP="00896B85">
      <w:pPr>
        <w:spacing w:before="240" w:after="240"/>
      </w:pPr>
      <w:r w:rsidRPr="0098629B">
        <w:t>Le bois matériau produit et utilisé de façon durable demande peu d’énergie pour sa fabrication et permet de stocker temporairement du carbone : il permet ainsi d’ores et déjà en France le stockage d’environ 2 Mt</w:t>
      </w:r>
      <w:r w:rsidR="00811B0F" w:rsidRPr="0098629B">
        <w:t>CO</w:t>
      </w:r>
      <w:r w:rsidR="00811B0F" w:rsidRPr="0098629B">
        <w:rPr>
          <w:vertAlign w:val="subscript"/>
        </w:rPr>
        <w:t>2</w:t>
      </w:r>
      <w:r w:rsidR="00891B49" w:rsidRPr="0098629B">
        <w:rPr>
          <w:vertAlign w:val="subscript"/>
        </w:rPr>
        <w:t>e</w:t>
      </w:r>
      <w:r w:rsidRPr="0098629B">
        <w:t xml:space="preserve"> annuellement et le développement de ces usages permettrait de l’accroître. Par ailleurs, il peut se substituer à des matériaux dont la fabrication est génératrice de gaz à effet de serre (comme le béton, l’acier et l’aluminium par exemple). </w:t>
      </w:r>
    </w:p>
    <w:p w14:paraId="72DB72F1" w14:textId="3B11FA2D" w:rsidR="00896B85" w:rsidRPr="0098629B" w:rsidRDefault="00896B85" w:rsidP="00896B85">
      <w:pPr>
        <w:spacing w:before="240" w:after="240"/>
      </w:pPr>
      <w:r w:rsidRPr="0098629B">
        <w:t xml:space="preserve">Plusieurs dispositifs sont prévus pour favoriser le développement du bois matériau, en particulier dans la construction. </w:t>
      </w:r>
      <w:r w:rsidRPr="0098629B">
        <w:rPr>
          <w:b/>
          <w:bCs/>
        </w:rPr>
        <w:t xml:space="preserve">Les plans bois I et II et III (le plan bois IV </w:t>
      </w:r>
      <w:r w:rsidRPr="0098629B">
        <w:t xml:space="preserve">couvre la période 2021-2024) ont permis de contribuer à lever les freins techniques et règlementaires pour l'utilisation du bois dans la construction de moyenne et de grande hauteur. </w:t>
      </w:r>
      <w:r w:rsidRPr="0098629B">
        <w:rPr>
          <w:b/>
          <w:bCs/>
        </w:rPr>
        <w:t xml:space="preserve">Le plan nouvelle France industrielle « Immeubles de grande hauteur en bois » </w:t>
      </w:r>
      <w:r w:rsidRPr="0098629B">
        <w:t xml:space="preserve">a pour objet de démontrer, de manière très concrète par la réalisation de bâtiments, la faisabilité de construire en bois en grande hauteur et de démocratiser, par la suite, les solutions techniques les plus adéquates. Enfin, </w:t>
      </w:r>
      <w:r w:rsidRPr="0098629B">
        <w:rPr>
          <w:b/>
          <w:bCs/>
        </w:rPr>
        <w:t xml:space="preserve">la RE2020 </w:t>
      </w:r>
      <w:r w:rsidRPr="0098629B">
        <w:t xml:space="preserve">(cf. section </w:t>
      </w:r>
      <w:r w:rsidR="00E862E7" w:rsidRPr="0098629B">
        <w:fldChar w:fldCharType="begin"/>
      </w:r>
      <w:r w:rsidR="00E862E7" w:rsidRPr="0098629B">
        <w:instrText xml:space="preserve"> REF _Ref122701470 \r \h </w:instrText>
      </w:r>
      <w:r w:rsidR="0098629B">
        <w:instrText xml:space="preserve"> \* MERGEFORMAT </w:instrText>
      </w:r>
      <w:r w:rsidR="00E862E7" w:rsidRPr="0098629B">
        <w:fldChar w:fldCharType="separate"/>
      </w:r>
      <w:r w:rsidR="00677B3C">
        <w:t>C.2</w:t>
      </w:r>
      <w:r w:rsidR="00E862E7" w:rsidRPr="0098629B">
        <w:fldChar w:fldCharType="end"/>
      </w:r>
      <w:r w:rsidRPr="0098629B">
        <w:t>) prend en compte l'ensemble des émissions d'un nouveau bâtiment sur l'ensemble de son cycle de vie (fabrication des matériaux inclus), ce qui promeut les produits biosourcés.</w:t>
      </w:r>
    </w:p>
    <w:p w14:paraId="67D58308" w14:textId="77777777" w:rsidR="00896B85" w:rsidRPr="0098629B" w:rsidRDefault="00896B85" w:rsidP="00896B85">
      <w:pPr>
        <w:spacing w:before="240" w:after="240"/>
      </w:pPr>
      <w:r w:rsidRPr="0098629B">
        <w:t xml:space="preserve">Le </w:t>
      </w:r>
      <w:r w:rsidRPr="0098629B">
        <w:rPr>
          <w:b/>
          <w:bCs/>
        </w:rPr>
        <w:t xml:space="preserve">label « bâtiments biosourcés », </w:t>
      </w:r>
      <w:r w:rsidRPr="0098629B">
        <w:t>opérationnel depuis 2013, permet de donner une meilleure visibilité aux constructions neuves qui font l’effort d’utiliser de façon significative des matériaux d’origine végétale et animale (bois, chanvre, paille, laine, plumes, etc.).</w:t>
      </w:r>
    </w:p>
    <w:p w14:paraId="0510B0F0" w14:textId="77777777" w:rsidR="00896B85" w:rsidRPr="0098629B" w:rsidRDefault="00896B85" w:rsidP="00896B85">
      <w:pPr>
        <w:spacing w:before="240" w:after="240"/>
      </w:pPr>
      <w:r w:rsidRPr="0098629B">
        <w:t xml:space="preserve">Les entreprises de la filière bois bénéficient par ailleurs de plusieurs </w:t>
      </w:r>
      <w:r w:rsidRPr="0098629B">
        <w:rPr>
          <w:b/>
        </w:rPr>
        <w:t>dispositifs de financement gérés par la banque publique d’investissement française Bpifrance</w:t>
      </w:r>
      <w:r w:rsidRPr="0098629B">
        <w:rPr>
          <w:vertAlign w:val="superscript"/>
        </w:rPr>
        <w:footnoteReference w:id="9"/>
      </w:r>
      <w:r w:rsidRPr="0098629B">
        <w:rPr>
          <w:rFonts w:ascii="Calibri" w:hAnsi="Calibri" w:cs="Calibri"/>
        </w:rPr>
        <w:t> </w:t>
      </w:r>
      <w:r w:rsidRPr="0098629B">
        <w:t>: le Prêt Participatif de Développement (PPD) Bois et le Prêt Filière Bois pour les financements en bas de bilan, le Fonds Bois pour les investissements en haut de bilan. Elles bénéficient également d’un dispositif d’accompagnement, l’Accélérateur Filière Bois, comprenant du conseil, de la formation et de la mise en relation pour faciliter leur croissance.</w:t>
      </w:r>
    </w:p>
    <w:p w14:paraId="6C60914B" w14:textId="77777777" w:rsidR="00896B85" w:rsidRPr="0098629B" w:rsidRDefault="00896B85" w:rsidP="00573042">
      <w:pPr>
        <w:pStyle w:val="Titre4niveau4"/>
        <w:numPr>
          <w:ilvl w:val="2"/>
          <w:numId w:val="13"/>
        </w:numPr>
        <w:spacing w:before="240"/>
      </w:pPr>
      <w:r w:rsidRPr="0098629B">
        <w:t xml:space="preserve">Développement de la biomasse énergie </w:t>
      </w:r>
    </w:p>
    <w:p w14:paraId="4FB2ED98" w14:textId="77777777" w:rsidR="00896B85" w:rsidRPr="0098629B" w:rsidRDefault="00896B85" w:rsidP="00896B85">
      <w:pPr>
        <w:spacing w:before="240" w:after="240"/>
      </w:pPr>
      <w:r w:rsidRPr="0098629B">
        <w:t xml:space="preserve">Le bois énergie peut être récolté en tant que coproduit du bois d’œuvre, dans le respect de la hiérarchie des usages. Il est ainsi intéressant de valoriser sous forme de chaleur les produits connexes de récolte de bois d'œuvre et d'industrie, de scieries ainsi que certains déchets bois. Plus généralement, le développement de la valorisation de la biomasse sous forme énergétique permet de réduire les émissions de GES dans différents secteurs d’activité lorsqu’elle vient en substitution à des énergies fossiles. Le choix a été fait de rapporter les mesures en faveur du développement de la biomasse énergie dans cette section consacrée à la forêt (plutôt que dans la section énergie) car elles sont complémentaires des mesures visant à assurer une gestion durable des forêts. La politique publique sur la forêt et le bois vise en effet à prendre en compte de manière complémentaire l’amont et l’aval forestiers. </w:t>
      </w:r>
    </w:p>
    <w:p w14:paraId="1E51CA18" w14:textId="77777777" w:rsidR="00896B85" w:rsidRPr="0098629B" w:rsidRDefault="00896B85" w:rsidP="00896B85">
      <w:pPr>
        <w:spacing w:before="240" w:after="240"/>
      </w:pPr>
      <w:r w:rsidRPr="0098629B">
        <w:t xml:space="preserve">La </w:t>
      </w:r>
      <w:r w:rsidRPr="0098629B">
        <w:rPr>
          <w:b/>
          <w:bCs/>
        </w:rPr>
        <w:t xml:space="preserve">Stratégie nationale de mobilisation de la biomasse </w:t>
      </w:r>
      <w:r w:rsidRPr="0098629B">
        <w:t xml:space="preserve">(SNMB) et </w:t>
      </w:r>
      <w:r w:rsidRPr="0098629B">
        <w:rPr>
          <w:b/>
          <w:bCs/>
        </w:rPr>
        <w:t xml:space="preserve">les Schémas régionaux de mobilisation de la biomasse </w:t>
      </w:r>
      <w:r w:rsidRPr="0098629B">
        <w:t xml:space="preserve">(SRB) sont issus de la loi de transition énergétique pour la croissance verte d'août 2015. La SNMB définit des orientations, recommandations et actions concernant les filières de production et de valorisation de la biomasse susceptible d'avoir un usage énergétique, en vue de développer la production de biomasse, et d'augmenter sa mobilisation tout en veillant à une bonne articulation de ses usages et à l'atténuation du changement climatique. Les SRB adaptent la SNMB aux spécificités régionales. </w:t>
      </w:r>
    </w:p>
    <w:p w14:paraId="42C2C772" w14:textId="77777777" w:rsidR="00896B85" w:rsidRPr="0098629B" w:rsidRDefault="00896B85" w:rsidP="00896B85">
      <w:pPr>
        <w:spacing w:before="240" w:after="240"/>
      </w:pPr>
      <w:r w:rsidRPr="0098629B">
        <w:t xml:space="preserve">Concernant la production de chaleur, </w:t>
      </w:r>
      <w:r w:rsidRPr="0098629B">
        <w:rPr>
          <w:bCs/>
        </w:rPr>
        <w:t>le</w:t>
      </w:r>
      <w:r w:rsidRPr="0098629B">
        <w:rPr>
          <w:b/>
          <w:bCs/>
        </w:rPr>
        <w:t xml:space="preserve"> fonds chaleur </w:t>
      </w:r>
      <w:r w:rsidRPr="0098629B">
        <w:t>géré par l’Ademe depuis 2009 (cf. section Énergie) soutient de nombreux projets de chaufferies biomasse. Sur la période 2009-2021, ce sont 6566 projets qui ont été soutenus (dont 1853 projets bois-biomasse) pour un total de 2,9 milliards d’euros d’aides et une production annuelle de chaleur de 3,34 Mtep</w:t>
      </w:r>
      <w:r w:rsidRPr="0098629B">
        <w:rPr>
          <w:rStyle w:val="FootnoteReference"/>
        </w:rPr>
        <w:footnoteReference w:id="10"/>
      </w:r>
      <w:r w:rsidRPr="0098629B">
        <w:t xml:space="preserve">. De plus, deux appels à manifestation d’intérêt </w:t>
      </w:r>
      <w:r w:rsidRPr="0098629B">
        <w:rPr>
          <w:b/>
          <w:bCs/>
        </w:rPr>
        <w:t xml:space="preserve">DYNAMIC bois </w:t>
      </w:r>
      <w:r w:rsidRPr="0098629B">
        <w:t xml:space="preserve">ont été lancés par l’Ademe en 2015 et 2016 pour soutenir des actions innovantes et opérationnelles permettant de mobiliser du bois supplémentaire pour faciliter l’approvisionnement des chaufferies biomasse financées dans le cadre du fonds chaleur et d’améliorer les peuplements forestiers. </w:t>
      </w:r>
    </w:p>
    <w:p w14:paraId="456A3A41" w14:textId="77777777" w:rsidR="00896B85" w:rsidRPr="0098629B" w:rsidRDefault="00896B85" w:rsidP="00896B85">
      <w:pPr>
        <w:spacing w:before="240" w:after="240"/>
      </w:pPr>
      <w:r w:rsidRPr="0098629B">
        <w:t>La production d’électricité à partir de biomasse solide est soutenue par des dispositifs contractuels issus d’</w:t>
      </w:r>
      <w:r w:rsidRPr="0098629B">
        <w:rPr>
          <w:b/>
          <w:bCs/>
        </w:rPr>
        <w:t>appels d’offres passés</w:t>
      </w:r>
      <w:r w:rsidRPr="0098629B">
        <w:t>. Les dispositifs d’aide se focalisent désormais sur un soutien à la chaleur renouvelable.</w:t>
      </w:r>
    </w:p>
    <w:p w14:paraId="6A24B261" w14:textId="1FDAC798" w:rsidR="00A229A3" w:rsidRPr="0098629B" w:rsidRDefault="00896B85" w:rsidP="00896B85">
      <w:r w:rsidRPr="0098629B">
        <w:t>Par ailleurs, les dispositifs MaPrimeRénov’ (cf. section B.2. Résidentiel/tertiaire), des certificats d’économies d’énergie (cf. section Énergie) et de l’éco-prêt à taux zéro (cf. section Résidentiel/tertiaire) soutiennent le développement du bois-énergie chez les particuliers.</w:t>
      </w:r>
    </w:p>
    <w:p w14:paraId="36146BE6" w14:textId="0E2A52A9" w:rsidR="00630A34" w:rsidRPr="0098629B" w:rsidRDefault="00630A34" w:rsidP="00B04A7C">
      <w:pPr>
        <w:pStyle w:val="Titre3Niveau3"/>
        <w:rPr>
          <w:lang w:eastAsia="en-US"/>
        </w:rPr>
      </w:pPr>
      <w:bookmarkStart w:id="72" w:name="_Toc121149516"/>
      <w:bookmarkStart w:id="73" w:name="_Toc138344601"/>
      <w:r w:rsidRPr="0098629B">
        <w:rPr>
          <w:lang w:eastAsia="en-US"/>
        </w:rPr>
        <w:t>Traitement des déchets</w:t>
      </w:r>
      <w:bookmarkEnd w:id="72"/>
      <w:bookmarkEnd w:id="73"/>
    </w:p>
    <w:p w14:paraId="2F30D50E" w14:textId="16F887D9" w:rsidR="00A229A3" w:rsidRPr="0098629B" w:rsidRDefault="00A229A3" w:rsidP="00A229A3">
      <w:pPr>
        <w:spacing w:before="240" w:after="240"/>
      </w:pPr>
      <w:r w:rsidRPr="0098629B">
        <w:t>Ce secteur a contribué en 2020 à hauteur de 4 %</w:t>
      </w:r>
      <w:r w:rsidRPr="0098629B">
        <w:rPr>
          <w:rStyle w:val="FootnoteReference"/>
        </w:rPr>
        <w:footnoteReference w:id="11"/>
      </w:r>
      <w:r w:rsidRPr="0098629B">
        <w:t xml:space="preserve"> aux émissions de gaz à effet de serre françaises. Le stockage des déchets (mise en décharge) représente 82 % des émissions du secteur, l’incinération sans récupération d’énergie 9 %, les autres traitements de déchets solides (tri et recyclage, production de compost et biogaz) représentent 6 % des émissions du secteur et le traitement des eaux usées 3 %. Le méthane issu du stockage de déchets en décharges et du traitement des déchets solides et des eaux usées est le principal gaz à effet de serre émis par ce secteur en 2020 avec 88 % des émissions), suivi du </w:t>
      </w:r>
      <w:r w:rsidR="00811B0F" w:rsidRPr="0098629B">
        <w:t>CO</w:t>
      </w:r>
      <w:r w:rsidR="00811B0F" w:rsidRPr="0098629B">
        <w:rPr>
          <w:vertAlign w:val="subscript"/>
        </w:rPr>
        <w:t>2</w:t>
      </w:r>
      <w:r w:rsidRPr="0098629B">
        <w:t xml:space="preserve"> provenant de l’incinération des déchets (9 %) et du </w:t>
      </w:r>
      <w:r w:rsidR="00891B49" w:rsidRPr="0098629B">
        <w:t>N</w:t>
      </w:r>
      <w:r w:rsidR="00891B49" w:rsidRPr="0098629B">
        <w:rPr>
          <w:vertAlign w:val="subscript"/>
        </w:rPr>
        <w:t>2</w:t>
      </w:r>
      <w:r w:rsidR="00891B49" w:rsidRPr="0098629B">
        <w:t>O</w:t>
      </w:r>
      <w:r w:rsidRPr="0098629B">
        <w:t xml:space="preserve"> principalement issu du traitement des eaux usées et des déchets solides (3%).</w:t>
      </w:r>
    </w:p>
    <w:p w14:paraId="7F6A349A" w14:textId="77777777" w:rsidR="00A229A3" w:rsidRPr="0098629B" w:rsidRDefault="00A229A3" w:rsidP="00A229A3">
      <w:pPr>
        <w:spacing w:before="240" w:after="240"/>
      </w:pPr>
      <w:r w:rsidRPr="0098629B">
        <w:t xml:space="preserve">La prévention de la production de déchets est inscrite dans le Code de l’environnement comme la priorité en matière de gestion des déchets. La prévention de la production des déchets ne permet pas seulement d’éviter les impacts environnementaux liés à leur traitement. Elle permet également d’éviter les impacts environnementaux des étapes amont du cycle de vie des produits : extraction des ressources naturelles, production des biens et services, distribution, utilisation. </w:t>
      </w:r>
    </w:p>
    <w:p w14:paraId="2870F2D4" w14:textId="77777777" w:rsidR="00A229A3" w:rsidRPr="0098629B" w:rsidRDefault="00A229A3" w:rsidP="00A229A3">
      <w:pPr>
        <w:spacing w:before="240" w:after="240"/>
      </w:pPr>
      <w:r w:rsidRPr="0098629B">
        <w:t xml:space="preserve">Plusieurs mesures ont été mises en place pour réduire la production de déchets : </w:t>
      </w:r>
    </w:p>
    <w:p w14:paraId="102084A9" w14:textId="77777777" w:rsidR="00A229A3" w:rsidRPr="0098629B" w:rsidRDefault="00A229A3" w:rsidP="00573042">
      <w:pPr>
        <w:numPr>
          <w:ilvl w:val="0"/>
          <w:numId w:val="39"/>
        </w:numPr>
        <w:spacing w:before="240" w:after="240"/>
      </w:pPr>
      <w:r w:rsidRPr="0098629B">
        <w:t>L’arrêt de l’éligibilité au complément de rémunération pour la production d’électricité à partir de déchets incinérés dans les UIOM (en 2016) et à partir de gaz de décharge (en 2020).</w:t>
      </w:r>
    </w:p>
    <w:p w14:paraId="4A8E1279" w14:textId="77777777" w:rsidR="00A229A3" w:rsidRPr="0098629B" w:rsidRDefault="00A229A3" w:rsidP="00573042">
      <w:pPr>
        <w:numPr>
          <w:ilvl w:val="0"/>
          <w:numId w:val="39"/>
        </w:numPr>
        <w:spacing w:before="240" w:after="240"/>
      </w:pPr>
      <w:r w:rsidRPr="0098629B">
        <w:t xml:space="preserve">Les </w:t>
      </w:r>
      <w:r w:rsidRPr="0098629B">
        <w:rPr>
          <w:b/>
          <w:bCs/>
        </w:rPr>
        <w:t xml:space="preserve">sacs plastiques à usage unique sont interdits </w:t>
      </w:r>
      <w:r w:rsidRPr="0098629B">
        <w:t xml:space="preserve">depuis le 1er janvier 2016 ; </w:t>
      </w:r>
    </w:p>
    <w:p w14:paraId="476785F2" w14:textId="77777777" w:rsidR="00A229A3" w:rsidRPr="0098629B" w:rsidRDefault="00A229A3" w:rsidP="00573042">
      <w:pPr>
        <w:numPr>
          <w:ilvl w:val="0"/>
          <w:numId w:val="39"/>
        </w:numPr>
        <w:spacing w:before="240" w:after="240"/>
      </w:pPr>
      <w:r w:rsidRPr="0098629B">
        <w:t xml:space="preserve">La </w:t>
      </w:r>
      <w:r w:rsidRPr="0098629B">
        <w:rPr>
          <w:b/>
          <w:bCs/>
        </w:rPr>
        <w:t xml:space="preserve">lutte contre le gaspillage alimentaire </w:t>
      </w:r>
      <w:r w:rsidRPr="0098629B">
        <w:t>a été constituée comme priorité nationale avec un objectif de réduire de moitié les pertes et gaspillages à l’horizon 2025. Les mesures suivantes ont été prises : les grandes surfaces alimentaires ont désormais l’obligation de proposer des conventions à des associations caritatives habilitées pour effectuer des dons de denrées alimentaires invendues. Les distributeurs ont l’interdiction de rendre délibérément les denrées alimentaires invendues impropres à la consommation. L’État, ses établissements publics et les collectivités territoriales ont l’obligation de mettre en place une démarche de lutte contre le gaspillage alimentaire dans les services de restauration collective qu’ils gèrent</w:t>
      </w:r>
      <w:r w:rsidRPr="0098629B">
        <w:rPr>
          <w:rFonts w:ascii="Calibri" w:hAnsi="Calibri" w:cs="Calibri"/>
        </w:rPr>
        <w:t> </w:t>
      </w:r>
      <w:r w:rsidRPr="0098629B">
        <w:t xml:space="preserve">; </w:t>
      </w:r>
    </w:p>
    <w:p w14:paraId="698A7485" w14:textId="77777777" w:rsidR="00A229A3" w:rsidRPr="0098629B" w:rsidRDefault="00A229A3" w:rsidP="00573042">
      <w:pPr>
        <w:numPr>
          <w:ilvl w:val="0"/>
          <w:numId w:val="39"/>
        </w:numPr>
        <w:spacing w:before="240" w:after="240"/>
      </w:pPr>
      <w:r w:rsidRPr="0098629B">
        <w:t xml:space="preserve">L’obsolescence programmée a été définie dans loi du 17 août 2015 relative à la transition énergétique pour la croissance verte comme « l’ensemble des techniques par lesquelles un metteur sur le marché vise à réduire délibérément la durée de vie d’un produit pour en augmenter le taux de remplacement ». La loi reconnaît le </w:t>
      </w:r>
      <w:r w:rsidRPr="0098629B">
        <w:rPr>
          <w:b/>
          <w:bCs/>
        </w:rPr>
        <w:t>délit d’obsolescence programmée</w:t>
      </w:r>
      <w:r w:rsidRPr="0098629B">
        <w:t xml:space="preserve">, qui est puni d’une peine de deux ans d’emprisonnement et de 300 000 euros d’amende, le montant de l’amende pouvant être porté à 5 % du chiffre d’affaires moyen annuel. </w:t>
      </w:r>
    </w:p>
    <w:p w14:paraId="7FA509D3" w14:textId="77777777" w:rsidR="00A229A3" w:rsidRPr="0098629B" w:rsidRDefault="00A229A3" w:rsidP="00A229A3">
      <w:pPr>
        <w:spacing w:before="240" w:after="240"/>
      </w:pPr>
      <w:r w:rsidRPr="0098629B">
        <w:t xml:space="preserve">Après la prévention des déchets, la hiérarchie des traitements de déchets dans le droit français (en application de la directive européenne déchets 2008/98/CE) est la suivante : la réutilisation, le recyclage et les autres formes de valorisation de la matière, la valorisation énergétique et l’élimination (incinération sans valorisation énergétique et stockage en décharge). </w:t>
      </w:r>
    </w:p>
    <w:p w14:paraId="7976D8FD" w14:textId="77777777" w:rsidR="00A229A3" w:rsidRPr="0098629B" w:rsidRDefault="00A229A3" w:rsidP="00A229A3">
      <w:pPr>
        <w:spacing w:before="240" w:after="240"/>
      </w:pPr>
      <w:r w:rsidRPr="0098629B">
        <w:t xml:space="preserve">Les </w:t>
      </w:r>
      <w:r w:rsidRPr="0098629B">
        <w:rPr>
          <w:b/>
          <w:bCs/>
        </w:rPr>
        <w:t xml:space="preserve">filières à responsabilité élargie des producteurs </w:t>
      </w:r>
      <w:r w:rsidRPr="0098629B">
        <w:t xml:space="preserve">(REP) sont des dispositifs d’organisation de la prévention et de la gestion de déchets qui concernent certains types de produits. Ces dispositifs reposent sur le principe de responsabilité élargie du producteur, selon lequel les producteurs, c’est-à-dire les personnes responsables de la mise sur le marché de certains produits, sont rendus responsables de financer ou d’organiser la gestion des déchets issus de ces produits en fin de vie. Il existe actuellement en France une vingtaine de filières qui sont soumises à ce principe, mise en place de manière progressive depuis 1992. Un tel dispositif permet l’intégration par le producteur du coût de gestion des déchets dans le coût du produit et encourage l’écoconception de son produit pour les réduire. La </w:t>
      </w:r>
      <w:r w:rsidRPr="0098629B">
        <w:rPr>
          <w:b/>
        </w:rPr>
        <w:t xml:space="preserve">loi n° 2020-105 du 10 février 2020 relative à la lutte contre le gaspillage et à l'économie circulaire (AGEC) </w:t>
      </w:r>
      <w:r w:rsidRPr="0098629B">
        <w:t>prévoit que tout produit relevant du principe de responsabilité élargie des producteurs (REP), à l'exclusion des emballages ménagers de boissons en verre, fait l'objet d'une signalétique Triman</w:t>
      </w:r>
      <w:r w:rsidRPr="0098629B">
        <w:rPr>
          <w:rStyle w:val="FootnoteReference"/>
        </w:rPr>
        <w:footnoteReference w:id="12"/>
      </w:r>
      <w:r w:rsidRPr="0098629B">
        <w:t xml:space="preserve"> informant le consommateur que ce produit fait l'objet de règles de tri. Cette signalétique Triman est accompagnée d'une information précisant les modalités de tri ou d'apport du déchet issu du produit. Si plusieurs éléments du produit ou des déchets issus du produit font l'objet de modalités de tri différentes, ces modalités sont détaillées élément par élément. Ces informations figurent sur le produit, son emballage ou, à défaut, dans les autres documents fournis avec le produit, sans préjudice des symboles apposés en application d'autres dispositions.</w:t>
      </w:r>
    </w:p>
    <w:p w14:paraId="5F6F4D22" w14:textId="77777777" w:rsidR="00A229A3" w:rsidRPr="0098629B" w:rsidRDefault="00A229A3" w:rsidP="00A229A3">
      <w:pPr>
        <w:spacing w:before="240" w:after="240"/>
      </w:pPr>
      <w:r w:rsidRPr="0098629B">
        <w:t>La loi AGEC prévoit également la création de onze filières REP supplémentaires entre 2021 et 2025</w:t>
      </w:r>
      <w:r w:rsidRPr="0098629B">
        <w:rPr>
          <w:rStyle w:val="FootnoteReference"/>
        </w:rPr>
        <w:footnoteReference w:id="13"/>
      </w:r>
      <w:r w:rsidRPr="0098629B">
        <w:t>.</w:t>
      </w:r>
    </w:p>
    <w:p w14:paraId="4BEEE87E" w14:textId="77777777" w:rsidR="00A229A3" w:rsidRPr="0098629B" w:rsidRDefault="00A229A3" w:rsidP="00A229A3">
      <w:pPr>
        <w:spacing w:before="240" w:after="240"/>
      </w:pPr>
      <w:r w:rsidRPr="0098629B">
        <w:t xml:space="preserve">Juste après les démarches de réduction et de prévention des déchets, le tri à la source des déchets est une étape très importante pour les orienter dans une filière appropriée et augmenter les quantités de déchets valorisés. La loi relative à la transition énergétique pour la croissance verte a mis en place un ensemble de dispositions relatives au tri :  </w:t>
      </w:r>
    </w:p>
    <w:p w14:paraId="275A0D21" w14:textId="77777777" w:rsidR="00A229A3" w:rsidRPr="0098629B" w:rsidRDefault="00A229A3" w:rsidP="00573042">
      <w:pPr>
        <w:numPr>
          <w:ilvl w:val="0"/>
          <w:numId w:val="40"/>
        </w:numPr>
        <w:spacing w:before="240" w:after="240"/>
      </w:pPr>
      <w:r w:rsidRPr="0098629B">
        <w:rPr>
          <w:b/>
          <w:bCs/>
        </w:rPr>
        <w:t xml:space="preserve">Obligation de tri </w:t>
      </w:r>
      <w:r w:rsidRPr="0098629B">
        <w:t xml:space="preserve">pour le papier, le carton, le plastique, les métaux, le bois, le verre en vue d’une valorisation matière ou d’une valorisation énergétique </w:t>
      </w:r>
      <w:r w:rsidRPr="0098629B">
        <w:rPr>
          <w:b/>
          <w:bCs/>
        </w:rPr>
        <w:t xml:space="preserve">pour les déchets des activités économiques </w:t>
      </w:r>
      <w:r w:rsidRPr="0098629B">
        <w:t xml:space="preserve">des entreprises et des administrations ; </w:t>
      </w:r>
    </w:p>
    <w:p w14:paraId="44B67F48" w14:textId="77777777" w:rsidR="00A229A3" w:rsidRPr="0098629B" w:rsidRDefault="00A229A3" w:rsidP="00573042">
      <w:pPr>
        <w:numPr>
          <w:ilvl w:val="0"/>
          <w:numId w:val="40"/>
        </w:numPr>
        <w:spacing w:before="240" w:after="240"/>
      </w:pPr>
      <w:r w:rsidRPr="0098629B">
        <w:rPr>
          <w:b/>
          <w:bCs/>
        </w:rPr>
        <w:t xml:space="preserve">Généralisation du tri à la source des biodéchets </w:t>
      </w:r>
      <w:r w:rsidRPr="0098629B">
        <w:t xml:space="preserve">pour les ménages d’ici 2025; </w:t>
      </w:r>
    </w:p>
    <w:p w14:paraId="283DD442" w14:textId="77777777" w:rsidR="00A229A3" w:rsidRPr="0098629B" w:rsidRDefault="00A229A3" w:rsidP="00573042">
      <w:pPr>
        <w:numPr>
          <w:ilvl w:val="0"/>
          <w:numId w:val="40"/>
        </w:numPr>
        <w:spacing w:before="240" w:after="240"/>
      </w:pPr>
      <w:r w:rsidRPr="0098629B">
        <w:t xml:space="preserve">Déploiement d’une </w:t>
      </w:r>
      <w:r w:rsidRPr="0098629B">
        <w:rPr>
          <w:b/>
          <w:bCs/>
        </w:rPr>
        <w:t>tarification incitative pour l'enlèvement des déchets ménagers et assimilés</w:t>
      </w:r>
      <w:r w:rsidRPr="0098629B">
        <w:t xml:space="preserve">, c’est-à-dire introduire une part variable dans la taxe d’enlèvement des ordures ménagères pour récompenser les bons trieurs ; </w:t>
      </w:r>
    </w:p>
    <w:p w14:paraId="6704BF6A" w14:textId="77777777" w:rsidR="00A229A3" w:rsidRPr="0098629B" w:rsidRDefault="00A229A3" w:rsidP="00573042">
      <w:pPr>
        <w:numPr>
          <w:ilvl w:val="0"/>
          <w:numId w:val="40"/>
        </w:numPr>
        <w:spacing w:before="240" w:after="240"/>
      </w:pPr>
      <w:r w:rsidRPr="0098629B">
        <w:rPr>
          <w:b/>
          <w:bCs/>
        </w:rPr>
        <w:t xml:space="preserve">Extension des consignes de tri des emballages ménagers à l’ensemble des emballages en plastique </w:t>
      </w:r>
      <w:r w:rsidRPr="0098629B">
        <w:t xml:space="preserve">d’ici 2022, dont les films et barquettes en plastique (jusqu’ici, seules les bouteilles et les flacons en plastique devaient être triés) ; </w:t>
      </w:r>
    </w:p>
    <w:p w14:paraId="3C3044BD" w14:textId="77777777" w:rsidR="00A229A3" w:rsidRPr="0098629B" w:rsidRDefault="00A229A3" w:rsidP="00573042">
      <w:pPr>
        <w:numPr>
          <w:ilvl w:val="0"/>
          <w:numId w:val="40"/>
        </w:numPr>
        <w:spacing w:before="240" w:after="240"/>
      </w:pPr>
      <w:r w:rsidRPr="0098629B">
        <w:rPr>
          <w:b/>
          <w:bCs/>
        </w:rPr>
        <w:t xml:space="preserve">Harmonisation progressive des consignes de tri et les couleurs des poubelles </w:t>
      </w:r>
      <w:r w:rsidRPr="0098629B">
        <w:t>en France</w:t>
      </w:r>
    </w:p>
    <w:p w14:paraId="22C9CA79" w14:textId="77777777" w:rsidR="00A229A3" w:rsidRPr="0098629B" w:rsidRDefault="00A229A3" w:rsidP="00573042">
      <w:pPr>
        <w:numPr>
          <w:ilvl w:val="0"/>
          <w:numId w:val="40"/>
        </w:numPr>
        <w:spacing w:before="240" w:after="240"/>
      </w:pPr>
      <w:r w:rsidRPr="0098629B">
        <w:t>Mise en place, à compter du 1er janvier 2017, d’</w:t>
      </w:r>
      <w:r w:rsidRPr="0098629B">
        <w:rPr>
          <w:b/>
          <w:bCs/>
        </w:rPr>
        <w:t xml:space="preserve">un réseau de déchèteries professionnelles du BTP </w:t>
      </w:r>
      <w:r w:rsidRPr="0098629B">
        <w:t xml:space="preserve">sous la responsabilité des distributeurs de matériaux de construction, pour reprendre les déchets pré-triés de leurs clients. </w:t>
      </w:r>
    </w:p>
    <w:p w14:paraId="32694632" w14:textId="77777777" w:rsidR="00A229A3" w:rsidRPr="0098629B" w:rsidRDefault="00A229A3" w:rsidP="00A229A3">
      <w:pPr>
        <w:spacing w:before="240" w:after="240"/>
      </w:pPr>
      <w:r w:rsidRPr="0098629B">
        <w:t xml:space="preserve">La </w:t>
      </w:r>
      <w:r w:rsidRPr="0098629B">
        <w:rPr>
          <w:b/>
          <w:bCs/>
        </w:rPr>
        <w:t xml:space="preserve">composante déchets de la taxe générale sur les activités polluantes </w:t>
      </w:r>
      <w:r w:rsidRPr="0098629B">
        <w:t xml:space="preserve">(TGAP) constitue une fiscalité incitative due par tout exploitant d'une décharge (installation de stockage) ou d’un incinérateur (installation de traitement thermique de déchets) soumis à autorisation. Le fait générateur de la taxe est dû à la réception de déchets par l’exploitant de l’installation et vise à réduire en amont la quantité de déchets produite et favoriser le recyclage. Les taux de la TGAP déchets sont régulièrement augmentés afin d’en renforce le caractère incitatif.  Par ailleurs, le taux de la TGAP déchets non dangereux est modulé en fonction de critères environnementaux et énergétiques des décharges et incinérateurs, afin d’inciter à l’exploitation des installations présentant les performances environnementales et de valorisation les plus élevées. </w:t>
      </w:r>
    </w:p>
    <w:p w14:paraId="0BB6B586" w14:textId="77777777" w:rsidR="00A229A3" w:rsidRPr="0098629B" w:rsidRDefault="00A229A3" w:rsidP="00A229A3">
      <w:pPr>
        <w:spacing w:before="240" w:after="240"/>
      </w:pPr>
      <w:r w:rsidRPr="0098629B">
        <w:t xml:space="preserve">Le </w:t>
      </w:r>
      <w:r w:rsidRPr="0098629B">
        <w:rPr>
          <w:b/>
          <w:bCs/>
        </w:rPr>
        <w:t xml:space="preserve">fonds déchets de l’Ademe </w:t>
      </w:r>
      <w:r w:rsidRPr="0098629B">
        <w:t xml:space="preserve">vise à soutenir l’ensemble des opérations qui concourent à mettre en œuvre la politique déchets et l’économie circulaire. Le fonds déchet est alimenté par les recettes de la TGAP déchets. Le niveau de ce fonds permet à l'Ademe d'offrir des soutiens à la plupart des opérations concourant à cette politique, selon des modalités dépendant de la nature des opérations (études, animation, sensibilisation, investissements...) et de leur objectif (prévention, recyclage, valorisation…). Les actions principales portent sur : le tri à la source des biodéchets par les ménages et les entreprises, la prévention de la production des déchets des activités économiques et leur tri, et la tarification incitative du service public de gestion des déchets. </w:t>
      </w:r>
    </w:p>
    <w:p w14:paraId="7B5E827C" w14:textId="77777777" w:rsidR="00A229A3" w:rsidRPr="0098629B" w:rsidRDefault="00A229A3" w:rsidP="00A229A3">
      <w:pPr>
        <w:spacing w:before="240" w:after="240"/>
      </w:pPr>
      <w:r w:rsidRPr="0098629B">
        <w:t xml:space="preserve">La </w:t>
      </w:r>
      <w:r w:rsidRPr="0098629B">
        <w:rPr>
          <w:b/>
          <w:bCs/>
        </w:rPr>
        <w:t>feuille de route sur l’économie circulaire</w:t>
      </w:r>
      <w:r w:rsidRPr="0098629B">
        <w:t xml:space="preserve">, publiée en avril 2018, vise à mieux produire (écoconception, incorporation de matières recyclées), mieux consommer (développement du réemploi et de la réparation, allongement de la durée de vie des produits), mieux gérer les déchets (optimisation du tri des déchets, développement du recyclage et de la valorisation) et mobiliser tous les acteurs. </w:t>
      </w:r>
    </w:p>
    <w:p w14:paraId="73C0C0B6" w14:textId="77777777" w:rsidR="00A229A3" w:rsidRPr="0098629B" w:rsidRDefault="00A229A3" w:rsidP="00A229A3">
      <w:pPr>
        <w:spacing w:before="240" w:after="240"/>
      </w:pPr>
      <w:r w:rsidRPr="0098629B">
        <w:t>Faisant suite à cette feuille de route sur l’économie circulaire de 2018, la</w:t>
      </w:r>
      <w:r w:rsidRPr="0098629B">
        <w:rPr>
          <w:b/>
        </w:rPr>
        <w:t xml:space="preserve"> loi AGEC</w:t>
      </w:r>
      <w:r w:rsidRPr="0098629B">
        <w:t xml:space="preserve"> vise à mettre en place un ensemble de mesures articulées autour de quatre grandes orientations</w:t>
      </w:r>
      <w:r w:rsidRPr="0098629B">
        <w:rPr>
          <w:rFonts w:ascii="Calibri" w:hAnsi="Calibri" w:cs="Calibri"/>
        </w:rPr>
        <w:t> </w:t>
      </w:r>
      <w:r w:rsidRPr="0098629B">
        <w:t>: mettre fin au gaspillage pour pr</w:t>
      </w:r>
      <w:r w:rsidRPr="0098629B">
        <w:rPr>
          <w:rFonts w:cs="Marianne"/>
        </w:rPr>
        <w:t>é</w:t>
      </w:r>
      <w:r w:rsidRPr="0098629B">
        <w:t>server les ressources naturelles, mobiliser les industriels pour transformer les modes de production, renforcer l’information du consommateur et améliorer la collecte des déchets et lutter contre les dépôts sauvages</w:t>
      </w:r>
      <w:r w:rsidRPr="0098629B">
        <w:rPr>
          <w:rFonts w:ascii="Calibri" w:hAnsi="Calibri" w:cs="Calibri"/>
        </w:rPr>
        <w:t> </w:t>
      </w:r>
      <w:r w:rsidRPr="0098629B">
        <w:t>:</w:t>
      </w:r>
    </w:p>
    <w:p w14:paraId="44ADF516" w14:textId="77777777" w:rsidR="00A229A3" w:rsidRPr="0098629B" w:rsidRDefault="00A229A3" w:rsidP="00573042">
      <w:pPr>
        <w:numPr>
          <w:ilvl w:val="0"/>
          <w:numId w:val="17"/>
        </w:numPr>
        <w:spacing w:before="240" w:after="240"/>
      </w:pPr>
      <w:r w:rsidRPr="0098629B">
        <w:t>Pour stopper le gaspillage, la loi prévoit la mise en place d’interdictions de détruire les produits invendus, l’instauration d’une information du consommateur sur la disponibilité (ou non) de pièces détachées pour favoriser la réparation, et un renforcement du diagnostic déchets que doit réaliser le maître d’ouvrage en amont du chantier pour une meilleure gestion des déchets du bâtiment</w:t>
      </w:r>
      <w:r w:rsidRPr="0098629B">
        <w:rPr>
          <w:rFonts w:ascii="Calibri" w:hAnsi="Calibri" w:cs="Calibri"/>
        </w:rPr>
        <w:t> </w:t>
      </w:r>
      <w:r w:rsidRPr="0098629B">
        <w:t>;</w:t>
      </w:r>
    </w:p>
    <w:p w14:paraId="60A02747" w14:textId="77777777" w:rsidR="00A229A3" w:rsidRPr="0098629B" w:rsidRDefault="00A229A3" w:rsidP="00573042">
      <w:pPr>
        <w:numPr>
          <w:ilvl w:val="0"/>
          <w:numId w:val="17"/>
        </w:numPr>
        <w:spacing w:before="240" w:after="240"/>
      </w:pPr>
      <w:r w:rsidRPr="0098629B">
        <w:t>Pour transformer les modes de production, un bonus-malus sera instauré sur la contribution que les fabricants versent pour la gestion et le traitement de la fin de vie de leurs produits afin de récompenser les produits éco-conçus, et les filières REP seront étendues à de nouveaux produits (jouets, cigarettes, articles de sport)</w:t>
      </w:r>
      <w:r w:rsidRPr="0098629B">
        <w:rPr>
          <w:rFonts w:ascii="Calibri" w:hAnsi="Calibri" w:cs="Calibri"/>
        </w:rPr>
        <w:t> </w:t>
      </w:r>
      <w:r w:rsidRPr="0098629B">
        <w:t>;</w:t>
      </w:r>
    </w:p>
    <w:p w14:paraId="7B0FCA46" w14:textId="77777777" w:rsidR="00A229A3" w:rsidRPr="0098629B" w:rsidRDefault="00A229A3" w:rsidP="00573042">
      <w:pPr>
        <w:numPr>
          <w:ilvl w:val="0"/>
          <w:numId w:val="17"/>
        </w:numPr>
        <w:spacing w:before="240" w:after="240"/>
      </w:pPr>
      <w:r w:rsidRPr="0098629B">
        <w:t>Pour mieux consommer, un indice de réparabilité visant à informer le consommateur sera mis en place sur un certain nombre de produits électriques et électroniques de grande consommation, et le tri sera rendu plus efficace grâce à un logo unique et une harmonisation des couleurs des poubelles de tri.</w:t>
      </w:r>
    </w:p>
    <w:p w14:paraId="27CFC675" w14:textId="77777777" w:rsidR="00A229A3" w:rsidRPr="0098629B" w:rsidRDefault="00A229A3" w:rsidP="00573042">
      <w:pPr>
        <w:numPr>
          <w:ilvl w:val="0"/>
          <w:numId w:val="17"/>
        </w:numPr>
        <w:spacing w:before="240" w:after="240"/>
      </w:pPr>
      <w:r w:rsidRPr="0098629B">
        <w:t>La collecte des déchets sera améliorée par la mise à disposition des Français de dispositifs de consigne, l’obligation pour les distributeurs de la vente de reprendre gratuitement un ancien appareil, et la structuration de la filière pour la gestion des déchets du bâtiment.</w:t>
      </w:r>
    </w:p>
    <w:p w14:paraId="68FD470D" w14:textId="77777777" w:rsidR="00A229A3" w:rsidRPr="0098629B" w:rsidRDefault="00A229A3" w:rsidP="00A229A3">
      <w:pPr>
        <w:spacing w:before="240" w:after="240"/>
      </w:pPr>
      <w:r w:rsidRPr="0098629B">
        <w:t>Ces mesures auront un effet positif en termes de réduction des gaz à effet de serre, grâce à l’évolution des modes de production et de consommation. Elles auront également un impact positif en termes de réduction de la quantité de matière produite, grâce à une meilleure réutilisation des matériaux. Enfin, la disparition progressive du plastique à usage unique permettra de freiner la pollution plastique de l’environnement, et ses impacts sur la biodiversité.</w:t>
      </w:r>
    </w:p>
    <w:p w14:paraId="51B2BE94" w14:textId="28FDE7DF" w:rsidR="00A229A3" w:rsidRPr="0098629B" w:rsidRDefault="00A229A3" w:rsidP="006E0C3B">
      <w:pPr>
        <w:spacing w:before="240" w:after="240"/>
      </w:pPr>
      <w:r w:rsidRPr="0098629B">
        <w:t xml:space="preserve">Dans le Pacte national sur les emballages, signé en février 2019, </w:t>
      </w:r>
      <w:r w:rsidRPr="0098629B">
        <w:rPr>
          <w:b/>
        </w:rPr>
        <w:t>les entreprises signataires s'engagent à réduire leur utilisation du plastique</w:t>
      </w:r>
      <w:r w:rsidRPr="0098629B">
        <w:t xml:space="preserve"> (et donc à diminuer la quantité de déchets produite) et souscrivent à une vision commune de l’économie circulaire avec les ONG.</w:t>
      </w:r>
    </w:p>
    <w:p w14:paraId="5C31A8B4" w14:textId="363D9A80" w:rsidR="00630A34" w:rsidRPr="0098629B" w:rsidRDefault="00630A34" w:rsidP="00B04A7C">
      <w:pPr>
        <w:pStyle w:val="Titre3Niveau3"/>
        <w:rPr>
          <w:lang w:eastAsia="en-US"/>
        </w:rPr>
      </w:pPr>
      <w:bookmarkStart w:id="74" w:name="_Toc121149517"/>
      <w:bookmarkStart w:id="75" w:name="_Toc138344602"/>
      <w:r w:rsidRPr="0098629B">
        <w:rPr>
          <w:lang w:eastAsia="en-US"/>
        </w:rPr>
        <w:t>Politiques et mesures transversales</w:t>
      </w:r>
      <w:bookmarkEnd w:id="74"/>
      <w:bookmarkEnd w:id="75"/>
    </w:p>
    <w:p w14:paraId="25C4CA66" w14:textId="77777777" w:rsidR="00A229A3" w:rsidRPr="0098629B" w:rsidRDefault="00A229A3" w:rsidP="00573042">
      <w:pPr>
        <w:pStyle w:val="Titre4niveau4"/>
        <w:numPr>
          <w:ilvl w:val="2"/>
          <w:numId w:val="13"/>
        </w:numPr>
        <w:spacing w:before="240"/>
      </w:pPr>
      <w:r w:rsidRPr="0098629B">
        <w:t xml:space="preserve">Les politiques et mesures impactant l’ensemble des secteurs </w:t>
      </w:r>
    </w:p>
    <w:p w14:paraId="09957B4E" w14:textId="77777777" w:rsidR="00A229A3" w:rsidRPr="0098629B" w:rsidRDefault="00A229A3" w:rsidP="00A229A3">
      <w:pPr>
        <w:spacing w:before="240" w:after="240"/>
      </w:pPr>
      <w:r w:rsidRPr="0098629B">
        <w:t xml:space="preserve">Les politiques et mesures impactant l’ensemble des secteurs sont celles qui concernent les entreprises et les collectivités. Elles sont également de nature à impacter l’ensemble des gaz à effet de serre. </w:t>
      </w:r>
    </w:p>
    <w:p w14:paraId="46A8276B" w14:textId="77777777" w:rsidR="00A229A3" w:rsidRPr="0098629B" w:rsidRDefault="00A229A3" w:rsidP="00A229A3">
      <w:pPr>
        <w:spacing w:before="240" w:after="240"/>
      </w:pPr>
      <w:r w:rsidRPr="0098629B">
        <w:t xml:space="preserve">Depuis 2012, une obligation de réalisation d’un </w:t>
      </w:r>
      <w:r w:rsidRPr="0098629B">
        <w:rPr>
          <w:b/>
        </w:rPr>
        <w:t>bilan d’émissions de gaz à effet de serre</w:t>
      </w:r>
      <w:r w:rsidRPr="0098629B">
        <w:t xml:space="preserve"> et d’un plan d’action visant à les réduire s’applique pour les entreprises de plus de 500 salariés, les collectivités de plus de 50 000 habitants, les établissements publics de plus de 250 salariés et les services de l’État. Le bilan et le plan d'actions doivent être réalisés tous les trois ans dans le cas des collectivités et des établissements publics et tous les quatre ans dans le cas des entreprises, sous peine d’amendes. Il s’agit d’une démarche de diagnostic des émissions de gaz à effet de serre à l'échelle d'une organisation (privée ou publique), réalisé en vue d’identifier et de mobiliser les gisements de réduction des émissions. Depuis le décret n°2022-982 du 1</w:t>
      </w:r>
      <w:r w:rsidRPr="0098629B">
        <w:rPr>
          <w:vertAlign w:val="superscript"/>
        </w:rPr>
        <w:t>er</w:t>
      </w:r>
      <w:r w:rsidRPr="0098629B">
        <w:t xml:space="preserve"> juillet 2022, la réglementation rend obligatoire le calcul de l’ensemble des émissions directes (scope 1) et indirectes significatives (scopes 2 et 3) pour une grande partie des obligés. Un guide méthodologique pour la réalisation du bilan est mis gratuitement à la disposition des organisations. En outre, une plateforme internet de publication des bilans a été mise en place en 2015, afin de faciliter la publication et la diffusion de cette information auprès du public.</w:t>
      </w:r>
    </w:p>
    <w:p w14:paraId="3BFD03AC" w14:textId="77777777" w:rsidR="00A229A3" w:rsidRPr="0098629B" w:rsidRDefault="00A229A3" w:rsidP="00A229A3">
      <w:pPr>
        <w:spacing w:before="240" w:after="240"/>
      </w:pPr>
      <w:r w:rsidRPr="0098629B">
        <w:t xml:space="preserve">Les devoirs des entreprises en matière de responsabilité sociale, environnementale et sociétale ont été renforcés par la loi relative à la transition énergétique pour la croissance verte d'août 2015, en ce qui concerne les obligations de reporting sur le changement climatique. Les grandes entreprises doivent intégrer à leur reporting extra-financier des informations sur les postes significatifs d’émissions de gaz à effet de serre générées du fait de leur activité, notamment par l’usage des biens et services qu’elles produisent, à compter de l’exercice clos au 31 décembre 2016. La notion de postes d’émissions significatifs a ainsi été retenue pour conduire l’entreprise à faire état des impacts de son activité sur le changement climatique, qu’il s’agisse de ses émissions directes et indirectes, notamment celles relevant de l’usage des biens et services qu’elle produit.   </w:t>
      </w:r>
    </w:p>
    <w:p w14:paraId="7482A21E" w14:textId="77777777" w:rsidR="00A229A3" w:rsidRPr="0098629B" w:rsidRDefault="00A229A3" w:rsidP="00A229A3">
      <w:pPr>
        <w:spacing w:before="240" w:after="240"/>
      </w:pPr>
      <w:r w:rsidRPr="0098629B">
        <w:t xml:space="preserve">La même loi a également complété le dispositif réglementaire relatif à l’information par les sociétés de gestion de portefeuille des critères environnementaux, sociaux, et de gouvernance (dits « ESG ») pris en compte dans leur politique d’investissement. Les investisseurs institutionnels doivent ainsi publier des informations relatives à leur contribution aux objectifs climatiques et aux risques financiers associés à la transition énergétique et écologique. Ces obligations sont applicables à compter des rapports de gestion publiés en 2017 pour l’année 2016. </w:t>
      </w:r>
    </w:p>
    <w:p w14:paraId="5292416C" w14:textId="77777777" w:rsidR="00A229A3" w:rsidRPr="0098629B" w:rsidRDefault="00A229A3" w:rsidP="00A229A3">
      <w:pPr>
        <w:spacing w:before="240" w:after="240"/>
      </w:pPr>
      <w:r w:rsidRPr="0098629B">
        <w:t xml:space="preserve">Depuis 2021, deux dispositifs de </w:t>
      </w:r>
      <w:r w:rsidRPr="0098629B">
        <w:rPr>
          <w:b/>
        </w:rPr>
        <w:t>conditionnalité environnementale des aides publiques</w:t>
      </w:r>
      <w:r w:rsidRPr="0098629B">
        <w:t xml:space="preserve"> ont également été introduits</w:t>
      </w:r>
      <w:r w:rsidRPr="0098629B">
        <w:rPr>
          <w:rFonts w:ascii="Calibri" w:hAnsi="Calibri" w:cs="Calibri"/>
        </w:rPr>
        <w:t> </w:t>
      </w:r>
      <w:r w:rsidRPr="0098629B">
        <w:t>:</w:t>
      </w:r>
    </w:p>
    <w:p w14:paraId="4FE4B50F" w14:textId="77777777" w:rsidR="00A229A3" w:rsidRPr="0098629B" w:rsidRDefault="00A229A3" w:rsidP="00573042">
      <w:pPr>
        <w:numPr>
          <w:ilvl w:val="0"/>
          <w:numId w:val="38"/>
        </w:numPr>
        <w:spacing w:before="240" w:after="240"/>
      </w:pPr>
      <w:r w:rsidRPr="0098629B">
        <w:t>L’article 66 de la loi n°2020-935 du 30 juillet 2020 prévoit que les entreprises de plus de 500 millions d’euros de chiffre d’affaires soumises à l’obligation de déclaration de performance extra-financière (DPEF) et bénéficiant de participations de l’État dans le cadre du plan d’urgence mis en place par le Gouvernement pour faire face à la crise sanitaire, doivent souscrire à des engagements en matière de réduction de leurs émissions de gaz à effet de serre. Ces engagements doivent être établis en cohérence avec les budgets carbone sectoriels fixés par la Stratégie Nationale Bas-Carbone, sont déclinés sous forme d'un plan d’action et sont suivis annuellement, le tout de façon publique</w:t>
      </w:r>
      <w:r w:rsidRPr="0098629B">
        <w:rPr>
          <w:rFonts w:ascii="Calibri" w:hAnsi="Calibri" w:cs="Calibri"/>
        </w:rPr>
        <w:t> </w:t>
      </w:r>
      <w:r w:rsidRPr="0098629B">
        <w:t>;</w:t>
      </w:r>
    </w:p>
    <w:p w14:paraId="1402DEB6" w14:textId="77777777" w:rsidR="00A229A3" w:rsidRPr="0098629B" w:rsidRDefault="00A229A3" w:rsidP="00573042">
      <w:pPr>
        <w:numPr>
          <w:ilvl w:val="0"/>
          <w:numId w:val="38"/>
        </w:numPr>
        <w:spacing w:before="240" w:after="240"/>
      </w:pPr>
      <w:r w:rsidRPr="0098629B">
        <w:t xml:space="preserve">L’article 244 de la loi n°2020-1721 du 29 décembre 2020 prévoit l’établissement d’un bilan simplifié des émissions de gaz à effet de serre pour les personnes morales de droit privé bénéficiant des crédits au titre du plan de relance suite à la crise sanitaire. Ce rapportage est différent du dispositif des bilans d’émissions de gaz à effet de serre (BEGES), encadré par l’article L. 229-25 du code de l’environnement, à la fois sur le périmètre des obligés et le périmètre des émissions à prendre en compte : </w:t>
      </w:r>
    </w:p>
    <w:p w14:paraId="4D26B2ED" w14:textId="77777777" w:rsidR="00A229A3" w:rsidRPr="0098629B" w:rsidRDefault="00A229A3" w:rsidP="00573042">
      <w:pPr>
        <w:numPr>
          <w:ilvl w:val="1"/>
          <w:numId w:val="38"/>
        </w:numPr>
        <w:spacing w:before="240" w:after="240"/>
      </w:pPr>
      <w:r w:rsidRPr="0098629B">
        <w:t>Sont concernées uniquement les entreprises non soumises au BEGES, présentant un effectif salarié compris entre 50 et 500 personnes (le BEGES s’applique aux personnes morales de droit privé de plus de 500 salariés)</w:t>
      </w:r>
      <w:r w:rsidRPr="0098629B">
        <w:rPr>
          <w:rFonts w:ascii="Calibri" w:hAnsi="Calibri" w:cs="Calibri"/>
        </w:rPr>
        <w:t> </w:t>
      </w:r>
      <w:r w:rsidRPr="0098629B">
        <w:t>;</w:t>
      </w:r>
    </w:p>
    <w:p w14:paraId="60AAFA86" w14:textId="77777777" w:rsidR="00A229A3" w:rsidRPr="0098629B" w:rsidRDefault="00A229A3" w:rsidP="00573042">
      <w:pPr>
        <w:pStyle w:val="ListParagraph"/>
        <w:numPr>
          <w:ilvl w:val="1"/>
          <w:numId w:val="38"/>
        </w:numPr>
        <w:spacing w:before="240" w:after="240"/>
      </w:pPr>
      <w:r w:rsidRPr="0098629B">
        <w:t>Doivent être estimées uniquement les émissions directes produites par les sources d’énergie fixes et mobiles nécessaires aux activités de la personne morale.</w:t>
      </w:r>
    </w:p>
    <w:p w14:paraId="1A59CB03" w14:textId="77777777" w:rsidR="00A229A3" w:rsidRPr="0098629B" w:rsidRDefault="00A229A3" w:rsidP="00A229A3">
      <w:pPr>
        <w:spacing w:before="240" w:after="240"/>
      </w:pPr>
      <w:r w:rsidRPr="0098629B">
        <w:t>Par ailleurs, les décrets n° 2022-538 et 2022-539 du 13 avril 2022 prévoient qu’à compter du 1</w:t>
      </w:r>
      <w:r w:rsidRPr="0098629B">
        <w:rPr>
          <w:vertAlign w:val="superscript"/>
        </w:rPr>
        <w:t>er</w:t>
      </w:r>
      <w:r w:rsidRPr="0098629B">
        <w:t xml:space="preserve"> janvier 2023, il sera interdit aux annonceurs d'affirmer dans une publicité qu'un produit ou service est « neutre en carbone » sans présenter un bilan des émissions de gaz à effet de serre sur l'ensemble du cycle de vie du produit ou service, la trajectoire de réduction prévue des émissions, ainsi que les modalités de compensation des émissions résiduelles. Ces éléments devront être facilement accessibles pour le public et mis à jour tous les ans. Ce dispositif, prévu à l'article 12 de la Loi Climat et Résilience, vise à garantir une information complète du public sur les allégations « neutre en carbone » et permettra de renforcer progressivement les engagements des annonceurs tout en luttant contre « l’éco-blanchiment ».</w:t>
      </w:r>
    </w:p>
    <w:p w14:paraId="01CDEDE3" w14:textId="77777777" w:rsidR="00A229A3" w:rsidRPr="0098629B" w:rsidRDefault="00A229A3" w:rsidP="00A229A3">
      <w:pPr>
        <w:spacing w:before="240" w:after="240"/>
      </w:pPr>
      <w:r w:rsidRPr="0098629B">
        <w:t>Concernant les collectivités, leur action climatique s’articule autour d’outils de planification territoriale : les Schémas régionaux d’aménagement, de développement durable et d’égalités des territoires (SRADDET) pour les régions, et les Plans climat-air-énergie territoriaux (PCAET) pour les intercommunalités de plus de 20 000 habitants (cf. section A.1. Les fondements institutionnels).</w:t>
      </w:r>
    </w:p>
    <w:p w14:paraId="542BCEFE" w14:textId="77777777" w:rsidR="00A229A3" w:rsidRPr="0098629B" w:rsidRDefault="00A229A3" w:rsidP="00573042">
      <w:pPr>
        <w:pStyle w:val="Titre4niveau4"/>
        <w:numPr>
          <w:ilvl w:val="2"/>
          <w:numId w:val="13"/>
        </w:numPr>
        <w:spacing w:before="240"/>
      </w:pPr>
      <w:r w:rsidRPr="0098629B">
        <w:t xml:space="preserve">Les politiques et mesures transversales sur les gaz fluorés </w:t>
      </w:r>
    </w:p>
    <w:p w14:paraId="2FB0C297" w14:textId="77777777" w:rsidR="00A229A3" w:rsidRPr="0098629B" w:rsidRDefault="00A229A3" w:rsidP="00A229A3">
      <w:pPr>
        <w:spacing w:before="240" w:after="240"/>
      </w:pPr>
      <w:r w:rsidRPr="0098629B">
        <w:t>Le règlement européen n° 517/2014 (dit « F-Gas II ») met en place un certain nombre de dispositions visant à réduire les émissions de gaz fluorés des équipements de réfrigération et de climatisation utilisés dans les bâtiments, l’industrie et les transports frigorifiques. Entré en vigueur le 1</w:t>
      </w:r>
      <w:r w:rsidRPr="0098629B">
        <w:rPr>
          <w:vertAlign w:val="superscript"/>
        </w:rPr>
        <w:t>er</w:t>
      </w:r>
      <w:r w:rsidRPr="0098629B">
        <w:t xml:space="preserve"> janvier 2015, il abroge et remplace le règlement n° 842/2006 (dit « F-Gas »). Il repose sur les dispositions suivantes : </w:t>
      </w:r>
    </w:p>
    <w:p w14:paraId="2B25DCF2" w14:textId="77777777" w:rsidR="00A229A3" w:rsidRPr="0098629B" w:rsidRDefault="00A229A3" w:rsidP="00573042">
      <w:pPr>
        <w:numPr>
          <w:ilvl w:val="0"/>
          <w:numId w:val="17"/>
        </w:numPr>
        <w:spacing w:before="240" w:after="240"/>
      </w:pPr>
      <w:r w:rsidRPr="0098629B">
        <w:t xml:space="preserve">Le renforcement des obligations liées au confinement des équipements (contrôles d’étanchéité, obligations de réparation), à la certification du personnel manipulant les HFC, et à l'obligation de récupération lors de la maintenance et du démantèlement des équipements ; </w:t>
      </w:r>
    </w:p>
    <w:p w14:paraId="6699EB55" w14:textId="723DB5DB" w:rsidR="00A229A3" w:rsidRPr="0098629B" w:rsidRDefault="00A229A3" w:rsidP="00573042">
      <w:pPr>
        <w:numPr>
          <w:ilvl w:val="0"/>
          <w:numId w:val="17"/>
        </w:numPr>
        <w:spacing w:before="240" w:after="240"/>
      </w:pPr>
      <w:r w:rsidRPr="0098629B">
        <w:t xml:space="preserve">La mise en place d’un mécanisme de réduction progressive des quantités de HFC mises sur le marché de 2015 à 2030 via un système de quotas. En 2030, la quantité totale de HFC mise sur le marché, en </w:t>
      </w:r>
      <w:r w:rsidR="00811B0F" w:rsidRPr="0098629B">
        <w:t>CO</w:t>
      </w:r>
      <w:r w:rsidR="00811B0F" w:rsidRPr="0098629B">
        <w:rPr>
          <w:vertAlign w:val="subscript"/>
        </w:rPr>
        <w:t>2</w:t>
      </w:r>
      <w:r w:rsidRPr="0098629B">
        <w:t xml:space="preserve"> équivalent, devra correspondre à 21 % du niveau moyen entre 2009 et 2012 ; </w:t>
      </w:r>
    </w:p>
    <w:p w14:paraId="39E5F74B" w14:textId="77777777" w:rsidR="00A229A3" w:rsidRPr="0098629B" w:rsidRDefault="00A229A3" w:rsidP="00573042">
      <w:pPr>
        <w:numPr>
          <w:ilvl w:val="0"/>
          <w:numId w:val="17"/>
        </w:numPr>
        <w:spacing w:before="240" w:after="240"/>
      </w:pPr>
      <w:r w:rsidRPr="0098629B">
        <w:t xml:space="preserve">Des interdictions sectorielles de mise sur le marché de produits et d’équipements contenant des gaz à effet de serre fluorés dépassant un certain PRG ; </w:t>
      </w:r>
    </w:p>
    <w:p w14:paraId="464CC2CD" w14:textId="77777777" w:rsidR="00A229A3" w:rsidRPr="0098629B" w:rsidRDefault="00A229A3" w:rsidP="00573042">
      <w:pPr>
        <w:numPr>
          <w:ilvl w:val="0"/>
          <w:numId w:val="17"/>
        </w:numPr>
        <w:spacing w:before="240" w:after="240"/>
      </w:pPr>
      <w:r w:rsidRPr="0098629B">
        <w:t xml:space="preserve">L’interdiction de maintenance des installations de réfrigération avec des fluides neufs de PRG supérieur à 2 500 à partir du 1er janvier 2020. </w:t>
      </w:r>
    </w:p>
    <w:p w14:paraId="09DA020D" w14:textId="77777777" w:rsidR="00A229A3" w:rsidRPr="0098629B" w:rsidRDefault="00A229A3" w:rsidP="00A229A3">
      <w:r w:rsidRPr="0098629B">
        <w:rPr>
          <w:rFonts w:cstheme="minorHAnsi"/>
        </w:rPr>
        <w:t>La révision de ce règlement « F-Gas » est engagée afin de réduire encore plus fortement la production et la mise sur le marché de gaz à effet de serre fluorés sur le territoire de l’Union européenne. La proposition actuellement discutée entre les Etats-membres prévoit notamment une diminution de 95% de la mise sur le marché de HFC d’ici 2030 par rapport à 2015 (contre 80% selon le règlement F-Gaz actuellement en vigueur)</w:t>
      </w:r>
      <w:r w:rsidRPr="0098629B">
        <w:t>.</w:t>
      </w:r>
    </w:p>
    <w:p w14:paraId="745CED13" w14:textId="143D1B00" w:rsidR="00A229A3" w:rsidRPr="0098629B" w:rsidRDefault="00A229A3" w:rsidP="00A229A3">
      <w:r w:rsidRPr="0098629B">
        <w:t>Par ailleurs, la France a ratifié le 29 mars 2018 l’amendement de Kigali au protocole de Montréal</w:t>
      </w:r>
      <w:r w:rsidR="00EE16C3">
        <w:t xml:space="preserve"> </w:t>
      </w:r>
      <w:r w:rsidR="00EE16C3" w:rsidRPr="00EE16C3">
        <w:t>sur les substances appauvrissant la couche d’ozone</w:t>
      </w:r>
      <w:r w:rsidRPr="0098629B">
        <w:t>. Si l’amendement de Kigali concourt globalement aux mêmes objectifs que le règlement européen F-gas II, il couvre une période d’engagement plus importante allant jusqu’en 2036 (le règlement F-gas II allant jusqu’en 2030)</w:t>
      </w:r>
    </w:p>
    <w:p w14:paraId="2C46EE8B" w14:textId="708237B2" w:rsidR="00A229A3" w:rsidRPr="0098629B" w:rsidRDefault="006E0C3B" w:rsidP="00B04A7C">
      <w:pPr>
        <w:pStyle w:val="Titre3Niveau3"/>
        <w:rPr>
          <w:lang w:eastAsia="en-US"/>
        </w:rPr>
      </w:pPr>
      <w:bookmarkStart w:id="76" w:name="_Toc138344603"/>
      <w:r w:rsidRPr="0098629B">
        <w:rPr>
          <w:lang w:eastAsia="en-US"/>
        </w:rPr>
        <w:t>Tableau des politiques et mesures</w:t>
      </w:r>
      <w:bookmarkEnd w:id="76"/>
    </w:p>
    <w:p w14:paraId="4E9F93DC" w14:textId="2CF4D49C" w:rsidR="006E0C3B" w:rsidRPr="0098629B" w:rsidRDefault="006E0C3B" w:rsidP="006E0C3B">
      <w:pPr>
        <w:rPr>
          <w:lang w:eastAsia="en-US"/>
        </w:rPr>
      </w:pPr>
      <w:r w:rsidRPr="0098629B">
        <w:rPr>
          <w:lang w:eastAsia="en-US"/>
        </w:rPr>
        <w:t>Afin de ne pas dupliquer les informations précédemment fournies dans le 4</w:t>
      </w:r>
      <w:r w:rsidRPr="0098629B">
        <w:rPr>
          <w:vertAlign w:val="superscript"/>
          <w:lang w:eastAsia="en-US"/>
        </w:rPr>
        <w:t>e</w:t>
      </w:r>
      <w:r w:rsidRPr="0098629B">
        <w:rPr>
          <w:lang w:eastAsia="en-US"/>
        </w:rPr>
        <w:t xml:space="preserve"> Rapport Bisannuel</w:t>
      </w:r>
      <w:r w:rsidRPr="0098629B">
        <w:rPr>
          <w:rStyle w:val="FootnoteReference"/>
          <w:lang w:eastAsia="en-US"/>
        </w:rPr>
        <w:footnoteReference w:id="14"/>
      </w:r>
      <w:r w:rsidRPr="0098629B">
        <w:rPr>
          <w:lang w:eastAsia="en-US"/>
        </w:rPr>
        <w:t xml:space="preserve"> soumis par la France en 2019, le tableau CTF3 fournit en annexe présente l’ensemble des mesures à partir de 2019.</w:t>
      </w:r>
    </w:p>
    <w:p w14:paraId="46E40C98" w14:textId="77777777" w:rsidR="00630A34" w:rsidRPr="0098629B" w:rsidRDefault="00630A34" w:rsidP="004D2261">
      <w:pPr>
        <w:pStyle w:val="Titre2Niveau2"/>
        <w:rPr>
          <w:lang w:eastAsia="en-US"/>
        </w:rPr>
      </w:pPr>
      <w:bookmarkStart w:id="77" w:name="_Toc121149518"/>
      <w:bookmarkStart w:id="78" w:name="_Toc138344604"/>
      <w:r w:rsidRPr="0098629B">
        <w:rPr>
          <w:lang w:eastAsia="en-US"/>
        </w:rPr>
        <w:t>Effet sur le long-terme des politiques et mesures engagées</w:t>
      </w:r>
      <w:bookmarkEnd w:id="77"/>
      <w:bookmarkEnd w:id="78"/>
    </w:p>
    <w:p w14:paraId="35C40D8B" w14:textId="77777777" w:rsidR="00630A34" w:rsidRPr="0098629B" w:rsidRDefault="00630A34" w:rsidP="00B04A7C">
      <w:pPr>
        <w:pStyle w:val="Titre3Niveau3"/>
        <w:rPr>
          <w:lang w:eastAsia="en-US"/>
        </w:rPr>
      </w:pPr>
      <w:bookmarkStart w:id="79" w:name="_Toc121149519"/>
      <w:bookmarkStart w:id="80" w:name="_Toc138344605"/>
      <w:r w:rsidRPr="0098629B">
        <w:rPr>
          <w:lang w:eastAsia="en-US"/>
        </w:rPr>
        <w:t>Effet sur la réduction des émissions</w:t>
      </w:r>
      <w:bookmarkEnd w:id="79"/>
      <w:bookmarkEnd w:id="80"/>
    </w:p>
    <w:p w14:paraId="3D485DAB" w14:textId="040101E5" w:rsidR="00630A34" w:rsidRPr="0098629B" w:rsidRDefault="00630A34" w:rsidP="00630A34">
      <w:pPr>
        <w:rPr>
          <w:lang w:eastAsia="en-US"/>
        </w:rPr>
      </w:pPr>
      <w:r w:rsidRPr="0098629B">
        <w:rPr>
          <w:lang w:eastAsia="en-US"/>
        </w:rPr>
        <w:t>Les émissions de gaz à effet de serre ont diminué de 27,8 % entre 1990 et 2020 (périmètre Kyoto, hors UTCATF). En parallèle, la population a augmenté de 16 % et le PIB a plus que doublé sur la même période. Aujourd’hui, parmi les pays développés, les émissions par habitant des Français sont parmi les plus faibles du monde : sur la même période les émissions par habitants sont donc passées de 9,4 t</w:t>
      </w:r>
      <w:r w:rsidR="00811B0F" w:rsidRPr="0098629B">
        <w:t>CO</w:t>
      </w:r>
      <w:r w:rsidR="00811B0F" w:rsidRPr="0098629B">
        <w:rPr>
          <w:vertAlign w:val="subscript"/>
        </w:rPr>
        <w:t>2</w:t>
      </w:r>
      <w:r w:rsidR="00891B49" w:rsidRPr="0098629B">
        <w:rPr>
          <w:vertAlign w:val="subscript"/>
        </w:rPr>
        <w:t>e</w:t>
      </w:r>
      <w:r w:rsidRPr="0098629B">
        <w:rPr>
          <w:lang w:eastAsia="en-US"/>
        </w:rPr>
        <w:t xml:space="preserve"> à 5,93 t</w:t>
      </w:r>
      <w:r w:rsidR="00811B0F" w:rsidRPr="0098629B">
        <w:t>CO</w:t>
      </w:r>
      <w:r w:rsidR="00811B0F" w:rsidRPr="0098629B">
        <w:rPr>
          <w:vertAlign w:val="subscript"/>
        </w:rPr>
        <w:t>2</w:t>
      </w:r>
      <w:r w:rsidR="00891B49" w:rsidRPr="0098629B">
        <w:rPr>
          <w:vertAlign w:val="subscript"/>
        </w:rPr>
        <w:t>e</w:t>
      </w:r>
      <w:r w:rsidRPr="0098629B">
        <w:rPr>
          <w:lang w:eastAsia="en-US"/>
        </w:rPr>
        <w:t>.</w:t>
      </w:r>
    </w:p>
    <w:p w14:paraId="1C3E5099" w14:textId="77777777" w:rsidR="00630A34" w:rsidRPr="0098629B" w:rsidRDefault="00630A34" w:rsidP="00630A34">
      <w:pPr>
        <w:rPr>
          <w:lang w:eastAsia="en-US"/>
        </w:rPr>
      </w:pPr>
      <w:r w:rsidRPr="0098629B">
        <w:rPr>
          <w:lang w:eastAsia="en-US"/>
        </w:rPr>
        <w:t xml:space="preserve">Ceci témoigne de l'effort de décarbonation de l'économie déjà accompli en France, et qui sera encore amplifié d'ici 2030 et 2050. Mais cela témoigne aussi de la tertiarisation de l’économie française, qui est corrélée à une baisse de son activité industrielle. </w:t>
      </w:r>
    </w:p>
    <w:p w14:paraId="1DA6D181" w14:textId="77777777" w:rsidR="00630A34" w:rsidRPr="0098629B" w:rsidRDefault="00630A34" w:rsidP="00630A34">
      <w:pPr>
        <w:rPr>
          <w:lang w:eastAsia="en-US"/>
        </w:rPr>
      </w:pPr>
      <w:r w:rsidRPr="0098629B">
        <w:rPr>
          <w:lang w:eastAsia="en-US"/>
        </w:rPr>
        <w:t xml:space="preserve">Les politiques et mesures engagées ont déjà permis : </w:t>
      </w:r>
    </w:p>
    <w:p w14:paraId="23C00620" w14:textId="77777777" w:rsidR="00630A34" w:rsidRPr="0098629B" w:rsidRDefault="00630A34" w:rsidP="00573042">
      <w:pPr>
        <w:pStyle w:val="ListParagraph"/>
        <w:numPr>
          <w:ilvl w:val="0"/>
          <w:numId w:val="12"/>
        </w:numPr>
        <w:rPr>
          <w:lang w:eastAsia="en-US"/>
        </w:rPr>
      </w:pPr>
      <w:r w:rsidRPr="0098629B">
        <w:rPr>
          <w:lang w:eastAsia="en-US"/>
        </w:rPr>
        <w:t>d’exploiter des gisements d’économie d’énergie importants permettant d’infléchir la tendance à la hausse de la consommation ;</w:t>
      </w:r>
    </w:p>
    <w:p w14:paraId="18B7BF50" w14:textId="77777777" w:rsidR="00630A34" w:rsidRPr="0098629B" w:rsidRDefault="00630A34" w:rsidP="00573042">
      <w:pPr>
        <w:pStyle w:val="ListParagraph"/>
        <w:numPr>
          <w:ilvl w:val="0"/>
          <w:numId w:val="12"/>
        </w:numPr>
        <w:rPr>
          <w:lang w:eastAsia="en-US"/>
        </w:rPr>
      </w:pPr>
      <w:r w:rsidRPr="0098629B">
        <w:rPr>
          <w:lang w:eastAsia="en-US"/>
        </w:rPr>
        <w:t xml:space="preserve">de développer les énergies renouvelables ; </w:t>
      </w:r>
    </w:p>
    <w:p w14:paraId="5C3310B1" w14:textId="77777777" w:rsidR="00630A34" w:rsidRPr="0098629B" w:rsidRDefault="00630A34" w:rsidP="00573042">
      <w:pPr>
        <w:pStyle w:val="ListParagraph"/>
        <w:numPr>
          <w:ilvl w:val="0"/>
          <w:numId w:val="12"/>
        </w:numPr>
        <w:rPr>
          <w:lang w:eastAsia="en-US"/>
        </w:rPr>
      </w:pPr>
      <w:r w:rsidRPr="0098629B">
        <w:rPr>
          <w:lang w:eastAsia="en-US"/>
        </w:rPr>
        <w:t xml:space="preserve">de mettre en place un signal prix du carbone dans la fiscalité de l'énergie ; </w:t>
      </w:r>
    </w:p>
    <w:p w14:paraId="2E142BB8" w14:textId="77777777" w:rsidR="00630A34" w:rsidRPr="0098629B" w:rsidRDefault="00630A34" w:rsidP="00573042">
      <w:pPr>
        <w:pStyle w:val="ListParagraph"/>
        <w:numPr>
          <w:ilvl w:val="0"/>
          <w:numId w:val="12"/>
        </w:numPr>
        <w:rPr>
          <w:lang w:eastAsia="en-US"/>
        </w:rPr>
      </w:pPr>
      <w:r w:rsidRPr="0098629B">
        <w:rPr>
          <w:lang w:eastAsia="en-US"/>
        </w:rPr>
        <w:t xml:space="preserve">de mettre en place des politiques publiques dans tous les secteurs d'activités en ciblant les différents leviers d'atténuation ; </w:t>
      </w:r>
    </w:p>
    <w:p w14:paraId="56DE0E61" w14:textId="77777777" w:rsidR="00630A34" w:rsidRPr="0098629B" w:rsidRDefault="00630A34" w:rsidP="00573042">
      <w:pPr>
        <w:pStyle w:val="ListParagraph"/>
        <w:numPr>
          <w:ilvl w:val="0"/>
          <w:numId w:val="12"/>
        </w:numPr>
        <w:rPr>
          <w:lang w:eastAsia="en-US"/>
        </w:rPr>
      </w:pPr>
      <w:r w:rsidRPr="0098629B">
        <w:rPr>
          <w:lang w:eastAsia="en-US"/>
        </w:rPr>
        <w:t xml:space="preserve">de sensibiliser le public sur les enjeux de l’atténuation du changement climatique. </w:t>
      </w:r>
    </w:p>
    <w:p w14:paraId="1FDA8598" w14:textId="77777777" w:rsidR="00630A34" w:rsidRPr="0098629B" w:rsidRDefault="00630A34" w:rsidP="00630A34">
      <w:pPr>
        <w:rPr>
          <w:lang w:eastAsia="en-US"/>
        </w:rPr>
      </w:pPr>
    </w:p>
    <w:p w14:paraId="1D43D058" w14:textId="77777777" w:rsidR="00630A34" w:rsidRPr="0098629B" w:rsidRDefault="00630A34" w:rsidP="00630A34">
      <w:pPr>
        <w:rPr>
          <w:lang w:eastAsia="en-US"/>
        </w:rPr>
      </w:pPr>
      <w:r w:rsidRPr="0098629B">
        <w:rPr>
          <w:lang w:eastAsia="en-US"/>
        </w:rPr>
        <w:t xml:space="preserve">Par ailleurs, l’essentiel des dépenses budgétaires de la lutte contre le changement climatique est orienté sur le long terme. En effet, elles concernent la recherche et les infrastructures de transport dans les modes les moins émetteurs de gaz à effet de serre. C’est aussi le cas des dépenses fiscales dont l’essentiel vise à soutenir la rénovation des logements ou l’acquisition de véhicules faiblement émetteurs. Enfin, c’est aussi le cas de l’action réglementaire, qui contraint les investissements à de fortes économies d’énergie sur l’ensemble de leur cycle de vie. À plus long terme encore, ce sont les financements de la recherche et développement qui sont susceptibles d’avoir le plus d’impact. Ainsi, le soutien à l’émergence des filières vertes et au développement des énergies renouvelables (soutien à l’éolien terrestre et en mer, au photovoltaïque, au gaz renouvelable, à la biomasse) constitue un levier essentiel pour répondre au défi de la transition énergétique, qui seule permettra une réponse à la hauteur du défi du changement climatique, en termes de maîtrise de la consommation d’énergie et plus généralement de mode de vie et de modes de production peu émetteurs et économes. </w:t>
      </w:r>
    </w:p>
    <w:p w14:paraId="4D9C7551" w14:textId="77777777" w:rsidR="00630A34" w:rsidRPr="0098629B" w:rsidRDefault="00630A34" w:rsidP="00630A34">
      <w:pPr>
        <w:rPr>
          <w:lang w:eastAsia="en-US"/>
        </w:rPr>
      </w:pPr>
      <w:r w:rsidRPr="0098629B">
        <w:rPr>
          <w:lang w:eastAsia="en-US"/>
        </w:rPr>
        <w:t>Comme cela a été détaillé plus haut, la France s’est fixé un objectif de long terme, la neutralité carbone à l’horizon 2050, et s'est dotée d'outils de pilotage de sa politique en faveur du climat et de l’énergie avec la programmation pluriannuelle de l’énergie et surtout la stratégie nationale bas-carbone. Visant la cohérence d’ensemble, cette stratégie définit la marche à suivre pour conduire la politique d'atténuation des émissions de gaz à effet de serre à moyen et long terme. Elle propose une démarche structurée et continue pour décarboner les différents secteurs à l'horizon 2050. Elle contribue ainsi à renforcer la prise en compte des impacts de long terme dans la hiérarchisation des mesures mises en œuvre.</w:t>
      </w:r>
    </w:p>
    <w:p w14:paraId="064D8ADB" w14:textId="77777777" w:rsidR="00630A34" w:rsidRPr="0098629B" w:rsidRDefault="00630A34" w:rsidP="00630A34">
      <w:pPr>
        <w:rPr>
          <w:lang w:eastAsia="en-US"/>
        </w:rPr>
      </w:pPr>
    </w:p>
    <w:p w14:paraId="67D4B2A5" w14:textId="05CE47B5" w:rsidR="00630A34" w:rsidRPr="0098629B" w:rsidRDefault="00630A34" w:rsidP="00630A34">
      <w:pPr>
        <w:rPr>
          <w:lang w:eastAsia="en-US"/>
        </w:rPr>
      </w:pPr>
      <w:r w:rsidRPr="0098629B">
        <w:rPr>
          <w:lang w:eastAsia="en-US"/>
        </w:rPr>
        <w:t>Les principales politiques et mesures de lutte contre le changement climatique font l’objet d’une évaluation GES. Lorsqu’une évaluation GES est disponible, elle est précisée dans le</w:t>
      </w:r>
      <w:r w:rsidR="00811B0F" w:rsidRPr="0098629B">
        <w:rPr>
          <w:lang w:eastAsia="en-US"/>
        </w:rPr>
        <w:t xml:space="preserve"> </w:t>
      </w:r>
      <w:r w:rsidR="00811B0F" w:rsidRPr="0098629B">
        <w:rPr>
          <w:lang w:eastAsia="en-US"/>
        </w:rPr>
        <w:fldChar w:fldCharType="begin"/>
      </w:r>
      <w:r w:rsidR="00811B0F" w:rsidRPr="0098629B">
        <w:rPr>
          <w:lang w:eastAsia="en-US"/>
        </w:rPr>
        <w:instrText xml:space="preserve"> REF _Ref123072826 \h </w:instrText>
      </w:r>
      <w:r w:rsidR="0098629B">
        <w:rPr>
          <w:lang w:eastAsia="en-US"/>
        </w:rPr>
        <w:instrText xml:space="preserve"> \* MERGEFORMAT </w:instrText>
      </w:r>
      <w:r w:rsidR="00811B0F" w:rsidRPr="0098629B">
        <w:rPr>
          <w:lang w:eastAsia="en-US"/>
        </w:rPr>
      </w:r>
      <w:r w:rsidR="00811B0F" w:rsidRPr="0098629B">
        <w:rPr>
          <w:lang w:eastAsia="en-US"/>
        </w:rPr>
        <w:fldChar w:fldCharType="separate"/>
      </w:r>
      <w:r w:rsidR="00677B3C" w:rsidRPr="0098629B">
        <w:t xml:space="preserve">Tableau </w:t>
      </w:r>
      <w:r w:rsidR="00677B3C">
        <w:rPr>
          <w:noProof/>
        </w:rPr>
        <w:t>41</w:t>
      </w:r>
      <w:r w:rsidR="00811B0F" w:rsidRPr="0098629B">
        <w:rPr>
          <w:lang w:eastAsia="en-US"/>
        </w:rPr>
        <w:fldChar w:fldCharType="end"/>
      </w:r>
      <w:r w:rsidR="00811B0F" w:rsidRPr="0098629B">
        <w:rPr>
          <w:lang w:eastAsia="en-US"/>
        </w:rPr>
        <w:t xml:space="preserve"> fourni à l’annexe III</w:t>
      </w:r>
      <w:r w:rsidRPr="0098629B">
        <w:rPr>
          <w:lang w:eastAsia="en-US"/>
        </w:rPr>
        <w:t>.  Seules les principales mesures sont évaluées. De nombreuses mesures ne peuvent toutefois pas faire l’objet d’évaluations, notamment lorsqu’il s’agit de dispositifs d’informations, d’accompagnements, d’obligation d’audits pour lesquels il est difficile d’isoler l’impact déclencheur de ces mesures, ou de mesures visant à des modifications de pratiques et de comportements pour lesquels il est souvent difficile d’isoler leur impact.</w:t>
      </w:r>
      <w:r w:rsidR="007C589E" w:rsidRPr="0098629B">
        <w:rPr>
          <w:lang w:eastAsia="en-US"/>
        </w:rPr>
        <w:t xml:space="preserve"> L’exercice de modélisation des projections permet de régulièrement mettre à jour l’estimation de l’impact des mesures. C’est un exercice qui doit être vu dans son ensemble afin de bien prendre en compte les synergies qui peuvent exister entre différentes politiques et mesures.</w:t>
      </w:r>
    </w:p>
    <w:p w14:paraId="65D661E5" w14:textId="1F8E4E60" w:rsidR="00630A34" w:rsidRPr="0098629B" w:rsidRDefault="00630A34" w:rsidP="00B04A7C">
      <w:pPr>
        <w:pStyle w:val="Titre3Niveau3"/>
        <w:rPr>
          <w:lang w:eastAsia="en-US"/>
        </w:rPr>
      </w:pPr>
      <w:bookmarkStart w:id="81" w:name="_Toc121149520"/>
      <w:bookmarkStart w:id="82" w:name="_Toc138344606"/>
      <w:r w:rsidRPr="0098629B">
        <w:rPr>
          <w:lang w:eastAsia="en-US"/>
        </w:rPr>
        <w:t>Impact</w:t>
      </w:r>
      <w:r w:rsidR="00117FAB" w:rsidRPr="0098629B">
        <w:rPr>
          <w:lang w:eastAsia="en-US"/>
        </w:rPr>
        <w:t>s</w:t>
      </w:r>
      <w:r w:rsidRPr="0098629B">
        <w:rPr>
          <w:lang w:eastAsia="en-US"/>
        </w:rPr>
        <w:t xml:space="preserve"> économiques et sociaux</w:t>
      </w:r>
      <w:bookmarkEnd w:id="81"/>
      <w:bookmarkEnd w:id="82"/>
    </w:p>
    <w:p w14:paraId="6C7674FE" w14:textId="77777777" w:rsidR="00630A34" w:rsidRPr="0098629B" w:rsidRDefault="00630A34" w:rsidP="00630A34">
      <w:pPr>
        <w:rPr>
          <w:lang w:eastAsia="en-US"/>
        </w:rPr>
      </w:pPr>
      <w:r w:rsidRPr="0098629B">
        <w:rPr>
          <w:lang w:eastAsia="en-US"/>
        </w:rPr>
        <w:t>La SNBC et la PPE ont fait l’objet d’une évaluation macro-économique portant sur leurs impacts économiques et sociaux. L’évaluation macro-économique conduit à un effet légèrement positif sur le PIB et l’emploi (de l’ordre de 1 à 2 points en 2030 et de 3 points en 2050 par rapport à un scénario tendanciel) et un bénéfice sur l’emploi (de l’ordre de 300 000 à 400 000 emplois en 2030 et 700 000 à 800 000 emplois en 2050). Ces résultats reposent notamment sur l’hypothèse que les autres pays s’engagent dans la transition bas-carbone conformément à l’accord de Paris. Enfin, les dommages liés au changement climatique ne sont pas pris en compte.</w:t>
      </w:r>
    </w:p>
    <w:p w14:paraId="17731635" w14:textId="77777777" w:rsidR="00630A34" w:rsidRPr="0098629B" w:rsidRDefault="00630A34" w:rsidP="00B04A7C">
      <w:pPr>
        <w:pStyle w:val="Titre3Niveau3"/>
        <w:rPr>
          <w:lang w:eastAsia="en-US"/>
        </w:rPr>
      </w:pPr>
      <w:bookmarkStart w:id="83" w:name="_Toc121149521"/>
      <w:bookmarkStart w:id="84" w:name="_Toc138344607"/>
      <w:r w:rsidRPr="0098629B">
        <w:rPr>
          <w:lang w:eastAsia="en-US"/>
        </w:rPr>
        <w:t>Minimisation des effets adverses sur les pays en voie de développement</w:t>
      </w:r>
      <w:bookmarkEnd w:id="83"/>
      <w:bookmarkEnd w:id="84"/>
    </w:p>
    <w:p w14:paraId="3527B251" w14:textId="2BD8AB7C" w:rsidR="00630A34" w:rsidRPr="0098629B" w:rsidRDefault="00630A34" w:rsidP="003C71EF">
      <w:r w:rsidRPr="0098629B">
        <w:t xml:space="preserve">En plus du transfert de technologie et d’expertise, la France aide les pays en développement à renforcer et à enrichir leurs systèmes d’observation du changement climatique via son réseau d’observation du climat mais également ses projets de recherche et de coopération (cf. </w:t>
      </w:r>
      <w:bookmarkStart w:id="85" w:name="ChapV"/>
      <w:r w:rsidR="003C71EF" w:rsidRPr="0098629B">
        <w:fldChar w:fldCharType="begin"/>
      </w:r>
      <w:r w:rsidR="003C71EF" w:rsidRPr="0098629B">
        <w:instrText xml:space="preserve"> HYPERLINK  \l "ChapV" </w:instrText>
      </w:r>
      <w:r w:rsidR="003C71EF" w:rsidRPr="0098629B">
        <w:fldChar w:fldCharType="separate"/>
      </w:r>
      <w:r w:rsidRPr="0098629B">
        <w:rPr>
          <w:rStyle w:val="Hyperlink"/>
        </w:rPr>
        <w:t>chapitre 5</w:t>
      </w:r>
      <w:bookmarkEnd w:id="85"/>
      <w:r w:rsidR="003C71EF" w:rsidRPr="0098629B">
        <w:fldChar w:fldCharType="end"/>
      </w:r>
      <w:r w:rsidRPr="0098629B">
        <w:t xml:space="preserve">). </w:t>
      </w:r>
    </w:p>
    <w:p w14:paraId="4EF096B4" w14:textId="77777777" w:rsidR="00630A34" w:rsidRPr="0098629B" w:rsidRDefault="00630A34" w:rsidP="003C71EF"/>
    <w:p w14:paraId="6C2F0148" w14:textId="321BC165" w:rsidR="00630A34" w:rsidRPr="0098629B" w:rsidRDefault="00630A34" w:rsidP="00630A34">
      <w:r w:rsidRPr="0098629B">
        <w:t>Concernant les politiques et mesures mises en place dans le cadre de politiques européennes, la France en tant qu’État membre de l’Union européenne se doit de transposer le droit européen dans son système législatif. Dans le processus d’adoption de politiques européennes, l’Europe a mis en place un système permettant d’estimer les impacts positifs et négatifs de celles-ci, dont les effets sur les autres pays dans le cadre des études d’impact. La prise en compte de ces études d’impact est un élément clef de la décision finale de la définition de la politique et mesure. Elles permettent de s’assurer que les impacts négatifs d’une politique européenne sur les pays en développement soient minimisés et d’assurer ainsi que les dispositions législatives françaises issues du droit européen respectent bien l’engagement pris dans le cadre du protocole de Kyoto en accord avec son article 3.14. Concernant les politiques nationales, le tableau</w:t>
      </w:r>
      <w:r w:rsidR="007C589E" w:rsidRPr="0098629B">
        <w:t xml:space="preserve"> 3.9 fourni en page 84 du 4</w:t>
      </w:r>
      <w:r w:rsidR="007C589E" w:rsidRPr="0098629B">
        <w:rPr>
          <w:vertAlign w:val="superscript"/>
        </w:rPr>
        <w:t>e</w:t>
      </w:r>
      <w:r w:rsidR="007C589E" w:rsidRPr="0098629B">
        <w:t xml:space="preserve"> Rapport Bisannuel</w:t>
      </w:r>
      <w:r w:rsidR="007C589E" w:rsidRPr="0098629B">
        <w:rPr>
          <w:rStyle w:val="FootnoteReference"/>
        </w:rPr>
        <w:footnoteReference w:id="15"/>
      </w:r>
      <w:r w:rsidR="007C589E" w:rsidRPr="0098629B">
        <w:t xml:space="preserve"> de la France</w:t>
      </w:r>
      <w:r w:rsidRPr="0098629B">
        <w:t xml:space="preserve"> liste les effets directs et indirects estimés de certaines politiques et mesures climatiques de la</w:t>
      </w:r>
      <w:r w:rsidR="005066D8" w:rsidRPr="0098629B">
        <w:t xml:space="preserve"> France</w:t>
      </w:r>
      <w:r w:rsidRPr="0098629B">
        <w:t>.</w:t>
      </w:r>
    </w:p>
    <w:p w14:paraId="62511A05" w14:textId="77777777" w:rsidR="00630A34" w:rsidRPr="0098629B" w:rsidRDefault="00630A34" w:rsidP="00630A34">
      <w:pPr>
        <w:pStyle w:val="Default"/>
        <w:rPr>
          <w:sz w:val="21"/>
          <w:szCs w:val="21"/>
        </w:rPr>
      </w:pPr>
    </w:p>
    <w:p w14:paraId="23315028" w14:textId="19E9FB3E" w:rsidR="003555E2" w:rsidRPr="0098629B" w:rsidRDefault="00630A34" w:rsidP="009D3953">
      <w:pPr>
        <w:rPr>
          <w:lang w:eastAsia="en-US"/>
        </w:rPr>
      </w:pPr>
      <w:r w:rsidRPr="0098629B">
        <w:t>Par ailleurs, l’empreinte carbone de la France fait l’objet d’une attention de plus en plus forte. Cette empreinte représente les émissions liées à la consommation des français, c'est-à-dire les émissions nationales auxquelles sont soustraites les émissions liées aux exportations et ajoutées celles liées aux importations. Cet indicateur fait partie des 10 indicateurs phares de développement durable suivis par la France. La SNBC contient plusieurs orientations relatives à la baisse de l’empreinte carbone, afin de s’assurer que les baisses des émissions nationales ne se traduisent pas par des augmentations ailleurs dans le monde. Enfin, la loi énergie-climat de 2019 prévoit qu’à partir de la prochaine SNBC, des budgets carbone indicatifs devront être définis pour l’empreinte carbone et non plus uniquement pour les émissions nationales.</w:t>
      </w:r>
    </w:p>
    <w:p w14:paraId="0ED896FD" w14:textId="77777777" w:rsidR="006007BA" w:rsidRPr="0098629B" w:rsidRDefault="003555E2" w:rsidP="007C589E">
      <w:pPr>
        <w:pStyle w:val="Titre1Niveau1"/>
      </w:pPr>
      <w:r w:rsidRPr="0098629B">
        <w:br w:type="page"/>
      </w:r>
      <w:bookmarkStart w:id="86" w:name="ChapIV"/>
      <w:bookmarkStart w:id="87" w:name="_Toc121833022"/>
      <w:bookmarkStart w:id="88" w:name="_Toc138344608"/>
      <w:bookmarkEnd w:id="86"/>
      <w:r w:rsidR="006007BA" w:rsidRPr="0098629B">
        <w:t>Chapitre IV – Projections d’émissions de gaz à effet de serre</w:t>
      </w:r>
      <w:bookmarkEnd w:id="87"/>
      <w:bookmarkEnd w:id="88"/>
    </w:p>
    <w:p w14:paraId="26252D12" w14:textId="77777777" w:rsidR="006007BA" w:rsidRPr="0098629B" w:rsidRDefault="006007BA" w:rsidP="00573042">
      <w:pPr>
        <w:pStyle w:val="Titre2Niveau2"/>
        <w:numPr>
          <w:ilvl w:val="0"/>
          <w:numId w:val="50"/>
        </w:numPr>
      </w:pPr>
      <w:bookmarkStart w:id="89" w:name="_Toc121833023"/>
      <w:bookmarkStart w:id="90" w:name="_Toc138344609"/>
      <w:r w:rsidRPr="0098629B">
        <w:t>Définition des scenarios</w:t>
      </w:r>
      <w:bookmarkEnd w:id="89"/>
      <w:bookmarkEnd w:id="90"/>
    </w:p>
    <w:p w14:paraId="15EB8BB0" w14:textId="77777777" w:rsidR="00F24A36" w:rsidRPr="0098629B" w:rsidRDefault="00F24A36" w:rsidP="00573042">
      <w:pPr>
        <w:pStyle w:val="titreencadre"/>
        <w:numPr>
          <w:ilvl w:val="3"/>
          <w:numId w:val="43"/>
        </w:numPr>
        <w:spacing w:before="120" w:after="60" w:line="240" w:lineRule="auto"/>
      </w:pPr>
      <w:bookmarkStart w:id="91" w:name="_Toc121833026"/>
      <w:r w:rsidRPr="0098629B">
        <w:t>Scénario AME</w:t>
      </w:r>
    </w:p>
    <w:p w14:paraId="085A9C02" w14:textId="5979CD07" w:rsidR="00F24A36" w:rsidRPr="0098629B" w:rsidRDefault="00F24A36" w:rsidP="00F24A36">
      <w:pPr>
        <w:rPr>
          <w:b/>
        </w:rPr>
      </w:pPr>
      <w:r w:rsidRPr="0098629B">
        <w:t>Un scénario « avec mesures existantes » ou AME 2021, prenant en compte l’ensemble des politiques et mesures décidées et mises en œuvre jusqu’au 31 décembre 2019 a été construit en 2021. Ce scénario à l’horizon 2050 actualise le scénario AME 2018 en intégrant l’ensemble des politiques et mesures décidées et mises en œuvre entre le 1</w:t>
      </w:r>
      <w:r w:rsidRPr="0098629B">
        <w:rPr>
          <w:vertAlign w:val="superscript"/>
        </w:rPr>
        <w:t>er</w:t>
      </w:r>
      <w:r w:rsidRPr="0098629B">
        <w:t xml:space="preserve"> juillet 2017 et le 31 décembre 2019. </w:t>
      </w:r>
      <w:r w:rsidR="007114CC">
        <w:t>L’approche général d’un scénario AME est de considérer qu’aucune politique supplémentaire après une date définie n’est implémentée, et que les mesures existantes s’arretent sauf si une trajectoire claire de financement a été définie. L’AME est ainsi un scénario «</w:t>
      </w:r>
      <w:r w:rsidR="007114CC">
        <w:rPr>
          <w:rFonts w:ascii="Calibri" w:hAnsi="Calibri" w:cs="Calibri"/>
        </w:rPr>
        <w:t> </w:t>
      </w:r>
      <w:r w:rsidR="007114CC">
        <w:t>business-as-usual</w:t>
      </w:r>
      <w:r w:rsidR="007114CC">
        <w:rPr>
          <w:rFonts w:ascii="Calibri" w:hAnsi="Calibri" w:cs="Calibri"/>
        </w:rPr>
        <w:t> </w:t>
      </w:r>
      <w:r w:rsidR="007114CC">
        <w:rPr>
          <w:rFonts w:cs="Marianne"/>
        </w:rPr>
        <w:t>»</w:t>
      </w:r>
      <w:r w:rsidR="007114CC">
        <w:t xml:space="preserve">, qui fournit une estimation conservatrice des évolutions des émissions de GES avec les mesures existantes. </w:t>
      </w:r>
      <w:r w:rsidRPr="0098629B">
        <w:t>Une synthèse de ce scénario, rédigée en français, est disponible sur le site du Ministère de la Transition Energétique</w:t>
      </w:r>
      <w:r w:rsidRPr="0098629B">
        <w:rPr>
          <w:rStyle w:val="FootnoteReference"/>
        </w:rPr>
        <w:footnoteReference w:id="16"/>
      </w:r>
      <w:r w:rsidRPr="0098629B">
        <w:rPr>
          <w:rFonts w:ascii="Times New Roman" w:hAnsi="Times New Roman"/>
          <w:color w:val="000000"/>
        </w:rPr>
        <w:t>.</w:t>
      </w:r>
    </w:p>
    <w:p w14:paraId="171FADA1" w14:textId="77777777" w:rsidR="00F24A36" w:rsidRPr="0098629B" w:rsidRDefault="00F24A36" w:rsidP="00573042">
      <w:pPr>
        <w:pStyle w:val="titreencadre"/>
        <w:numPr>
          <w:ilvl w:val="3"/>
          <w:numId w:val="43"/>
        </w:numPr>
        <w:spacing w:before="120" w:after="60" w:line="240" w:lineRule="auto"/>
      </w:pPr>
      <w:r w:rsidRPr="0098629B">
        <w:t>Scénario AMS</w:t>
      </w:r>
    </w:p>
    <w:p w14:paraId="3554B61B" w14:textId="6D4F803D" w:rsidR="00F24A36" w:rsidRPr="0098629B" w:rsidRDefault="00F24A36" w:rsidP="00F24A36">
      <w:r w:rsidRPr="0098629B">
        <w:t>La France a conduit un large exercice de scénarisation prospective à l’horizon 2050, entre avril 2017 et mars 2018. Le précédent exercice avait été mené jusqu’à l’horizon 2035. Un scénario « avec mesures supplémentaires » ou AMS 2018 a alors été construit. Il matérialise pour la France une manière d’atteindre ses objectifs de long-terme, notamment la neutralité carbone sur son territoire national en 2050.</w:t>
      </w:r>
      <w:r w:rsidR="007114CC">
        <w:t xml:space="preserve"> Ce scénario a déjà été rapporté dans le BR4 sous une version préliminaire. Le même scénario est rapporté dans le cadre du BR5 dans une version finalisée, qui a été utilisé pour établir les budgets carbone domestiques. Il y a quelques différences entre ces deux versions, la majorité d’entre elles étant des modifications techniques relatives à la mise à jour des inventaires de gaz à effet de serre.</w:t>
      </w:r>
    </w:p>
    <w:p w14:paraId="0DDB01A1" w14:textId="77777777" w:rsidR="00F24A36" w:rsidRPr="0098629B" w:rsidRDefault="00F24A36" w:rsidP="00F24A36"/>
    <w:p w14:paraId="25DA2C78" w14:textId="27B99D39" w:rsidR="00F24A36" w:rsidRPr="0098629B" w:rsidRDefault="00F24A36" w:rsidP="00F24A36">
      <w:r w:rsidRPr="0098629B">
        <w:t>Des mesures supplémentaires par rapport au scénario AME sont incluses dans ce scénario. Le scénario AMS intègre en effet les mesures complémentaires adoptées depuis le 1</w:t>
      </w:r>
      <w:r w:rsidRPr="0098629B">
        <w:rPr>
          <w:vertAlign w:val="superscript"/>
        </w:rPr>
        <w:t>er</w:t>
      </w:r>
      <w:r w:rsidRPr="0098629B">
        <w:t xml:space="preserve"> juillet 2017 (dont certaines sont comprises dans le scénario AME 2021), un renforcement et un prolongement des mesures existantes et la prise en compte des orientations actées dans le cadre de la Stratégie Nationale Bas Carbone et de la Programmation Pluriannuelle de l’énergie. </w:t>
      </w:r>
      <w:r w:rsidR="007114CC">
        <w:t>Comme le scénario AMS n’est mis à jour que tous les 4 ou 5 ans, à la différence de l’AME tous les deux ans, le scénario AME 2021 inclut quelques mesures (adoptées entre 2017 et décembre 2019) qui sont considérées comme additionnelles quand l’AMS 2018 a été élaboré (décret tertiaire, fermeture des centrales thermiques au charbon, régulation européenne sur les émissions CO2 des voitures). Cependant, ce recoupement est limité, et l’AMS 2018 inclut un ensemble bien plus important de mesures que l’AME</w:t>
      </w:r>
      <w:r w:rsidR="00CF2650">
        <w:t>, avec certaines mesures étendues jusqu’en 2050 (CEE, fonds chaleur, MaPrimeRénov, etc…), et certaines mesures qui n’avaient pas encore été implémentées en décembre 2019 (subventions pour le report modal dans le transport, régulation de construction pour les nouveaux batîments, etc…). Les sections suivantes contiennent des détails supplémentaires sur les politiques et mesures incluses dans chaque scénario.</w:t>
      </w:r>
    </w:p>
    <w:p w14:paraId="3DE8CD2A" w14:textId="77777777" w:rsidR="00F24A36" w:rsidRPr="0098629B" w:rsidRDefault="00F24A36" w:rsidP="00F24A36"/>
    <w:p w14:paraId="2713885F" w14:textId="77777777" w:rsidR="00F24A36" w:rsidRPr="0098629B" w:rsidRDefault="00F24A36" w:rsidP="00F24A36">
      <w:r w:rsidRPr="0098629B">
        <w:t>Ce scénario a été défini dans le cadre des travaux de concertation de la 2</w:t>
      </w:r>
      <w:r w:rsidRPr="0098629B">
        <w:rPr>
          <w:vertAlign w:val="superscript"/>
        </w:rPr>
        <w:t>e</w:t>
      </w:r>
      <w:r w:rsidRPr="0098629B">
        <w:t xml:space="preserve"> Stratégie Nationale Bas Carbone. Les hypothèses ont été élaborées dans le cadre des groupes techniques d’échanges avec les parties prenantes et présentées au Comité d’Information et d’Orientation de la SNBC. Le scénario AMS constitue le scénario de référence de la stratégie française pour l’énergie et le climat. Les deux documents de planification ou de stratégie nationaux que sont la Programmation Pluriannuelle de l’Energie (PPE) et la Stratégie Nationale Bas Carbone (SNBC) sont basés sur ce scénario, tout comme le Plan National Intégré Energie Climat (PNIEC) que la France a soumis à l’Union Européenne en 2019. Une synthèse de ce scénario a été rédigée en français et peut-être trouvée sur le site du Ministère de la Transition Energétique</w:t>
      </w:r>
      <w:r w:rsidRPr="0098629B">
        <w:rPr>
          <w:rStyle w:val="FootnoteReference"/>
          <w:rFonts w:ascii="Times New Roman" w:eastAsiaTheme="majorEastAsia" w:hAnsi="Times New Roman"/>
          <w:color w:val="000000"/>
          <w:szCs w:val="22"/>
        </w:rPr>
        <w:footnoteReference w:id="17"/>
      </w:r>
      <w:r w:rsidRPr="0098629B">
        <w:rPr>
          <w:rFonts w:ascii="Times New Roman" w:hAnsi="Times New Roman"/>
          <w:color w:val="000000"/>
        </w:rPr>
        <w:t>.</w:t>
      </w:r>
    </w:p>
    <w:p w14:paraId="33635C42" w14:textId="77777777" w:rsidR="00F24A36" w:rsidRPr="0098629B" w:rsidRDefault="00F24A36" w:rsidP="00F24A36"/>
    <w:p w14:paraId="05D72F37" w14:textId="438EB833" w:rsidR="00F24A36" w:rsidRPr="0098629B" w:rsidRDefault="00F24A36" w:rsidP="00F24A36">
      <w:r w:rsidRPr="0098629B">
        <w:t>L’ensemble des politiques et mesures présentées au chapitre 4 et signalées par un astérisque (*) ont ainsi été intégrées.</w:t>
      </w:r>
    </w:p>
    <w:p w14:paraId="553D6427" w14:textId="62F0D18E" w:rsidR="005066D8" w:rsidRPr="0098629B" w:rsidRDefault="005066D8" w:rsidP="00F24A36"/>
    <w:p w14:paraId="4BA4171E" w14:textId="25786802" w:rsidR="005066D8" w:rsidRPr="0098629B" w:rsidRDefault="00990158" w:rsidP="00573042">
      <w:pPr>
        <w:pStyle w:val="Titre2Niveau2"/>
        <w:numPr>
          <w:ilvl w:val="0"/>
          <w:numId w:val="50"/>
        </w:numPr>
      </w:pPr>
      <w:bookmarkStart w:id="92" w:name="_Toc138344610"/>
      <w:r w:rsidRPr="0098629B">
        <w:t>Principales politiques et mesures inclues dans les scénarios</w:t>
      </w:r>
      <w:bookmarkEnd w:id="92"/>
    </w:p>
    <w:p w14:paraId="1FC17939" w14:textId="77777777" w:rsidR="005066D8" w:rsidRPr="0098629B" w:rsidRDefault="005066D8" w:rsidP="00573042">
      <w:pPr>
        <w:pStyle w:val="ListParagraph"/>
        <w:keepNext/>
        <w:keepLines/>
        <w:numPr>
          <w:ilvl w:val="0"/>
          <w:numId w:val="42"/>
        </w:numPr>
        <w:spacing w:before="240" w:after="60" w:line="260" w:lineRule="atLeast"/>
        <w:contextualSpacing w:val="0"/>
        <w:outlineLvl w:val="3"/>
        <w:rPr>
          <w:rFonts w:asciiTheme="majorHAnsi" w:eastAsiaTheme="majorEastAsia" w:hAnsiTheme="majorHAnsi" w:cstheme="majorBidi"/>
          <w:b/>
          <w:bCs/>
          <w:iCs/>
          <w:vanish/>
          <w:sz w:val="18"/>
          <w:szCs w:val="18"/>
        </w:rPr>
      </w:pPr>
    </w:p>
    <w:p w14:paraId="26505755" w14:textId="77777777" w:rsidR="005066D8" w:rsidRPr="0098629B" w:rsidRDefault="005066D8" w:rsidP="00573042">
      <w:pPr>
        <w:pStyle w:val="ListParagraph"/>
        <w:keepNext/>
        <w:keepLines/>
        <w:numPr>
          <w:ilvl w:val="0"/>
          <w:numId w:val="42"/>
        </w:numPr>
        <w:spacing w:before="240" w:after="60" w:line="260" w:lineRule="atLeast"/>
        <w:contextualSpacing w:val="0"/>
        <w:outlineLvl w:val="3"/>
        <w:rPr>
          <w:rFonts w:asciiTheme="majorHAnsi" w:eastAsiaTheme="majorEastAsia" w:hAnsiTheme="majorHAnsi" w:cstheme="majorBidi"/>
          <w:b/>
          <w:bCs/>
          <w:iCs/>
          <w:vanish/>
          <w:sz w:val="18"/>
          <w:szCs w:val="18"/>
        </w:rPr>
      </w:pPr>
    </w:p>
    <w:p w14:paraId="0C2A06FD" w14:textId="77777777" w:rsidR="005066D8" w:rsidRPr="0098629B" w:rsidRDefault="005066D8" w:rsidP="00573042">
      <w:pPr>
        <w:pStyle w:val="ListParagraph"/>
        <w:keepNext/>
        <w:keepLines/>
        <w:numPr>
          <w:ilvl w:val="1"/>
          <w:numId w:val="42"/>
        </w:numPr>
        <w:spacing w:before="240" w:after="60" w:line="260" w:lineRule="atLeast"/>
        <w:contextualSpacing w:val="0"/>
        <w:outlineLvl w:val="3"/>
        <w:rPr>
          <w:rFonts w:asciiTheme="majorHAnsi" w:eastAsiaTheme="majorEastAsia" w:hAnsiTheme="majorHAnsi" w:cstheme="majorBidi"/>
          <w:b/>
          <w:bCs/>
          <w:iCs/>
          <w:vanish/>
          <w:sz w:val="18"/>
          <w:szCs w:val="18"/>
        </w:rPr>
      </w:pPr>
    </w:p>
    <w:p w14:paraId="2B3AFF4A" w14:textId="73332547" w:rsidR="00F24A36" w:rsidRPr="0098629B" w:rsidRDefault="00F24A36" w:rsidP="00573042">
      <w:pPr>
        <w:pStyle w:val="Titre4niveau4"/>
        <w:numPr>
          <w:ilvl w:val="2"/>
          <w:numId w:val="42"/>
        </w:numPr>
        <w:spacing w:before="240"/>
      </w:pPr>
      <w:r w:rsidRPr="0098629B">
        <w:t>Fiscalité carbone (transversal)</w:t>
      </w:r>
    </w:p>
    <w:p w14:paraId="1160771A" w14:textId="77777777" w:rsidR="00F24A36" w:rsidRPr="0098629B" w:rsidRDefault="00F24A36" w:rsidP="00573042">
      <w:pPr>
        <w:pStyle w:val="titreencadre"/>
        <w:numPr>
          <w:ilvl w:val="3"/>
          <w:numId w:val="43"/>
        </w:numPr>
        <w:spacing w:before="120" w:after="60" w:line="240" w:lineRule="auto"/>
      </w:pPr>
      <w:r w:rsidRPr="0098629B">
        <w:t>AME 2021</w:t>
      </w:r>
    </w:p>
    <w:p w14:paraId="3CC5E348" w14:textId="5C2C2F7F" w:rsidR="00F24A36" w:rsidRPr="0098629B" w:rsidRDefault="00F24A36" w:rsidP="00F24A36">
      <w:r w:rsidRPr="0098629B">
        <w:t>Les hypothèses sur la fiscalité carbone ont été modifiées. Pour les secteurs hors ETS en particulier, le dernier scénario AME intégrait la même composante carbone sur les taxes intérieures de consommation énergétiques avec une valeur de 14,5€/t</w:t>
      </w:r>
      <w:r w:rsidR="00811B0F" w:rsidRPr="0098629B">
        <w:t>CO</w:t>
      </w:r>
      <w:r w:rsidR="00811B0F" w:rsidRPr="0098629B">
        <w:rPr>
          <w:vertAlign w:val="subscript"/>
        </w:rPr>
        <w:t>2</w:t>
      </w:r>
      <w:r w:rsidRPr="0098629B">
        <w:t xml:space="preserve"> en 2015, 22€/t</w:t>
      </w:r>
      <w:r w:rsidR="00811B0F" w:rsidRPr="0098629B">
        <w:t>CO</w:t>
      </w:r>
      <w:r w:rsidR="00811B0F" w:rsidRPr="0098629B">
        <w:rPr>
          <w:vertAlign w:val="subscript"/>
        </w:rPr>
        <w:t>2</w:t>
      </w:r>
      <w:r w:rsidRPr="0098629B">
        <w:t xml:space="preserve"> en 2016, 30,5€/t</w:t>
      </w:r>
      <w:r w:rsidR="00811B0F" w:rsidRPr="0098629B">
        <w:t>CO</w:t>
      </w:r>
      <w:r w:rsidR="00811B0F" w:rsidRPr="0098629B">
        <w:rPr>
          <w:vertAlign w:val="subscript"/>
        </w:rPr>
        <w:t>2</w:t>
      </w:r>
      <w:r w:rsidRPr="0098629B">
        <w:t xml:space="preserve"> en 2017, 39€/t</w:t>
      </w:r>
      <w:r w:rsidR="00811B0F" w:rsidRPr="0098629B">
        <w:t>CO</w:t>
      </w:r>
      <w:r w:rsidR="00811B0F" w:rsidRPr="0098629B">
        <w:rPr>
          <w:vertAlign w:val="subscript"/>
        </w:rPr>
        <w:t>2</w:t>
      </w:r>
      <w:r w:rsidRPr="0098629B">
        <w:t xml:space="preserve"> en 2018, 47,5€/t</w:t>
      </w:r>
      <w:r w:rsidR="00811B0F" w:rsidRPr="0098629B">
        <w:t>CO</w:t>
      </w:r>
      <w:r w:rsidR="00811B0F" w:rsidRPr="0098629B">
        <w:rPr>
          <w:vertAlign w:val="subscript"/>
        </w:rPr>
        <w:t>2</w:t>
      </w:r>
      <w:r w:rsidRPr="0098629B">
        <w:t xml:space="preserve"> en 2019, 56€/t</w:t>
      </w:r>
      <w:r w:rsidR="00811B0F" w:rsidRPr="0098629B">
        <w:t>CO</w:t>
      </w:r>
      <w:r w:rsidR="00811B0F" w:rsidRPr="0098629B">
        <w:rPr>
          <w:vertAlign w:val="subscript"/>
        </w:rPr>
        <w:t>2</w:t>
      </w:r>
      <w:r w:rsidRPr="0098629B">
        <w:t xml:space="preserve"> en 2020 puis une croissance linéaire jusqu’à 100€/t</w:t>
      </w:r>
      <w:r w:rsidR="00811B0F" w:rsidRPr="0098629B">
        <w:t>CO</w:t>
      </w:r>
      <w:r w:rsidR="00811B0F" w:rsidRPr="0098629B">
        <w:rPr>
          <w:vertAlign w:val="subscript"/>
        </w:rPr>
        <w:t>2</w:t>
      </w:r>
      <w:r w:rsidRPr="0098629B">
        <w:t>. Le scénario AME 2021 intègre quant à lui le gel de la TICPE décidé fin 2018, et fait l’hypothèse de son maintien au niveau actuel, soit 44,6€/t</w:t>
      </w:r>
      <w:r w:rsidR="00811B0F" w:rsidRPr="0098629B">
        <w:t>CO</w:t>
      </w:r>
      <w:r w:rsidR="00811B0F" w:rsidRPr="0098629B">
        <w:rPr>
          <w:vertAlign w:val="subscript"/>
        </w:rPr>
        <w:t>2</w:t>
      </w:r>
      <w:r w:rsidRPr="0098629B">
        <w:t>, jusqu’en 2050.</w:t>
      </w:r>
    </w:p>
    <w:p w14:paraId="0EAD1BE6" w14:textId="77777777" w:rsidR="00F24A36" w:rsidRPr="0098629B" w:rsidRDefault="00F24A36" w:rsidP="00573042">
      <w:pPr>
        <w:pStyle w:val="titreencadre"/>
        <w:numPr>
          <w:ilvl w:val="3"/>
          <w:numId w:val="43"/>
        </w:numPr>
        <w:spacing w:before="120" w:after="60" w:line="240" w:lineRule="auto"/>
      </w:pPr>
      <w:r w:rsidRPr="0098629B">
        <w:t>AMS 2018</w:t>
      </w:r>
    </w:p>
    <w:p w14:paraId="2213F8C2" w14:textId="3FBEEA6C" w:rsidR="00F24A36" w:rsidRPr="0098629B" w:rsidRDefault="00F24A36" w:rsidP="00F24A36">
      <w:pPr>
        <w:spacing w:before="240" w:after="240"/>
      </w:pPr>
      <w:r w:rsidRPr="0098629B">
        <w:t>Le scénario AMS 2018 prend en compte la décision de geler la hausse de la composante carbone à la fin de l’année 2018. La composante carbone est donc modélisée avec une trajectoire stable à compter de 2018 à 44,6€/t</w:t>
      </w:r>
      <w:r w:rsidR="00811B0F" w:rsidRPr="0098629B">
        <w:t>CO</w:t>
      </w:r>
      <w:r w:rsidR="00811B0F" w:rsidRPr="0098629B">
        <w:rPr>
          <w:vertAlign w:val="subscript"/>
        </w:rPr>
        <w:t>2</w:t>
      </w:r>
      <w:r w:rsidRPr="0098629B">
        <w:t>.</w:t>
      </w:r>
    </w:p>
    <w:p w14:paraId="06DC9636" w14:textId="77777777" w:rsidR="005066D8" w:rsidRPr="0098629B" w:rsidRDefault="005066D8" w:rsidP="00573042">
      <w:pPr>
        <w:pStyle w:val="ListParagraph"/>
        <w:keepNext/>
        <w:keepLines/>
        <w:numPr>
          <w:ilvl w:val="0"/>
          <w:numId w:val="43"/>
        </w:numPr>
        <w:spacing w:before="240" w:after="60" w:line="260" w:lineRule="atLeast"/>
        <w:contextualSpacing w:val="0"/>
        <w:outlineLvl w:val="3"/>
        <w:rPr>
          <w:rFonts w:asciiTheme="majorHAnsi" w:eastAsiaTheme="majorEastAsia" w:hAnsiTheme="majorHAnsi" w:cstheme="majorBidi"/>
          <w:b/>
          <w:bCs/>
          <w:iCs/>
          <w:vanish/>
          <w:sz w:val="18"/>
          <w:szCs w:val="18"/>
        </w:rPr>
      </w:pPr>
    </w:p>
    <w:p w14:paraId="2D0F4DA8" w14:textId="77777777" w:rsidR="005066D8" w:rsidRPr="0098629B" w:rsidRDefault="005066D8" w:rsidP="00573042">
      <w:pPr>
        <w:pStyle w:val="ListParagraph"/>
        <w:keepNext/>
        <w:keepLines/>
        <w:numPr>
          <w:ilvl w:val="1"/>
          <w:numId w:val="43"/>
        </w:numPr>
        <w:spacing w:before="240" w:after="60" w:line="260" w:lineRule="atLeast"/>
        <w:contextualSpacing w:val="0"/>
        <w:outlineLvl w:val="3"/>
        <w:rPr>
          <w:rFonts w:asciiTheme="majorHAnsi" w:eastAsiaTheme="majorEastAsia" w:hAnsiTheme="majorHAnsi" w:cstheme="majorBidi"/>
          <w:b/>
          <w:bCs/>
          <w:iCs/>
          <w:vanish/>
          <w:sz w:val="18"/>
          <w:szCs w:val="18"/>
        </w:rPr>
      </w:pPr>
    </w:p>
    <w:p w14:paraId="37B7199F" w14:textId="77777777" w:rsidR="005066D8" w:rsidRPr="0098629B" w:rsidRDefault="005066D8" w:rsidP="00573042">
      <w:pPr>
        <w:pStyle w:val="ListParagraph"/>
        <w:keepNext/>
        <w:keepLines/>
        <w:numPr>
          <w:ilvl w:val="2"/>
          <w:numId w:val="43"/>
        </w:numPr>
        <w:spacing w:before="240" w:after="60" w:line="260" w:lineRule="atLeast"/>
        <w:contextualSpacing w:val="0"/>
        <w:outlineLvl w:val="3"/>
        <w:rPr>
          <w:rFonts w:asciiTheme="majorHAnsi" w:eastAsiaTheme="majorEastAsia" w:hAnsiTheme="majorHAnsi" w:cstheme="majorBidi"/>
          <w:b/>
          <w:bCs/>
          <w:iCs/>
          <w:vanish/>
          <w:sz w:val="18"/>
          <w:szCs w:val="18"/>
        </w:rPr>
      </w:pPr>
    </w:p>
    <w:p w14:paraId="733AF8C6" w14:textId="3F22DE4E" w:rsidR="00F24A36" w:rsidRPr="0098629B" w:rsidRDefault="00F24A36" w:rsidP="00573042">
      <w:pPr>
        <w:pStyle w:val="Titre4niveau4"/>
        <w:numPr>
          <w:ilvl w:val="2"/>
          <w:numId w:val="43"/>
        </w:numPr>
        <w:spacing w:before="240"/>
      </w:pPr>
      <w:r w:rsidRPr="0098629B">
        <w:t xml:space="preserve">Certificats d’économie d’énergie (transversal) </w:t>
      </w:r>
    </w:p>
    <w:p w14:paraId="3866BD04" w14:textId="77777777" w:rsidR="00F24A36" w:rsidRPr="0098629B" w:rsidRDefault="00F24A36" w:rsidP="00573042">
      <w:pPr>
        <w:pStyle w:val="titreencadre"/>
        <w:numPr>
          <w:ilvl w:val="3"/>
          <w:numId w:val="43"/>
        </w:numPr>
        <w:spacing w:before="120" w:after="60" w:line="240" w:lineRule="auto"/>
      </w:pPr>
      <w:r w:rsidRPr="0098629B">
        <w:t>AME 2021</w:t>
      </w:r>
    </w:p>
    <w:p w14:paraId="586E0A4F" w14:textId="77777777" w:rsidR="00F24A36" w:rsidRPr="0098629B" w:rsidRDefault="00F24A36" w:rsidP="00F24A36">
      <w:pPr>
        <w:spacing w:before="240" w:after="240"/>
      </w:pPr>
      <w:r w:rsidRPr="0098629B">
        <w:t>Le scénario AME 2021 intègre la prolongation de la 4</w:t>
      </w:r>
      <w:r w:rsidRPr="0098629B">
        <w:rPr>
          <w:vertAlign w:val="superscript"/>
        </w:rPr>
        <w:t>e</w:t>
      </w:r>
      <w:r w:rsidRPr="0098629B">
        <w:t xml:space="preserve"> période du dispositif des certificats d’économie d’énergie jusqu’au 31/12/2021 avec un objectif indiqué de 2133 TWh cumac sur la période 2018-2021. La valeur du CEE est fixée à 6 €/MWh cumac (contre 3€/MWh dans le précédent AME) pour cette période reflétant la hausse des prix observée depuis 2018. </w:t>
      </w:r>
    </w:p>
    <w:p w14:paraId="108E59F6" w14:textId="77777777" w:rsidR="00F24A36" w:rsidRPr="0098629B" w:rsidRDefault="00F24A36" w:rsidP="00573042">
      <w:pPr>
        <w:pStyle w:val="titreencadre"/>
        <w:numPr>
          <w:ilvl w:val="3"/>
          <w:numId w:val="43"/>
        </w:numPr>
        <w:spacing w:before="120" w:after="60" w:line="240" w:lineRule="auto"/>
      </w:pPr>
      <w:r w:rsidRPr="0098629B">
        <w:t>AMS 2018</w:t>
      </w:r>
    </w:p>
    <w:p w14:paraId="401DDD00" w14:textId="77777777" w:rsidR="00F24A36" w:rsidRPr="0098629B" w:rsidRDefault="00F24A36" w:rsidP="00F24A36">
      <w:pPr>
        <w:spacing w:before="240" w:after="240"/>
      </w:pPr>
      <w:r w:rsidRPr="0098629B">
        <w:t>Le dispositif des certificats d’économie d’énergie est prolongé jusqu’en 2050. La valeur du CEE augmente progressivement de 3 €/MWh Cumac en début de période jusqu’à 20 €/MWh Cumac en 2050.</w:t>
      </w:r>
    </w:p>
    <w:p w14:paraId="54B43066" w14:textId="77777777" w:rsidR="00F24A36" w:rsidRPr="0098629B" w:rsidRDefault="00F24A36" w:rsidP="00573042">
      <w:pPr>
        <w:pStyle w:val="Titre4niveau4"/>
        <w:numPr>
          <w:ilvl w:val="2"/>
          <w:numId w:val="43"/>
        </w:numPr>
        <w:spacing w:before="240"/>
      </w:pPr>
      <w:r w:rsidRPr="0098629B">
        <w:t xml:space="preserve">Énergies renouvelables </w:t>
      </w:r>
    </w:p>
    <w:p w14:paraId="1FB1AC5F" w14:textId="77777777" w:rsidR="00F24A36" w:rsidRPr="0098629B" w:rsidRDefault="00F24A36" w:rsidP="00573042">
      <w:pPr>
        <w:pStyle w:val="titreencadre"/>
        <w:numPr>
          <w:ilvl w:val="3"/>
          <w:numId w:val="43"/>
        </w:numPr>
        <w:spacing w:before="120" w:after="60" w:line="240" w:lineRule="auto"/>
      </w:pPr>
      <w:r w:rsidRPr="0098629B">
        <w:t>AME 2021</w:t>
      </w:r>
    </w:p>
    <w:p w14:paraId="7E2E80E4" w14:textId="77777777" w:rsidR="00F24A36" w:rsidRPr="0098629B" w:rsidRDefault="00F24A36" w:rsidP="00F24A36">
      <w:pPr>
        <w:spacing w:before="240" w:after="240"/>
      </w:pPr>
      <w:r w:rsidRPr="0098629B">
        <w:t xml:space="preserve">Le fonds chaleur est prolongé jusqu’en 2021 et arrêté au-delà. Les biocarburants sont incorporés à hauteur de 7,9% pour l’essence et 7,3% pour le gazole en 2015 et reste stable sur la période. Les énergies renouvelables électriques sont supposées se développer au rythme actuel.  </w:t>
      </w:r>
    </w:p>
    <w:p w14:paraId="59139680" w14:textId="77777777" w:rsidR="00F24A36" w:rsidRPr="0098629B" w:rsidRDefault="00F24A36" w:rsidP="00573042">
      <w:pPr>
        <w:pStyle w:val="titreencadre"/>
        <w:numPr>
          <w:ilvl w:val="3"/>
          <w:numId w:val="43"/>
        </w:numPr>
        <w:spacing w:before="120" w:after="60" w:line="240" w:lineRule="auto"/>
      </w:pPr>
      <w:r w:rsidRPr="0098629B">
        <w:t>AMS 2018</w:t>
      </w:r>
    </w:p>
    <w:p w14:paraId="5F818716" w14:textId="77777777" w:rsidR="00F24A36" w:rsidRPr="0098629B" w:rsidRDefault="00F24A36" w:rsidP="00F24A36">
      <w:pPr>
        <w:spacing w:before="240" w:after="240"/>
      </w:pPr>
      <w:r w:rsidRPr="0098629B">
        <w:t>Le fonds chaleur est prolongé jusqu’en 2050. Les biocarburants sont incorporés à hauteur de 7,5% pour l’essence et pour le gazole en 2015, le taux augmente jusqu’à 10,6% en 2030 puis 100% en 2050. Les énergies renouvelables électriques sont supposées se développer plus rapidement que dans le scénario AME.</w:t>
      </w:r>
    </w:p>
    <w:p w14:paraId="072847FD" w14:textId="77777777" w:rsidR="00F24A36" w:rsidRPr="0098629B" w:rsidRDefault="00F24A36" w:rsidP="00573042">
      <w:pPr>
        <w:pStyle w:val="Titre4niveau4"/>
        <w:numPr>
          <w:ilvl w:val="2"/>
          <w:numId w:val="43"/>
        </w:numPr>
        <w:spacing w:before="240"/>
      </w:pPr>
      <w:r w:rsidRPr="0098629B">
        <w:t>Transports</w:t>
      </w:r>
    </w:p>
    <w:p w14:paraId="2F5E6517" w14:textId="77777777" w:rsidR="00F24A36" w:rsidRPr="0098629B" w:rsidRDefault="00F24A36" w:rsidP="00573042">
      <w:pPr>
        <w:pStyle w:val="titreencadre"/>
        <w:numPr>
          <w:ilvl w:val="3"/>
          <w:numId w:val="43"/>
        </w:numPr>
        <w:spacing w:before="120" w:after="60" w:line="240" w:lineRule="auto"/>
      </w:pPr>
      <w:r w:rsidRPr="0098629B">
        <w:t>AME 2021</w:t>
      </w:r>
    </w:p>
    <w:p w14:paraId="5358F553" w14:textId="77777777" w:rsidR="00F24A36" w:rsidRPr="0098629B" w:rsidRDefault="00F24A36" w:rsidP="00F24A36">
      <w:r w:rsidRPr="0098629B">
        <w:t xml:space="preserve">L’AME 2021 intègre notamment pour ce secteur : les règlements européens sur les véhicules de 2019, les mesures de la Loi d’Orientation des Mobilités (LOM), les mesures fiscales prises avant fin 2019. </w:t>
      </w:r>
    </w:p>
    <w:p w14:paraId="16C8666B" w14:textId="77777777" w:rsidR="00F24A36" w:rsidRPr="0098629B" w:rsidRDefault="00F24A36" w:rsidP="00F24A36"/>
    <w:p w14:paraId="210DD49D" w14:textId="77777777" w:rsidR="00F24A36" w:rsidRPr="0098629B" w:rsidRDefault="00F24A36" w:rsidP="00F24A36">
      <w:r w:rsidRPr="0098629B">
        <w:t>Pour les parcs de véhicules, le scénario intègre les règlements européens de 2019 fixant des objectifs de réduction d’émissions pour les véhicules neufs vendus à horizon 2030 par rapport à 2021 pour les VP (-37,5%), les VUL (-31%) et les PL (-30%). Le scénario intègre également les mesures nationales relatives aux véhicules notamment l’ensemble des mesures fiscales décidées avant 2020 (bonus-malus, prime à la conversion, taxe sur les véhicules de société, dispositif de suramortissement des véhicules lourds)</w:t>
      </w:r>
      <w:r w:rsidRPr="0098629B">
        <w:rPr>
          <w:rFonts w:ascii="Calibri" w:hAnsi="Calibri" w:cs="Calibri"/>
        </w:rPr>
        <w:t> </w:t>
      </w:r>
      <w:r w:rsidRPr="0098629B">
        <w:t>; le renforcement dans le cadre de la loi d’orientation des mobilités des objectifs d’intégration de véhicules à faibles émissions et l’extension de la mesure aux flottes d’entreprises de plus de 100 véhicules, y compris les loueurs de flotte</w:t>
      </w:r>
      <w:r w:rsidRPr="0098629B">
        <w:rPr>
          <w:rFonts w:ascii="Calibri" w:hAnsi="Calibri" w:cs="Calibri"/>
        </w:rPr>
        <w:t> </w:t>
      </w:r>
      <w:r w:rsidRPr="0098629B">
        <w:t>;  les dispositifs d’incitation à l’installation de bornes de recharges publiques et privées</w:t>
      </w:r>
      <w:r w:rsidRPr="0098629B">
        <w:rPr>
          <w:rFonts w:ascii="Calibri" w:hAnsi="Calibri" w:cs="Calibri"/>
        </w:rPr>
        <w:t> </w:t>
      </w:r>
      <w:r w:rsidRPr="0098629B">
        <w:t>; zones à faibles émissions. Dans la modélisation, les mesures relatives aux obligations d’intégration de véhicules à faibles émissions dans le renouvellement des flottes, les mesures fiscales incitatives, le développement des zones à faibles émissions et les mesures de développement des bornes de recharge sont considérées comme des mesures qui viennent conforter l’atteinte des objectifs européens mais sans effet additionnel.</w:t>
      </w:r>
    </w:p>
    <w:p w14:paraId="2AA2584A" w14:textId="77777777" w:rsidR="00F24A36" w:rsidRPr="0098629B" w:rsidRDefault="00F24A36" w:rsidP="00F24A36"/>
    <w:p w14:paraId="3121CCC6" w14:textId="77777777" w:rsidR="00F24A36" w:rsidRPr="0098629B" w:rsidRDefault="00F24A36" w:rsidP="00F24A36">
      <w:r w:rsidRPr="0098629B">
        <w:t>Pour les trafics, la modélisation intègre l’ensemble des mesures en faveur du vélo actées dans le cadre de la loi d’orientation des mobilités et du plan vélo, les mesures de renforcement des transports collectifs, les zones à faibles émissions. Pour l’aviation, le scénario intègre les dispositifs ETS et CORSIA. Un effet de saturation est pris en compte dans la modélisation pour le trafic international à partir de 2025 et jusqu’en 2050, à travers une réduction de l’élasticité du trafic par rapport au PIB de l’ordre de 25% à l’horizon 2050.</w:t>
      </w:r>
    </w:p>
    <w:p w14:paraId="78B9A31D" w14:textId="77777777" w:rsidR="00F24A36" w:rsidRPr="0098629B" w:rsidRDefault="00F24A36" w:rsidP="00F24A36"/>
    <w:p w14:paraId="04B391EA" w14:textId="77777777" w:rsidR="00F24A36" w:rsidRPr="0098629B" w:rsidRDefault="00F24A36" w:rsidP="00F24A36">
      <w:r w:rsidRPr="0098629B">
        <w:t>Les trafics ont été modélisés aux points clés 2030 et 2050. Le point 2025 a fait l’objet d’une interpolation entre l’année 2018 et l’année 2030. La prise en compte de l’impact de la Covid-19 est faite d’une part à travers la chronique de PIB de la Commission qui intègre un effet Covid-19, ce qui se traduit sur les trafics y compris à moyen à terme, à travers l’impact du PIB dans les modèles</w:t>
      </w:r>
      <w:r w:rsidRPr="0098629B">
        <w:rPr>
          <w:rFonts w:ascii="Calibri" w:hAnsi="Calibri" w:cs="Calibri"/>
        </w:rPr>
        <w:t> </w:t>
      </w:r>
      <w:r w:rsidRPr="0098629B">
        <w:t>; d’autre part le point 2020 qui est évalué à partir des données de trafic provisoires connues au moment de l’élaboration des chroniques.</w:t>
      </w:r>
    </w:p>
    <w:p w14:paraId="77F17394" w14:textId="77777777" w:rsidR="00F24A36" w:rsidRPr="0098629B" w:rsidRDefault="00F24A36" w:rsidP="00573042">
      <w:pPr>
        <w:pStyle w:val="titreencadre"/>
        <w:numPr>
          <w:ilvl w:val="3"/>
          <w:numId w:val="43"/>
        </w:numPr>
        <w:spacing w:before="120" w:after="60" w:line="240" w:lineRule="auto"/>
      </w:pPr>
      <w:r w:rsidRPr="0098629B">
        <w:t>AMS 2018</w:t>
      </w:r>
    </w:p>
    <w:p w14:paraId="04EBF01A" w14:textId="77777777" w:rsidR="00F24A36" w:rsidRPr="0098629B" w:rsidRDefault="00F24A36" w:rsidP="00F24A36">
      <w:pPr>
        <w:spacing w:before="240" w:after="240"/>
        <w:rPr>
          <w:sz w:val="21"/>
        </w:rPr>
      </w:pPr>
      <w:r w:rsidRPr="0098629B">
        <w:rPr>
          <w:sz w:val="21"/>
        </w:rPr>
        <w:t>Le scénario AMS réalisé antérieurement à l’adoption des règlements de 2019 anticipait l’adoption de ces règlements et prévoyait un développement de véhicules à faibles émissions proche du scénario AME 21. Par ailleurs le scénario intègre un objectif de fin de vente des voitures et véhicules utilitaires légers neufs émettant des gaz à effet de serre en 2040. Le scénario prévoit ainsi l’électrification complète à terme du parc de voitures particulières, un fort développement de l’électrification pour les véhicules utilitaires légers ainsi qu’un mix énergétique plus diversifié pour les poids lourds incluant un développement de véhicules au GNV (Gaz Naturel Véhicule) avec développement du bio-GNV, de l’électrification y compris pile à combustible hydrogène. Le scénario intègre aussi de forts gains d’efficacité énergétique avec une consommation de 4 L/100 km en consommation réelle pour les voitures neuves en 2030. Le taux d’incorporation des biocarburants dans les carburants liquides et gazeux se développe jusqu’à atteindre 100% d’incorporation pour les transports terrestres en 2050.</w:t>
      </w:r>
    </w:p>
    <w:p w14:paraId="6A66C852" w14:textId="77777777" w:rsidR="00F24A36" w:rsidRPr="0098629B" w:rsidRDefault="00F24A36" w:rsidP="00F24A36">
      <w:pPr>
        <w:spacing w:before="240" w:after="240"/>
      </w:pPr>
      <w:r w:rsidRPr="0098629B">
        <w:rPr>
          <w:sz w:val="21"/>
        </w:rPr>
        <w:t>Le scénario intègre des mesures renforcées sur la demande. La part modale du vélo est multipliée par 4 à horizon 2030, Le scénario intègre un report modal vers les transports collectifs de 3 points à horizon 2030 et 7 points à horizon 2050. Le scénario intègre aussi une hypothèse de maîtrise de la demande de mobilité avec une croissance inférieure à celle du scénario AME (télétravail, limitation de l’étalement urbain) ainsi qu’une croissance des taux d’occupation des véhicules</w:t>
      </w:r>
      <w:r w:rsidRPr="0098629B">
        <w:t>.</w:t>
      </w:r>
    </w:p>
    <w:p w14:paraId="041FD872" w14:textId="77777777" w:rsidR="00F24A36" w:rsidRPr="0098629B" w:rsidRDefault="00F24A36" w:rsidP="00573042">
      <w:pPr>
        <w:pStyle w:val="Titre4niveau4"/>
        <w:numPr>
          <w:ilvl w:val="2"/>
          <w:numId w:val="43"/>
        </w:numPr>
        <w:spacing w:before="240"/>
      </w:pPr>
      <w:r w:rsidRPr="0098629B">
        <w:t xml:space="preserve">Bâtiments </w:t>
      </w:r>
    </w:p>
    <w:p w14:paraId="54BF3B0B" w14:textId="77777777" w:rsidR="00F24A36" w:rsidRPr="0098629B" w:rsidRDefault="00F24A36" w:rsidP="00573042">
      <w:pPr>
        <w:pStyle w:val="titreencadre"/>
        <w:numPr>
          <w:ilvl w:val="3"/>
          <w:numId w:val="43"/>
        </w:numPr>
        <w:spacing w:before="120" w:after="60" w:line="240" w:lineRule="auto"/>
      </w:pPr>
      <w:r w:rsidRPr="0098629B">
        <w:t>AME 2021</w:t>
      </w:r>
    </w:p>
    <w:p w14:paraId="47490696" w14:textId="77777777" w:rsidR="00F24A36" w:rsidRPr="0098629B" w:rsidRDefault="00F24A36" w:rsidP="00F24A36">
      <w:pPr>
        <w:spacing w:before="240" w:after="240"/>
      </w:pPr>
      <w:r w:rsidRPr="0098629B">
        <w:t>Concernant la construction de bâtiments neufs, le scénario AME 2021 prend en compte la dernière réglementation en vigueur, à savoir la RT2012. Contrairement au scénario de 2018, l’expérimentation E+/C- n’a pas été intégrée à la modélisation car elle n’a finalement concerné qu’un nombre limité de logements.</w:t>
      </w:r>
    </w:p>
    <w:p w14:paraId="578E906B" w14:textId="77777777" w:rsidR="00F24A36" w:rsidRPr="0098629B" w:rsidRDefault="00F24A36" w:rsidP="00F24A36">
      <w:pPr>
        <w:spacing w:before="240" w:after="240"/>
      </w:pPr>
      <w:r w:rsidRPr="0098629B">
        <w:t xml:space="preserve">Concernant la rénovation thermique des logements, le crédit d’impôt (nouvellement appelé MaPrimeRénov’), les subventions pour la rénovation thermique de logements de ménages précaires, l’éco PTZ (prêt à taux bonifié pour les particuliers) et éco-PLS (prêt à taux bonifié pour la rénovation des logements sociaux) sont prolongés jusque fin 2021. </w:t>
      </w:r>
    </w:p>
    <w:p w14:paraId="1347303E" w14:textId="77777777" w:rsidR="00F24A36" w:rsidRPr="0098629B" w:rsidRDefault="00F24A36" w:rsidP="00F24A36">
      <w:pPr>
        <w:spacing w:before="240" w:after="240"/>
      </w:pPr>
      <w:r w:rsidRPr="0098629B">
        <w:t xml:space="preserve">L’objectif de rénovation des passoires thermiques d’ici 2028, bien qu’adopté via la loi énergie climat de 2019, n’a quant à lui pas été intégré dans le scénario central du fait du faible nombre de mesures effectives permettant de l’atteindre. </w:t>
      </w:r>
    </w:p>
    <w:p w14:paraId="2D12660F" w14:textId="77777777" w:rsidR="00F24A36" w:rsidRPr="0098629B" w:rsidRDefault="00F24A36" w:rsidP="00F24A36">
      <w:pPr>
        <w:spacing w:before="240" w:after="240"/>
      </w:pPr>
      <w:r w:rsidRPr="0098629B">
        <w:t>Les mesures d’obligations de rénovations énergétiques lors de travaux importants dans le résidentiel comme le tertiaire, d’obligation d’audit énergétique dans les copropriétés, de renforcement de la réglementation thermique élément par élément et d’individualisation des frais de chauffage (déjà intégrées dans le précédent AME) ont été prises en compte.</w:t>
      </w:r>
    </w:p>
    <w:p w14:paraId="35E21562" w14:textId="77777777" w:rsidR="00F24A36" w:rsidRPr="0098629B" w:rsidRDefault="00F24A36" w:rsidP="00573042">
      <w:pPr>
        <w:pStyle w:val="titreencadre"/>
        <w:numPr>
          <w:ilvl w:val="3"/>
          <w:numId w:val="43"/>
        </w:numPr>
        <w:spacing w:before="120" w:after="60" w:line="240" w:lineRule="auto"/>
      </w:pPr>
      <w:r w:rsidRPr="0098629B">
        <w:t>AMS 2018</w:t>
      </w:r>
    </w:p>
    <w:p w14:paraId="3D5B1277" w14:textId="77777777" w:rsidR="00F24A36" w:rsidRPr="0098629B" w:rsidRDefault="00F24A36" w:rsidP="00F24A36">
      <w:pPr>
        <w:spacing w:before="240" w:after="240"/>
      </w:pPr>
      <w:r w:rsidRPr="0098629B">
        <w:t>Concernant la construction de bâtiments neufs, le scénario AMS prend en compte la dernière réglementation en vigueur, à savoir la RT2012 puis fait des hypothèses pour une réglementation de plus en plus ambitieuse sur la consommation d’énergie, la décarbonation du mix énergétique et le recours à des matériaux moins émetteurs de gaz à effet de serre, en particulier des matériaux biosourcés.</w:t>
      </w:r>
    </w:p>
    <w:p w14:paraId="69E02C1B" w14:textId="77777777" w:rsidR="00F24A36" w:rsidRPr="0098629B" w:rsidRDefault="00F24A36" w:rsidP="00F24A36">
      <w:pPr>
        <w:spacing w:before="240" w:after="240"/>
      </w:pPr>
      <w:r w:rsidRPr="0098629B">
        <w:t>Concernant la rénovation thermique des logements, le crédit d’impôt, les subventions pour la rénovation thermique de logements de ménages précaires, l’éco-PTZ (prêt à taux bonifié pour les particuliers), l’éco-PLS (prêt à taux bonifié pour la rénovation des logements sociaux) sont prolongés jusqu’en 2050. Le scénario intègre aussi les mesures d’obligations de rénovations énergétiques lors de travaux importants (déjà intégrées dans le scénario AME) ainsi qu’un objectif de disparition des passoires thermiques (logements les plus consommateurs) dès 2030 présent dans la loi relative à l’énergie et au climat de 2019.</w:t>
      </w:r>
    </w:p>
    <w:p w14:paraId="5808EF95" w14:textId="77777777" w:rsidR="00F24A36" w:rsidRPr="0098629B" w:rsidRDefault="00F24A36" w:rsidP="00573042">
      <w:pPr>
        <w:pStyle w:val="Titre4niveau4"/>
        <w:numPr>
          <w:ilvl w:val="2"/>
          <w:numId w:val="43"/>
        </w:numPr>
        <w:spacing w:before="240"/>
      </w:pPr>
      <w:r w:rsidRPr="0098629B">
        <w:t>Industrie</w:t>
      </w:r>
    </w:p>
    <w:p w14:paraId="69DC16EB" w14:textId="77777777" w:rsidR="00F24A36" w:rsidRPr="0098629B" w:rsidRDefault="00F24A36" w:rsidP="00573042">
      <w:pPr>
        <w:pStyle w:val="titreencadre"/>
        <w:numPr>
          <w:ilvl w:val="3"/>
          <w:numId w:val="43"/>
        </w:numPr>
        <w:spacing w:before="120" w:after="60" w:line="240" w:lineRule="auto"/>
      </w:pPr>
      <w:r w:rsidRPr="0098629B">
        <w:t>AME 2021</w:t>
      </w:r>
    </w:p>
    <w:p w14:paraId="3B6835E0" w14:textId="77777777" w:rsidR="00F24A36" w:rsidRPr="0098629B" w:rsidRDefault="00F24A36" w:rsidP="00F24A36">
      <w:pPr>
        <w:spacing w:before="240" w:after="240"/>
      </w:pPr>
      <w:r w:rsidRPr="0098629B">
        <w:t>La production industrielle croît en lien avec le cadrage macro-économique (taux de croissance annuel moyen de la valeur ajoutée industrielle). Une amélioration tendancielle de l’efficacité énergétique des procédés soutenue par les obligations d’audits énergétiques et les certificats d’économie d’énergie est néanmoins représentée, ce qui contrebalance le premier effet et conduit à une consommation énergétique du secteur industriel quasiment stable entre 2015 et 2030.</w:t>
      </w:r>
    </w:p>
    <w:p w14:paraId="27E7998F" w14:textId="77777777" w:rsidR="00F24A36" w:rsidRPr="0098629B" w:rsidRDefault="00F24A36" w:rsidP="00573042">
      <w:pPr>
        <w:pStyle w:val="titreencadre"/>
        <w:numPr>
          <w:ilvl w:val="3"/>
          <w:numId w:val="43"/>
        </w:numPr>
        <w:spacing w:before="120" w:after="60" w:line="240" w:lineRule="auto"/>
      </w:pPr>
      <w:r w:rsidRPr="0098629B">
        <w:t>AMS 2018</w:t>
      </w:r>
    </w:p>
    <w:p w14:paraId="7AFACBDA" w14:textId="5B2657BA" w:rsidR="00F24A36" w:rsidRPr="0098629B" w:rsidRDefault="00F24A36" w:rsidP="00F24A36">
      <w:pPr>
        <w:spacing w:before="240" w:after="240"/>
      </w:pPr>
      <w:r w:rsidRPr="0098629B">
        <w:t>L’objectif de neutralité carbone impose de mobiliser l’ensemble des leviers disponibles de réduction des émissions. Le secteur industriel est concerné par les 4 grandes familles de leviers : réduction de la consommation énergétique, décarbonation de l’énergie, réduction des émissions non-énergétiques et augmentation du puits de carbone. Un 5</w:t>
      </w:r>
      <w:r w:rsidRPr="0098629B">
        <w:rPr>
          <w:vertAlign w:val="superscript"/>
        </w:rPr>
        <w:t>e</w:t>
      </w:r>
      <w:r w:rsidRPr="0098629B">
        <w:t xml:space="preserve"> levier peut également s’appliquer pour le secteur industriel : la diminution de l’intensité matière de l’économie (grâce à l’écoconception, le recyclage, etc.). Le scénario AMS (avec mesures supplémentaires) prévoit ainsi d’importants gains d’efficacité énergétique (entre -15 % et -40 % pour les consommations unitaires par rapport à 2015 selon les filières, qui ont des potentiels différents, et une récupération de 15 TWh de chaleur fatale) associée à une décarbonation du mix énergétique, avec une électrification du secteur à hauteur de 74 %, le reste des consommations reposant principalement sur le biogaz (12%) et la biomasse (12%). Dans ce scénario, des progrès sont également effectués sur les émissions non-énergétiques du secteur via une amélioration des procédés industriels (ex. ciment bas carbone) et une réduction forte des émissions de gaz fluorés via une substitution avec des fluides à faible potentiel de réchauffement. A plus long terme, le puits de carbone est renforcé via les technologies de capture et stockage du </w:t>
      </w:r>
      <w:r w:rsidR="00811B0F" w:rsidRPr="0098629B">
        <w:t>CO</w:t>
      </w:r>
      <w:r w:rsidR="00811B0F" w:rsidRPr="0098629B">
        <w:rPr>
          <w:vertAlign w:val="subscript"/>
        </w:rPr>
        <w:t>2</w:t>
      </w:r>
      <w:r w:rsidRPr="0098629B">
        <w:t xml:space="preserve"> (voir fiche dédiée à ce sujet).</w:t>
      </w:r>
    </w:p>
    <w:p w14:paraId="026B6049" w14:textId="77777777" w:rsidR="00F24A36" w:rsidRPr="0098629B" w:rsidRDefault="00F24A36" w:rsidP="00F24A36">
      <w:pPr>
        <w:spacing w:before="240" w:after="240"/>
      </w:pPr>
      <w:r w:rsidRPr="0098629B">
        <w:t>Ces transformations adviennent principalement via le renforcement du SEQE-UE (EU-ETS), relevant progressivement le prix des quotas sur le marché, mais aussi via le maintien de la composante carbone dans les TIC, le fonds chaleur, les certificats d’économies d’énergie, les obligations d’audits énergétiques, les subventions à l’innovation dans le cadre du Programme d’Investissements d’Avenir (PIA) et les prêts de la BPI contribuent également à accélérer la transition dans l’industrie. D’autres mesures de soutien (par exemple le fonds d’innovation de l’EU ETS) faciliteront l’initiation des investissements nécessaires.</w:t>
      </w:r>
    </w:p>
    <w:p w14:paraId="6C598E2F" w14:textId="77777777" w:rsidR="00F24A36" w:rsidRPr="0098629B" w:rsidRDefault="00F24A36" w:rsidP="00573042">
      <w:pPr>
        <w:pStyle w:val="Titre4niveau4"/>
        <w:numPr>
          <w:ilvl w:val="2"/>
          <w:numId w:val="43"/>
        </w:numPr>
        <w:spacing w:before="240"/>
      </w:pPr>
      <w:r w:rsidRPr="0098629B">
        <w:t>Gaz fluorés</w:t>
      </w:r>
    </w:p>
    <w:p w14:paraId="42B08DB9" w14:textId="77777777" w:rsidR="00F24A36" w:rsidRPr="0098629B" w:rsidRDefault="00F24A36" w:rsidP="00573042">
      <w:pPr>
        <w:pStyle w:val="titreencadre"/>
        <w:numPr>
          <w:ilvl w:val="3"/>
          <w:numId w:val="43"/>
        </w:numPr>
        <w:spacing w:before="120" w:after="60" w:line="240" w:lineRule="auto"/>
      </w:pPr>
      <w:r w:rsidRPr="0098629B">
        <w:t>AMS 2018 et AME 2021</w:t>
      </w:r>
    </w:p>
    <w:p w14:paraId="0A39CB4D" w14:textId="77777777" w:rsidR="00F24A36" w:rsidRPr="0098629B" w:rsidRDefault="00F24A36" w:rsidP="00F24A36">
      <w:pPr>
        <w:spacing w:before="240" w:after="240"/>
      </w:pPr>
      <w:r w:rsidRPr="0098629B">
        <w:t xml:space="preserve">Le règlement 842/2006 (F-Gaz) relatif aux gaz à effet de serre fluorés et la Directive 2006/40/CE (climatisation automobile) et les règlements français en découlant (art. R 543-75 et suivants, R 543-99 Code de l’environnement) sont pris en compte. </w:t>
      </w:r>
    </w:p>
    <w:p w14:paraId="6638FB53" w14:textId="77777777" w:rsidR="00F24A36" w:rsidRPr="0098629B" w:rsidRDefault="00F24A36" w:rsidP="00573042">
      <w:pPr>
        <w:pStyle w:val="Titre4niveau4"/>
        <w:numPr>
          <w:ilvl w:val="2"/>
          <w:numId w:val="43"/>
        </w:numPr>
        <w:spacing w:before="240"/>
      </w:pPr>
      <w:r w:rsidRPr="0098629B">
        <w:t>Agriculture et forêt</w:t>
      </w:r>
    </w:p>
    <w:p w14:paraId="330E7B64" w14:textId="77777777" w:rsidR="00F24A36" w:rsidRPr="0098629B" w:rsidRDefault="00F24A36" w:rsidP="00573042">
      <w:pPr>
        <w:pStyle w:val="titreencadre"/>
        <w:numPr>
          <w:ilvl w:val="3"/>
          <w:numId w:val="43"/>
        </w:numPr>
        <w:spacing w:before="120" w:after="60" w:line="240" w:lineRule="auto"/>
      </w:pPr>
      <w:r w:rsidRPr="0098629B">
        <w:t>AME 2021</w:t>
      </w:r>
    </w:p>
    <w:p w14:paraId="4DA075CE" w14:textId="77777777" w:rsidR="00F24A36" w:rsidRPr="0098629B" w:rsidRDefault="00F24A36" w:rsidP="00F24A36">
      <w:pPr>
        <w:spacing w:before="240" w:after="240"/>
      </w:pPr>
      <w:r w:rsidRPr="0098629B">
        <w:t>Peu de nouvelles mesures ont été adoptées dans ce secteur depuis le précédent AME. Les modifications portent principalement sur l’ajustement des tendances au vu des trajectoires récentes observées. La part des surfaces agricoles en grandes cultures cultivées en agriculture biologique augmente entre 2015 et 2030 pour passer de 5,5 % en 2019 à 10,6 % en 2030 puis à 16,9 % en 2050. La consommation d’engrais minéraux baisse de 5,2 % entre 2019 et 2030 et de 12,7 % entre 2019 et 2050.</w:t>
      </w:r>
    </w:p>
    <w:p w14:paraId="1FD44ECF" w14:textId="77777777" w:rsidR="00F24A36" w:rsidRPr="0098629B" w:rsidRDefault="00F24A36" w:rsidP="00573042">
      <w:pPr>
        <w:pStyle w:val="titreencadre"/>
        <w:numPr>
          <w:ilvl w:val="3"/>
          <w:numId w:val="43"/>
        </w:numPr>
        <w:spacing w:before="120" w:after="60" w:line="240" w:lineRule="auto"/>
      </w:pPr>
      <w:r w:rsidRPr="0098629B">
        <w:t>AMS 2018</w:t>
      </w:r>
    </w:p>
    <w:p w14:paraId="2EE00F0D" w14:textId="77777777" w:rsidR="00F24A36" w:rsidRPr="0098629B" w:rsidRDefault="00F24A36" w:rsidP="00F24A36">
      <w:pPr>
        <w:spacing w:before="240" w:after="240"/>
      </w:pPr>
      <w:r w:rsidRPr="0098629B">
        <w:t>La part des surfaces agricoles en grandes cultures cultivées en agriculture biologique augmente entre 2015 et 2030 pour passer de 2,3% en 2015 à 28% en 2030 puis à 44 % en 2050. La consommation d’engrais minéraux baisse de 21% entre 2015 et 2030 et de 45% entre 2015 et 2050.</w:t>
      </w:r>
    </w:p>
    <w:p w14:paraId="64AE33DF" w14:textId="77777777" w:rsidR="00F24A36" w:rsidRPr="0098629B" w:rsidRDefault="00F24A36" w:rsidP="00F24A36">
      <w:pPr>
        <w:spacing w:before="240" w:after="240"/>
      </w:pPr>
      <w:r w:rsidRPr="0098629B">
        <w:t>Le changement de régime alimentaire au niveau national vers une alimentation moins carnée et plus qualitative entraîne un changement dans la structure de production agricole. En particulier, les revenus des agriculteurs augmentent via la montée en qualité mais aussi la diversification des sources de revenus (augmentation de la production de biomasse issue de l’agriculture via la valorisation des déchets, des résidus de culture ou des cultures dédiées, notamment des cultures intermédiaires ; valorisation de services écosystémiques, en particulier du stockage de carbone…). Ce changement de structure de production s’accompagne d’une baisse du cheptel bovin de 11% entre 2015 et 2030 puis de 30% entre 2015 et 2050.</w:t>
      </w:r>
    </w:p>
    <w:p w14:paraId="0A08DD2A" w14:textId="77777777" w:rsidR="00F24A36" w:rsidRPr="0098629B" w:rsidRDefault="00F24A36" w:rsidP="00573042">
      <w:pPr>
        <w:pStyle w:val="Titre4niveau4"/>
        <w:numPr>
          <w:ilvl w:val="2"/>
          <w:numId w:val="43"/>
        </w:numPr>
        <w:spacing w:before="240"/>
      </w:pPr>
      <w:r w:rsidRPr="0098629B">
        <w:t>Gestion et traitement des déchets</w:t>
      </w:r>
    </w:p>
    <w:p w14:paraId="11193DFF" w14:textId="77777777" w:rsidR="00F24A36" w:rsidRPr="0098629B" w:rsidRDefault="00F24A36" w:rsidP="00573042">
      <w:pPr>
        <w:pStyle w:val="titreencadre"/>
        <w:numPr>
          <w:ilvl w:val="3"/>
          <w:numId w:val="43"/>
        </w:numPr>
        <w:spacing w:before="120" w:after="60" w:line="240" w:lineRule="auto"/>
      </w:pPr>
      <w:r w:rsidRPr="0098629B">
        <w:t>AME 2021</w:t>
      </w:r>
    </w:p>
    <w:p w14:paraId="106C19C9" w14:textId="77777777" w:rsidR="00F24A36" w:rsidRPr="0098629B" w:rsidRDefault="00F24A36" w:rsidP="00F24A36">
      <w:pPr>
        <w:spacing w:before="240" w:after="240"/>
      </w:pPr>
      <w:r w:rsidRPr="0098629B">
        <w:t>Le scénario intègre les mêmes mesures que le scénario AME précédent, la loi relative à la lutte contre le gaspillage et à l’économie circulaire (dite loi AGEC) ayant été adoptée début 2020 et n’ayant donc pas été intégrée à l’exercice. Par ailleurs le taux de captage du biométhane reste stable entre 2015 et 2030 à 50%. La part de biométhane capté valorisé atteint 85% sur la période 2030-2050.</w:t>
      </w:r>
    </w:p>
    <w:p w14:paraId="1E25E5B3" w14:textId="77777777" w:rsidR="00F24A36" w:rsidRPr="0098629B" w:rsidRDefault="00F24A36" w:rsidP="00573042">
      <w:pPr>
        <w:pStyle w:val="titreencadre"/>
        <w:numPr>
          <w:ilvl w:val="3"/>
          <w:numId w:val="43"/>
        </w:numPr>
        <w:spacing w:before="120" w:after="60" w:line="240" w:lineRule="auto"/>
      </w:pPr>
      <w:r w:rsidRPr="0098629B">
        <w:t>AMS 2018</w:t>
      </w:r>
    </w:p>
    <w:p w14:paraId="2EE9C7EA" w14:textId="3EA95929" w:rsidR="00F24A36" w:rsidRDefault="00F24A36" w:rsidP="00F24A36">
      <w:pPr>
        <w:spacing w:before="240" w:after="240"/>
      </w:pPr>
      <w:r w:rsidRPr="0098629B">
        <w:t>Le scénario intègre une économie plus circulaire et une réorientation massive des déchets vers la réutilisation, le recyclage, la valorisation matière ou la valorisation énergétique. La quantité de déchets allant en décharge diminue de 86% entre 2015 et 2050. Par ailleurs le taux de captage du biométhane augmente entre 2015 et 2030 de 50% à 60% puis passe à 85% en 2050. La part de biométhane capté valorisé reste stable à partir de 2030 à hauteur de 75%.</w:t>
      </w:r>
    </w:p>
    <w:p w14:paraId="17D55FD5" w14:textId="77777777" w:rsidR="00714D22" w:rsidRDefault="00714D22" w:rsidP="00714D22">
      <w:pPr>
        <w:spacing w:before="240" w:after="240"/>
      </w:pPr>
    </w:p>
    <w:p w14:paraId="6FCA3CE7" w14:textId="77777777" w:rsidR="00714D22" w:rsidRDefault="00714D22" w:rsidP="00714D22">
      <w:pPr>
        <w:pStyle w:val="Titre4niveau4"/>
        <w:numPr>
          <w:ilvl w:val="2"/>
          <w:numId w:val="59"/>
        </w:numPr>
        <w:spacing w:before="240"/>
      </w:pPr>
      <w:r>
        <w:t>Résumé</w:t>
      </w:r>
    </w:p>
    <w:tbl>
      <w:tblPr>
        <w:tblStyle w:val="TableGrid"/>
        <w:tblW w:w="0" w:type="auto"/>
        <w:tblLook w:val="04A0" w:firstRow="1" w:lastRow="0" w:firstColumn="1" w:lastColumn="0" w:noHBand="0" w:noVBand="1"/>
      </w:tblPr>
      <w:tblGrid>
        <w:gridCol w:w="1696"/>
        <w:gridCol w:w="3274"/>
        <w:gridCol w:w="2485"/>
        <w:gridCol w:w="2485"/>
      </w:tblGrid>
      <w:tr w:rsidR="00714D22" w14:paraId="05B4CA2F" w14:textId="77777777" w:rsidTr="00C53C7D">
        <w:tc>
          <w:tcPr>
            <w:tcW w:w="1696" w:type="dxa"/>
          </w:tcPr>
          <w:p w14:paraId="3C8F518B" w14:textId="77777777" w:rsidR="00714D22" w:rsidRDefault="00714D22" w:rsidP="00C53C7D">
            <w:pPr>
              <w:spacing w:before="240" w:after="240"/>
            </w:pPr>
          </w:p>
        </w:tc>
        <w:tc>
          <w:tcPr>
            <w:tcW w:w="3274" w:type="dxa"/>
          </w:tcPr>
          <w:p w14:paraId="6138236D" w14:textId="77777777" w:rsidR="00714D22" w:rsidRDefault="00714D22" w:rsidP="00C53C7D">
            <w:pPr>
              <w:spacing w:before="240" w:after="240"/>
            </w:pPr>
          </w:p>
        </w:tc>
        <w:tc>
          <w:tcPr>
            <w:tcW w:w="2485" w:type="dxa"/>
          </w:tcPr>
          <w:p w14:paraId="41B3F5F2" w14:textId="77777777" w:rsidR="00714D22" w:rsidRDefault="00714D22" w:rsidP="00C53C7D">
            <w:pPr>
              <w:spacing w:before="240" w:after="240"/>
              <w:jc w:val="center"/>
            </w:pPr>
            <w:r>
              <w:t>AME</w:t>
            </w:r>
          </w:p>
        </w:tc>
        <w:tc>
          <w:tcPr>
            <w:tcW w:w="2485" w:type="dxa"/>
          </w:tcPr>
          <w:p w14:paraId="2FEF2D97" w14:textId="77777777" w:rsidR="00714D22" w:rsidRDefault="00714D22" w:rsidP="00C53C7D">
            <w:pPr>
              <w:spacing w:before="240" w:after="240"/>
              <w:jc w:val="center"/>
            </w:pPr>
            <w:r>
              <w:t>AMS</w:t>
            </w:r>
          </w:p>
        </w:tc>
      </w:tr>
      <w:tr w:rsidR="00714D22" w14:paraId="1B7B77AE" w14:textId="77777777" w:rsidTr="00C53C7D">
        <w:tc>
          <w:tcPr>
            <w:tcW w:w="1696" w:type="dxa"/>
            <w:vMerge w:val="restart"/>
            <w:vAlign w:val="center"/>
          </w:tcPr>
          <w:p w14:paraId="03BD15C4" w14:textId="77777777" w:rsidR="00714D22" w:rsidRDefault="00714D22" w:rsidP="00C53C7D">
            <w:pPr>
              <w:spacing w:before="240" w:after="240"/>
              <w:jc w:val="center"/>
            </w:pPr>
            <w:r>
              <w:t>Transversales</w:t>
            </w:r>
          </w:p>
        </w:tc>
        <w:tc>
          <w:tcPr>
            <w:tcW w:w="3274" w:type="dxa"/>
          </w:tcPr>
          <w:p w14:paraId="07F8A585" w14:textId="77777777" w:rsidR="00714D22" w:rsidRDefault="00714D22" w:rsidP="00C53C7D">
            <w:pPr>
              <w:spacing w:before="240" w:after="240"/>
            </w:pPr>
            <w:r>
              <w:t xml:space="preserve">Taxe carbone </w:t>
            </w:r>
          </w:p>
        </w:tc>
        <w:tc>
          <w:tcPr>
            <w:tcW w:w="2485" w:type="dxa"/>
            <w:vAlign w:val="center"/>
          </w:tcPr>
          <w:p w14:paraId="68F2A453" w14:textId="77777777" w:rsidR="00714D22" w:rsidRDefault="00714D22" w:rsidP="00C53C7D">
            <w:pPr>
              <w:spacing w:before="240" w:after="240"/>
              <w:jc w:val="center"/>
            </w:pPr>
            <w:r>
              <w:t>X</w:t>
            </w:r>
          </w:p>
        </w:tc>
        <w:tc>
          <w:tcPr>
            <w:tcW w:w="2485" w:type="dxa"/>
            <w:vAlign w:val="center"/>
          </w:tcPr>
          <w:p w14:paraId="3F96E928" w14:textId="77777777" w:rsidR="00714D22" w:rsidRDefault="00714D22" w:rsidP="00C53C7D">
            <w:pPr>
              <w:spacing w:before="240" w:after="240"/>
              <w:jc w:val="center"/>
            </w:pPr>
            <w:r>
              <w:t>X</w:t>
            </w:r>
          </w:p>
        </w:tc>
      </w:tr>
      <w:tr w:rsidR="00714D22" w14:paraId="55F6ED10" w14:textId="77777777" w:rsidTr="00C53C7D">
        <w:tc>
          <w:tcPr>
            <w:tcW w:w="1696" w:type="dxa"/>
            <w:vMerge/>
            <w:vAlign w:val="center"/>
          </w:tcPr>
          <w:p w14:paraId="6AAB0103" w14:textId="77777777" w:rsidR="00714D22" w:rsidRDefault="00714D22" w:rsidP="00C53C7D">
            <w:pPr>
              <w:spacing w:before="240" w:after="240"/>
              <w:jc w:val="center"/>
            </w:pPr>
          </w:p>
        </w:tc>
        <w:tc>
          <w:tcPr>
            <w:tcW w:w="3274" w:type="dxa"/>
          </w:tcPr>
          <w:p w14:paraId="3D52AFC6" w14:textId="77777777" w:rsidR="00714D22" w:rsidRDefault="00714D22" w:rsidP="00C53C7D">
            <w:pPr>
              <w:spacing w:before="240" w:after="240"/>
            </w:pPr>
            <w:r>
              <w:t xml:space="preserve">Certificats d’économie d’énergie  </w:t>
            </w:r>
          </w:p>
        </w:tc>
        <w:tc>
          <w:tcPr>
            <w:tcW w:w="2485" w:type="dxa"/>
            <w:vAlign w:val="center"/>
          </w:tcPr>
          <w:p w14:paraId="282E170C" w14:textId="77777777" w:rsidR="00714D22" w:rsidRDefault="00714D22" w:rsidP="00C53C7D">
            <w:pPr>
              <w:spacing w:before="240" w:after="240"/>
              <w:jc w:val="center"/>
            </w:pPr>
            <w:r>
              <w:t>X</w:t>
            </w:r>
          </w:p>
        </w:tc>
        <w:tc>
          <w:tcPr>
            <w:tcW w:w="2485" w:type="dxa"/>
            <w:vAlign w:val="center"/>
          </w:tcPr>
          <w:p w14:paraId="0B36F237" w14:textId="77777777" w:rsidR="00714D22" w:rsidRDefault="00714D22" w:rsidP="00C53C7D">
            <w:pPr>
              <w:spacing w:before="240" w:after="240"/>
              <w:jc w:val="center"/>
            </w:pPr>
            <w:r>
              <w:t>X (jusqu’en 2050)</w:t>
            </w:r>
          </w:p>
        </w:tc>
      </w:tr>
      <w:tr w:rsidR="00714D22" w14:paraId="10747756" w14:textId="77777777" w:rsidTr="00C53C7D">
        <w:tc>
          <w:tcPr>
            <w:tcW w:w="1696" w:type="dxa"/>
            <w:vAlign w:val="center"/>
          </w:tcPr>
          <w:p w14:paraId="7CF16AC8" w14:textId="77777777" w:rsidR="00714D22" w:rsidRDefault="00714D22" w:rsidP="00C53C7D">
            <w:pPr>
              <w:spacing w:before="240" w:after="240"/>
              <w:jc w:val="center"/>
            </w:pPr>
            <w:r>
              <w:t>EnR</w:t>
            </w:r>
          </w:p>
        </w:tc>
        <w:tc>
          <w:tcPr>
            <w:tcW w:w="3274" w:type="dxa"/>
          </w:tcPr>
          <w:p w14:paraId="549A710B" w14:textId="77777777" w:rsidR="00714D22" w:rsidRDefault="00714D22" w:rsidP="00C53C7D">
            <w:pPr>
              <w:spacing w:before="240" w:after="240"/>
            </w:pPr>
            <w:r>
              <w:t>Fonds chaleur</w:t>
            </w:r>
          </w:p>
        </w:tc>
        <w:tc>
          <w:tcPr>
            <w:tcW w:w="2485" w:type="dxa"/>
            <w:vAlign w:val="center"/>
          </w:tcPr>
          <w:p w14:paraId="43EF8C89" w14:textId="77777777" w:rsidR="00714D22" w:rsidRDefault="00714D22" w:rsidP="00C53C7D">
            <w:pPr>
              <w:spacing w:before="240" w:after="240"/>
              <w:jc w:val="center"/>
            </w:pPr>
            <w:r>
              <w:t>X</w:t>
            </w:r>
          </w:p>
        </w:tc>
        <w:tc>
          <w:tcPr>
            <w:tcW w:w="2485" w:type="dxa"/>
            <w:vAlign w:val="center"/>
          </w:tcPr>
          <w:p w14:paraId="57EF3FEE" w14:textId="77777777" w:rsidR="00714D22" w:rsidRDefault="00714D22" w:rsidP="00C53C7D">
            <w:pPr>
              <w:spacing w:before="240" w:after="240"/>
              <w:jc w:val="center"/>
            </w:pPr>
            <w:r>
              <w:t>X (jusqu’en 2050)</w:t>
            </w:r>
          </w:p>
        </w:tc>
      </w:tr>
      <w:tr w:rsidR="00714D22" w14:paraId="5DD3D102" w14:textId="77777777" w:rsidTr="00C53C7D">
        <w:tc>
          <w:tcPr>
            <w:tcW w:w="1696" w:type="dxa"/>
            <w:vMerge w:val="restart"/>
            <w:vAlign w:val="center"/>
          </w:tcPr>
          <w:p w14:paraId="5F12EAF8" w14:textId="77777777" w:rsidR="00714D22" w:rsidRDefault="00714D22" w:rsidP="00C53C7D">
            <w:pPr>
              <w:spacing w:before="240" w:after="240"/>
              <w:jc w:val="center"/>
            </w:pPr>
            <w:r>
              <w:t>Transport</w:t>
            </w:r>
          </w:p>
        </w:tc>
        <w:tc>
          <w:tcPr>
            <w:tcW w:w="3274" w:type="dxa"/>
          </w:tcPr>
          <w:p w14:paraId="73CD05EE" w14:textId="77777777" w:rsidR="00714D22" w:rsidRDefault="00714D22" w:rsidP="00C53C7D">
            <w:pPr>
              <w:spacing w:before="240" w:after="240"/>
            </w:pPr>
            <w:r>
              <w:t xml:space="preserve">Régulation européenne sur les émissions (2019) </w:t>
            </w:r>
          </w:p>
        </w:tc>
        <w:tc>
          <w:tcPr>
            <w:tcW w:w="2485" w:type="dxa"/>
            <w:vAlign w:val="center"/>
          </w:tcPr>
          <w:p w14:paraId="1B697380" w14:textId="77777777" w:rsidR="00714D22" w:rsidRDefault="00714D22" w:rsidP="00C53C7D">
            <w:pPr>
              <w:spacing w:before="240" w:after="240"/>
              <w:jc w:val="center"/>
            </w:pPr>
            <w:r>
              <w:t>X</w:t>
            </w:r>
          </w:p>
        </w:tc>
        <w:tc>
          <w:tcPr>
            <w:tcW w:w="2485" w:type="dxa"/>
            <w:vAlign w:val="center"/>
          </w:tcPr>
          <w:p w14:paraId="3780A8AD" w14:textId="77777777" w:rsidR="00714D22" w:rsidRDefault="00714D22" w:rsidP="00C53C7D">
            <w:pPr>
              <w:spacing w:before="240" w:after="240"/>
              <w:jc w:val="center"/>
            </w:pPr>
            <w:r>
              <w:t>X</w:t>
            </w:r>
          </w:p>
        </w:tc>
      </w:tr>
      <w:tr w:rsidR="00714D22" w14:paraId="363DA80B" w14:textId="77777777" w:rsidTr="00C53C7D">
        <w:tc>
          <w:tcPr>
            <w:tcW w:w="1696" w:type="dxa"/>
            <w:vMerge/>
            <w:vAlign w:val="center"/>
          </w:tcPr>
          <w:p w14:paraId="2206239A" w14:textId="77777777" w:rsidR="00714D22" w:rsidRDefault="00714D22" w:rsidP="00C53C7D">
            <w:pPr>
              <w:spacing w:before="240" w:after="240"/>
              <w:jc w:val="center"/>
            </w:pPr>
          </w:p>
        </w:tc>
        <w:tc>
          <w:tcPr>
            <w:tcW w:w="3274" w:type="dxa"/>
          </w:tcPr>
          <w:p w14:paraId="609097AC" w14:textId="77777777" w:rsidR="00714D22" w:rsidRDefault="00714D22" w:rsidP="00C53C7D">
            <w:pPr>
              <w:spacing w:before="240" w:after="240"/>
            </w:pPr>
            <w:r>
              <w:t>Loi d’orientation des mobilités</w:t>
            </w:r>
          </w:p>
        </w:tc>
        <w:tc>
          <w:tcPr>
            <w:tcW w:w="2485" w:type="dxa"/>
            <w:vAlign w:val="center"/>
          </w:tcPr>
          <w:p w14:paraId="26177B53" w14:textId="77777777" w:rsidR="00714D22" w:rsidRDefault="00714D22" w:rsidP="00C53C7D">
            <w:pPr>
              <w:spacing w:before="240" w:after="240"/>
              <w:jc w:val="center"/>
            </w:pPr>
            <w:r>
              <w:t>X</w:t>
            </w:r>
          </w:p>
        </w:tc>
        <w:tc>
          <w:tcPr>
            <w:tcW w:w="2485" w:type="dxa"/>
            <w:vAlign w:val="center"/>
          </w:tcPr>
          <w:p w14:paraId="6DE2F0D2" w14:textId="77777777" w:rsidR="00714D22" w:rsidRDefault="00714D22" w:rsidP="00C53C7D">
            <w:pPr>
              <w:spacing w:before="240" w:after="240"/>
              <w:jc w:val="center"/>
            </w:pPr>
            <w:r>
              <w:t>X</w:t>
            </w:r>
          </w:p>
        </w:tc>
      </w:tr>
      <w:tr w:rsidR="00714D22" w14:paraId="340CBF96" w14:textId="77777777" w:rsidTr="00C53C7D">
        <w:tc>
          <w:tcPr>
            <w:tcW w:w="1696" w:type="dxa"/>
            <w:vMerge/>
            <w:vAlign w:val="center"/>
          </w:tcPr>
          <w:p w14:paraId="76647C4B" w14:textId="77777777" w:rsidR="00714D22" w:rsidRDefault="00714D22" w:rsidP="00C53C7D">
            <w:pPr>
              <w:spacing w:before="240" w:after="240"/>
              <w:jc w:val="center"/>
            </w:pPr>
          </w:p>
        </w:tc>
        <w:tc>
          <w:tcPr>
            <w:tcW w:w="3274" w:type="dxa"/>
          </w:tcPr>
          <w:p w14:paraId="08014255" w14:textId="77777777" w:rsidR="00714D22" w:rsidRDefault="00714D22" w:rsidP="00C53C7D">
            <w:pPr>
              <w:spacing w:before="240" w:after="240"/>
            </w:pPr>
            <w:r>
              <w:t xml:space="preserve">Mesures fiscales avant fin 2019 </w:t>
            </w:r>
          </w:p>
        </w:tc>
        <w:tc>
          <w:tcPr>
            <w:tcW w:w="2485" w:type="dxa"/>
            <w:vAlign w:val="center"/>
          </w:tcPr>
          <w:p w14:paraId="335A7EBC" w14:textId="77777777" w:rsidR="00714D22" w:rsidRDefault="00714D22" w:rsidP="00C53C7D">
            <w:pPr>
              <w:spacing w:before="240" w:after="240"/>
              <w:jc w:val="center"/>
            </w:pPr>
            <w:r>
              <w:t>X</w:t>
            </w:r>
          </w:p>
        </w:tc>
        <w:tc>
          <w:tcPr>
            <w:tcW w:w="2485" w:type="dxa"/>
            <w:vAlign w:val="center"/>
          </w:tcPr>
          <w:p w14:paraId="31BCD38E" w14:textId="77777777" w:rsidR="00714D22" w:rsidRDefault="00714D22" w:rsidP="00C53C7D">
            <w:pPr>
              <w:spacing w:before="240" w:after="240"/>
              <w:jc w:val="center"/>
            </w:pPr>
            <w:r>
              <w:t>X</w:t>
            </w:r>
          </w:p>
        </w:tc>
      </w:tr>
      <w:tr w:rsidR="00714D22" w14:paraId="785A76B1" w14:textId="77777777" w:rsidTr="00C53C7D">
        <w:tc>
          <w:tcPr>
            <w:tcW w:w="1696" w:type="dxa"/>
            <w:vMerge/>
            <w:vAlign w:val="center"/>
          </w:tcPr>
          <w:p w14:paraId="681E9E87" w14:textId="77777777" w:rsidR="00714D22" w:rsidRDefault="00714D22" w:rsidP="00C53C7D">
            <w:pPr>
              <w:spacing w:before="240" w:after="240"/>
              <w:jc w:val="center"/>
            </w:pPr>
          </w:p>
        </w:tc>
        <w:tc>
          <w:tcPr>
            <w:tcW w:w="3274" w:type="dxa"/>
          </w:tcPr>
          <w:p w14:paraId="79B4945B" w14:textId="77777777" w:rsidR="00714D22" w:rsidRDefault="00714D22" w:rsidP="00C53C7D">
            <w:pPr>
              <w:spacing w:before="240" w:after="240"/>
            </w:pPr>
            <w:r>
              <w:t>Fin de vente des véhicules émetteurs en 2040</w:t>
            </w:r>
          </w:p>
        </w:tc>
        <w:tc>
          <w:tcPr>
            <w:tcW w:w="2485" w:type="dxa"/>
            <w:vAlign w:val="center"/>
          </w:tcPr>
          <w:p w14:paraId="1FAC55CE" w14:textId="77777777" w:rsidR="00714D22" w:rsidRDefault="00714D22" w:rsidP="00C53C7D">
            <w:pPr>
              <w:spacing w:before="240" w:after="240"/>
              <w:jc w:val="center"/>
            </w:pPr>
          </w:p>
        </w:tc>
        <w:tc>
          <w:tcPr>
            <w:tcW w:w="2485" w:type="dxa"/>
            <w:vAlign w:val="center"/>
          </w:tcPr>
          <w:p w14:paraId="3164854C" w14:textId="77777777" w:rsidR="00714D22" w:rsidRDefault="00714D22" w:rsidP="00C53C7D">
            <w:pPr>
              <w:spacing w:before="240" w:after="240"/>
              <w:jc w:val="center"/>
            </w:pPr>
            <w:r>
              <w:t>X</w:t>
            </w:r>
          </w:p>
        </w:tc>
      </w:tr>
      <w:tr w:rsidR="00714D22" w14:paraId="2BA3C055" w14:textId="77777777" w:rsidTr="00C53C7D">
        <w:tc>
          <w:tcPr>
            <w:tcW w:w="1696" w:type="dxa"/>
            <w:vMerge/>
            <w:vAlign w:val="center"/>
          </w:tcPr>
          <w:p w14:paraId="41886C72" w14:textId="77777777" w:rsidR="00714D22" w:rsidRDefault="00714D22" w:rsidP="00C53C7D">
            <w:pPr>
              <w:spacing w:before="240" w:after="240"/>
              <w:jc w:val="center"/>
            </w:pPr>
          </w:p>
        </w:tc>
        <w:tc>
          <w:tcPr>
            <w:tcW w:w="3274" w:type="dxa"/>
          </w:tcPr>
          <w:p w14:paraId="29B52CE7" w14:textId="77777777" w:rsidR="00714D22" w:rsidRDefault="00714D22" w:rsidP="00C53C7D">
            <w:pPr>
              <w:spacing w:before="240" w:after="240"/>
            </w:pPr>
            <w:r>
              <w:t xml:space="preserve">Electrification </w:t>
            </w:r>
          </w:p>
        </w:tc>
        <w:tc>
          <w:tcPr>
            <w:tcW w:w="2485" w:type="dxa"/>
            <w:vAlign w:val="center"/>
          </w:tcPr>
          <w:p w14:paraId="26886B71" w14:textId="77777777" w:rsidR="00714D22" w:rsidRDefault="00714D22" w:rsidP="00C53C7D">
            <w:pPr>
              <w:spacing w:before="240" w:after="240"/>
              <w:jc w:val="center"/>
            </w:pPr>
          </w:p>
        </w:tc>
        <w:tc>
          <w:tcPr>
            <w:tcW w:w="2485" w:type="dxa"/>
            <w:vAlign w:val="center"/>
          </w:tcPr>
          <w:p w14:paraId="5A8E9981" w14:textId="77777777" w:rsidR="00714D22" w:rsidRDefault="00714D22" w:rsidP="00C53C7D">
            <w:pPr>
              <w:spacing w:before="240" w:after="240"/>
              <w:jc w:val="center"/>
            </w:pPr>
            <w:r>
              <w:t>X</w:t>
            </w:r>
          </w:p>
        </w:tc>
      </w:tr>
      <w:tr w:rsidR="00714D22" w14:paraId="060E8FDC" w14:textId="77777777" w:rsidTr="00C53C7D">
        <w:tc>
          <w:tcPr>
            <w:tcW w:w="1696" w:type="dxa"/>
            <w:vMerge/>
            <w:vAlign w:val="center"/>
          </w:tcPr>
          <w:p w14:paraId="441647E2" w14:textId="77777777" w:rsidR="00714D22" w:rsidRDefault="00714D22" w:rsidP="00C53C7D">
            <w:pPr>
              <w:spacing w:before="240" w:after="240"/>
              <w:jc w:val="center"/>
            </w:pPr>
          </w:p>
        </w:tc>
        <w:tc>
          <w:tcPr>
            <w:tcW w:w="3274" w:type="dxa"/>
          </w:tcPr>
          <w:p w14:paraId="25D07C20" w14:textId="77777777" w:rsidR="00714D22" w:rsidRDefault="00714D22" w:rsidP="00C53C7D">
            <w:pPr>
              <w:spacing w:before="240" w:after="240"/>
            </w:pPr>
            <w:r>
              <w:t xml:space="preserve">Augmentation de la part modale du vélo </w:t>
            </w:r>
          </w:p>
        </w:tc>
        <w:tc>
          <w:tcPr>
            <w:tcW w:w="2485" w:type="dxa"/>
            <w:vAlign w:val="center"/>
          </w:tcPr>
          <w:p w14:paraId="4A3694FE" w14:textId="77777777" w:rsidR="00714D22" w:rsidRDefault="00714D22" w:rsidP="00C53C7D">
            <w:pPr>
              <w:spacing w:before="240" w:after="240"/>
              <w:jc w:val="center"/>
            </w:pPr>
            <w:r>
              <w:t>X</w:t>
            </w:r>
          </w:p>
        </w:tc>
        <w:tc>
          <w:tcPr>
            <w:tcW w:w="2485" w:type="dxa"/>
            <w:vAlign w:val="center"/>
          </w:tcPr>
          <w:p w14:paraId="2AFEA50C" w14:textId="77777777" w:rsidR="00714D22" w:rsidRDefault="00714D22" w:rsidP="00C53C7D">
            <w:pPr>
              <w:spacing w:before="240" w:after="240"/>
              <w:jc w:val="center"/>
            </w:pPr>
            <w:r>
              <w:t>X (2030 and 2050)</w:t>
            </w:r>
          </w:p>
        </w:tc>
      </w:tr>
      <w:tr w:rsidR="00714D22" w14:paraId="1EB51027" w14:textId="77777777" w:rsidTr="00C53C7D">
        <w:tc>
          <w:tcPr>
            <w:tcW w:w="1696" w:type="dxa"/>
            <w:vMerge w:val="restart"/>
            <w:vAlign w:val="center"/>
          </w:tcPr>
          <w:p w14:paraId="77B19DDF" w14:textId="77777777" w:rsidR="00714D22" w:rsidRDefault="00714D22" w:rsidP="00C53C7D">
            <w:pPr>
              <w:spacing w:before="240" w:after="240"/>
              <w:jc w:val="center"/>
            </w:pPr>
            <w:r>
              <w:t>Construction</w:t>
            </w:r>
          </w:p>
        </w:tc>
        <w:tc>
          <w:tcPr>
            <w:tcW w:w="3274" w:type="dxa"/>
          </w:tcPr>
          <w:p w14:paraId="740261A1" w14:textId="77777777" w:rsidR="00714D22" w:rsidRDefault="00714D22" w:rsidP="00C53C7D">
            <w:pPr>
              <w:spacing w:before="240" w:after="240"/>
            </w:pPr>
            <w:r>
              <w:t>RT 2012</w:t>
            </w:r>
          </w:p>
        </w:tc>
        <w:tc>
          <w:tcPr>
            <w:tcW w:w="2485" w:type="dxa"/>
            <w:vAlign w:val="center"/>
          </w:tcPr>
          <w:p w14:paraId="1A6853CD" w14:textId="77777777" w:rsidR="00714D22" w:rsidRDefault="00714D22" w:rsidP="00C53C7D">
            <w:pPr>
              <w:spacing w:before="240" w:after="240"/>
              <w:jc w:val="center"/>
            </w:pPr>
            <w:r>
              <w:t>X</w:t>
            </w:r>
          </w:p>
        </w:tc>
        <w:tc>
          <w:tcPr>
            <w:tcW w:w="2485" w:type="dxa"/>
            <w:vAlign w:val="center"/>
          </w:tcPr>
          <w:p w14:paraId="2F63B21F" w14:textId="77777777" w:rsidR="00714D22" w:rsidRDefault="00714D22" w:rsidP="00C53C7D">
            <w:pPr>
              <w:spacing w:before="240" w:after="240"/>
              <w:jc w:val="center"/>
            </w:pPr>
            <w:r>
              <w:t>X</w:t>
            </w:r>
          </w:p>
        </w:tc>
      </w:tr>
      <w:tr w:rsidR="00714D22" w14:paraId="31EBF21A" w14:textId="77777777" w:rsidTr="00C53C7D">
        <w:tc>
          <w:tcPr>
            <w:tcW w:w="1696" w:type="dxa"/>
            <w:vMerge/>
            <w:vAlign w:val="center"/>
          </w:tcPr>
          <w:p w14:paraId="2339672F" w14:textId="77777777" w:rsidR="00714D22" w:rsidRDefault="00714D22" w:rsidP="00C53C7D">
            <w:pPr>
              <w:spacing w:before="240" w:after="240"/>
              <w:jc w:val="center"/>
            </w:pPr>
          </w:p>
        </w:tc>
        <w:tc>
          <w:tcPr>
            <w:tcW w:w="3274" w:type="dxa"/>
          </w:tcPr>
          <w:p w14:paraId="6C3846B2" w14:textId="77777777" w:rsidR="00714D22" w:rsidRDefault="00714D22" w:rsidP="00C53C7D">
            <w:pPr>
              <w:spacing w:before="240" w:after="240"/>
            </w:pPr>
            <w:r>
              <w:t>MaPrimeRénov’</w:t>
            </w:r>
          </w:p>
        </w:tc>
        <w:tc>
          <w:tcPr>
            <w:tcW w:w="2485" w:type="dxa"/>
            <w:vAlign w:val="center"/>
          </w:tcPr>
          <w:p w14:paraId="45FD0596" w14:textId="77777777" w:rsidR="00714D22" w:rsidRDefault="00714D22" w:rsidP="00C53C7D">
            <w:pPr>
              <w:spacing w:before="240" w:after="240"/>
              <w:jc w:val="center"/>
            </w:pPr>
            <w:r>
              <w:t>X</w:t>
            </w:r>
          </w:p>
        </w:tc>
        <w:tc>
          <w:tcPr>
            <w:tcW w:w="2485" w:type="dxa"/>
            <w:vAlign w:val="center"/>
          </w:tcPr>
          <w:p w14:paraId="16CC2D20" w14:textId="77777777" w:rsidR="00714D22" w:rsidRDefault="00714D22" w:rsidP="00C53C7D">
            <w:pPr>
              <w:spacing w:before="240" w:after="240"/>
              <w:jc w:val="center"/>
            </w:pPr>
            <w:r>
              <w:t>X</w:t>
            </w:r>
          </w:p>
        </w:tc>
      </w:tr>
      <w:tr w:rsidR="00714D22" w14:paraId="65AECD9C" w14:textId="77777777" w:rsidTr="00C53C7D">
        <w:tc>
          <w:tcPr>
            <w:tcW w:w="1696" w:type="dxa"/>
            <w:vMerge/>
            <w:vAlign w:val="center"/>
          </w:tcPr>
          <w:p w14:paraId="43B3A23E" w14:textId="77777777" w:rsidR="00714D22" w:rsidRDefault="00714D22" w:rsidP="00C53C7D">
            <w:pPr>
              <w:spacing w:before="240" w:after="240"/>
              <w:jc w:val="center"/>
            </w:pPr>
          </w:p>
        </w:tc>
        <w:tc>
          <w:tcPr>
            <w:tcW w:w="3274" w:type="dxa"/>
          </w:tcPr>
          <w:p w14:paraId="5D63F359" w14:textId="77777777" w:rsidR="00714D22" w:rsidRDefault="00714D22" w:rsidP="00C53C7D">
            <w:pPr>
              <w:spacing w:before="240" w:after="240"/>
            </w:pPr>
            <w:r>
              <w:t>Eco-PTZ</w:t>
            </w:r>
          </w:p>
        </w:tc>
        <w:tc>
          <w:tcPr>
            <w:tcW w:w="2485" w:type="dxa"/>
            <w:vAlign w:val="center"/>
          </w:tcPr>
          <w:p w14:paraId="5E7B7A77" w14:textId="77777777" w:rsidR="00714D22" w:rsidRDefault="00714D22" w:rsidP="00C53C7D">
            <w:pPr>
              <w:spacing w:before="240" w:after="240"/>
              <w:jc w:val="center"/>
            </w:pPr>
            <w:r>
              <w:t>X</w:t>
            </w:r>
          </w:p>
        </w:tc>
        <w:tc>
          <w:tcPr>
            <w:tcW w:w="2485" w:type="dxa"/>
            <w:vAlign w:val="center"/>
          </w:tcPr>
          <w:p w14:paraId="42161EF7" w14:textId="77777777" w:rsidR="00714D22" w:rsidRDefault="00714D22" w:rsidP="00C53C7D">
            <w:pPr>
              <w:spacing w:before="240" w:after="240"/>
              <w:jc w:val="center"/>
            </w:pPr>
            <w:r>
              <w:t>X (jusqu’en 2050)</w:t>
            </w:r>
          </w:p>
        </w:tc>
      </w:tr>
      <w:tr w:rsidR="00714D22" w14:paraId="2ACFAA86" w14:textId="77777777" w:rsidTr="00C53C7D">
        <w:tc>
          <w:tcPr>
            <w:tcW w:w="1696" w:type="dxa"/>
            <w:vMerge/>
            <w:vAlign w:val="center"/>
          </w:tcPr>
          <w:p w14:paraId="7E12B861" w14:textId="77777777" w:rsidR="00714D22" w:rsidRDefault="00714D22" w:rsidP="00C53C7D">
            <w:pPr>
              <w:spacing w:before="240" w:after="240"/>
              <w:jc w:val="center"/>
            </w:pPr>
          </w:p>
        </w:tc>
        <w:tc>
          <w:tcPr>
            <w:tcW w:w="3274" w:type="dxa"/>
          </w:tcPr>
          <w:p w14:paraId="2F3851DB" w14:textId="77777777" w:rsidR="00714D22" w:rsidRDefault="00714D22" w:rsidP="00C53C7D">
            <w:pPr>
              <w:spacing w:before="240" w:after="240"/>
            </w:pPr>
            <w:r>
              <w:t>Disparition des passoires thermiques d’ici 2030</w:t>
            </w:r>
          </w:p>
        </w:tc>
        <w:tc>
          <w:tcPr>
            <w:tcW w:w="2485" w:type="dxa"/>
            <w:vAlign w:val="center"/>
          </w:tcPr>
          <w:p w14:paraId="1EA918B3" w14:textId="77777777" w:rsidR="00714D22" w:rsidRDefault="00714D22" w:rsidP="00C53C7D">
            <w:pPr>
              <w:spacing w:before="240" w:after="240"/>
              <w:jc w:val="center"/>
            </w:pPr>
          </w:p>
        </w:tc>
        <w:tc>
          <w:tcPr>
            <w:tcW w:w="2485" w:type="dxa"/>
            <w:vAlign w:val="center"/>
          </w:tcPr>
          <w:p w14:paraId="58255235" w14:textId="77777777" w:rsidR="00714D22" w:rsidRDefault="00714D22" w:rsidP="00C53C7D">
            <w:pPr>
              <w:spacing w:before="240" w:after="240"/>
              <w:jc w:val="center"/>
            </w:pPr>
            <w:r>
              <w:t>X</w:t>
            </w:r>
          </w:p>
        </w:tc>
      </w:tr>
      <w:tr w:rsidR="00714D22" w14:paraId="2FDBC55B" w14:textId="77777777" w:rsidTr="00C53C7D">
        <w:tc>
          <w:tcPr>
            <w:tcW w:w="1696" w:type="dxa"/>
            <w:vMerge w:val="restart"/>
            <w:vAlign w:val="center"/>
          </w:tcPr>
          <w:p w14:paraId="7BCDA666" w14:textId="77777777" w:rsidR="00714D22" w:rsidRDefault="00714D22" w:rsidP="00C53C7D">
            <w:pPr>
              <w:spacing w:before="240" w:after="240"/>
              <w:jc w:val="center"/>
            </w:pPr>
            <w:r>
              <w:t>Industrie</w:t>
            </w:r>
          </w:p>
        </w:tc>
        <w:tc>
          <w:tcPr>
            <w:tcW w:w="3274" w:type="dxa"/>
          </w:tcPr>
          <w:p w14:paraId="1B75A173" w14:textId="77777777" w:rsidR="00714D22" w:rsidRDefault="00714D22" w:rsidP="00C53C7D">
            <w:pPr>
              <w:spacing w:before="240" w:after="240"/>
            </w:pPr>
            <w:r>
              <w:t xml:space="preserve">Certificats d’économies d’énergie et audits énergétiques </w:t>
            </w:r>
          </w:p>
        </w:tc>
        <w:tc>
          <w:tcPr>
            <w:tcW w:w="2485" w:type="dxa"/>
            <w:vAlign w:val="center"/>
          </w:tcPr>
          <w:p w14:paraId="0ABF7F23" w14:textId="77777777" w:rsidR="00714D22" w:rsidRDefault="00714D22" w:rsidP="00C53C7D">
            <w:pPr>
              <w:spacing w:before="240" w:after="240"/>
              <w:jc w:val="center"/>
            </w:pPr>
            <w:r>
              <w:t>X</w:t>
            </w:r>
          </w:p>
        </w:tc>
        <w:tc>
          <w:tcPr>
            <w:tcW w:w="2485" w:type="dxa"/>
            <w:vAlign w:val="center"/>
          </w:tcPr>
          <w:p w14:paraId="6F7D2AB1" w14:textId="77777777" w:rsidR="00714D22" w:rsidRDefault="00714D22" w:rsidP="00C53C7D">
            <w:pPr>
              <w:spacing w:before="240" w:after="240"/>
              <w:jc w:val="center"/>
            </w:pPr>
            <w:r>
              <w:t>X</w:t>
            </w:r>
          </w:p>
        </w:tc>
      </w:tr>
      <w:tr w:rsidR="00714D22" w14:paraId="419B2DBB" w14:textId="77777777" w:rsidTr="00C53C7D">
        <w:tc>
          <w:tcPr>
            <w:tcW w:w="1696" w:type="dxa"/>
            <w:vMerge/>
            <w:vAlign w:val="center"/>
          </w:tcPr>
          <w:p w14:paraId="1D2F140B" w14:textId="77777777" w:rsidR="00714D22" w:rsidRDefault="00714D22" w:rsidP="00C53C7D">
            <w:pPr>
              <w:spacing w:before="240" w:after="240"/>
              <w:jc w:val="center"/>
            </w:pPr>
          </w:p>
        </w:tc>
        <w:tc>
          <w:tcPr>
            <w:tcW w:w="3274" w:type="dxa"/>
          </w:tcPr>
          <w:p w14:paraId="3220B79F" w14:textId="77777777" w:rsidR="00714D22" w:rsidRDefault="00714D22" w:rsidP="00C53C7D">
            <w:pPr>
              <w:spacing w:before="240" w:after="240"/>
            </w:pPr>
            <w:r>
              <w:t>Electrification du secteur</w:t>
            </w:r>
          </w:p>
        </w:tc>
        <w:tc>
          <w:tcPr>
            <w:tcW w:w="2485" w:type="dxa"/>
            <w:vAlign w:val="center"/>
          </w:tcPr>
          <w:p w14:paraId="2C312F7F" w14:textId="77777777" w:rsidR="00714D22" w:rsidRDefault="00714D22" w:rsidP="00C53C7D">
            <w:pPr>
              <w:spacing w:before="240" w:after="240"/>
              <w:jc w:val="center"/>
            </w:pPr>
          </w:p>
        </w:tc>
        <w:tc>
          <w:tcPr>
            <w:tcW w:w="2485" w:type="dxa"/>
            <w:vAlign w:val="center"/>
          </w:tcPr>
          <w:p w14:paraId="75F7E1B7" w14:textId="77777777" w:rsidR="00714D22" w:rsidRDefault="00714D22" w:rsidP="00C53C7D">
            <w:pPr>
              <w:spacing w:before="240" w:after="240"/>
              <w:jc w:val="center"/>
            </w:pPr>
            <w:r>
              <w:t>X</w:t>
            </w:r>
          </w:p>
        </w:tc>
      </w:tr>
      <w:tr w:rsidR="00714D22" w14:paraId="1CC30456" w14:textId="77777777" w:rsidTr="00C53C7D">
        <w:tc>
          <w:tcPr>
            <w:tcW w:w="1696" w:type="dxa"/>
            <w:vMerge/>
            <w:vAlign w:val="center"/>
          </w:tcPr>
          <w:p w14:paraId="79362956" w14:textId="77777777" w:rsidR="00714D22" w:rsidRDefault="00714D22" w:rsidP="00C53C7D">
            <w:pPr>
              <w:spacing w:before="240" w:after="240"/>
              <w:jc w:val="center"/>
            </w:pPr>
          </w:p>
        </w:tc>
        <w:tc>
          <w:tcPr>
            <w:tcW w:w="3274" w:type="dxa"/>
          </w:tcPr>
          <w:p w14:paraId="2DDCB03E" w14:textId="77777777" w:rsidR="00714D22" w:rsidRDefault="00714D22" w:rsidP="00C53C7D">
            <w:pPr>
              <w:spacing w:before="240" w:after="240"/>
            </w:pPr>
            <w:r>
              <w:t>Amélioration des procédés industriels</w:t>
            </w:r>
          </w:p>
        </w:tc>
        <w:tc>
          <w:tcPr>
            <w:tcW w:w="2485" w:type="dxa"/>
            <w:vAlign w:val="center"/>
          </w:tcPr>
          <w:p w14:paraId="066218DD" w14:textId="77777777" w:rsidR="00714D22" w:rsidRDefault="00714D22" w:rsidP="00C53C7D">
            <w:pPr>
              <w:spacing w:before="240" w:after="240"/>
              <w:jc w:val="center"/>
            </w:pPr>
          </w:p>
        </w:tc>
        <w:tc>
          <w:tcPr>
            <w:tcW w:w="2485" w:type="dxa"/>
            <w:vAlign w:val="center"/>
          </w:tcPr>
          <w:p w14:paraId="7C607DB2" w14:textId="77777777" w:rsidR="00714D22" w:rsidRDefault="00714D22" w:rsidP="00C53C7D">
            <w:pPr>
              <w:spacing w:before="240" w:after="240"/>
              <w:jc w:val="center"/>
            </w:pPr>
            <w:r>
              <w:t>X</w:t>
            </w:r>
          </w:p>
        </w:tc>
      </w:tr>
      <w:tr w:rsidR="00714D22" w14:paraId="57C9B700" w14:textId="77777777" w:rsidTr="00C53C7D">
        <w:tc>
          <w:tcPr>
            <w:tcW w:w="1696" w:type="dxa"/>
            <w:vMerge/>
            <w:vAlign w:val="center"/>
          </w:tcPr>
          <w:p w14:paraId="008A15A9" w14:textId="77777777" w:rsidR="00714D22" w:rsidRDefault="00714D22" w:rsidP="00C53C7D">
            <w:pPr>
              <w:spacing w:before="240" w:after="240"/>
              <w:jc w:val="center"/>
            </w:pPr>
          </w:p>
        </w:tc>
        <w:tc>
          <w:tcPr>
            <w:tcW w:w="3274" w:type="dxa"/>
          </w:tcPr>
          <w:p w14:paraId="4C6DB3A2" w14:textId="77777777" w:rsidR="00714D22" w:rsidRDefault="00714D22" w:rsidP="00C53C7D">
            <w:pPr>
              <w:spacing w:before="240" w:after="240"/>
            </w:pPr>
            <w:r>
              <w:t xml:space="preserve">EU ETS </w:t>
            </w:r>
          </w:p>
        </w:tc>
        <w:tc>
          <w:tcPr>
            <w:tcW w:w="2485" w:type="dxa"/>
            <w:vAlign w:val="center"/>
          </w:tcPr>
          <w:p w14:paraId="27913362" w14:textId="77777777" w:rsidR="00714D22" w:rsidRDefault="00714D22" w:rsidP="00C53C7D">
            <w:pPr>
              <w:spacing w:before="240" w:after="240"/>
              <w:jc w:val="center"/>
            </w:pPr>
          </w:p>
        </w:tc>
        <w:tc>
          <w:tcPr>
            <w:tcW w:w="2485" w:type="dxa"/>
            <w:vAlign w:val="center"/>
          </w:tcPr>
          <w:p w14:paraId="086CFA44" w14:textId="77777777" w:rsidR="00714D22" w:rsidRDefault="00714D22" w:rsidP="00C53C7D">
            <w:pPr>
              <w:spacing w:before="240" w:after="240"/>
              <w:jc w:val="center"/>
            </w:pPr>
            <w:r>
              <w:t>X</w:t>
            </w:r>
          </w:p>
        </w:tc>
      </w:tr>
      <w:tr w:rsidR="00714D22" w14:paraId="628C458F" w14:textId="77777777" w:rsidTr="00C53C7D">
        <w:tc>
          <w:tcPr>
            <w:tcW w:w="1696" w:type="dxa"/>
            <w:vAlign w:val="center"/>
          </w:tcPr>
          <w:p w14:paraId="707E72F5" w14:textId="77777777" w:rsidR="00714D22" w:rsidRDefault="00714D22" w:rsidP="00C53C7D">
            <w:pPr>
              <w:spacing w:before="240" w:after="240"/>
              <w:jc w:val="center"/>
            </w:pPr>
            <w:r>
              <w:t>Gaz F</w:t>
            </w:r>
          </w:p>
        </w:tc>
        <w:tc>
          <w:tcPr>
            <w:tcW w:w="3274" w:type="dxa"/>
          </w:tcPr>
          <w:p w14:paraId="3E0D19CA" w14:textId="77777777" w:rsidR="00714D22" w:rsidRDefault="00714D22" w:rsidP="00C53C7D">
            <w:pPr>
              <w:spacing w:before="240" w:after="240"/>
            </w:pPr>
            <w:r>
              <w:t xml:space="preserve">Régulation française sur les gaz-F </w:t>
            </w:r>
          </w:p>
        </w:tc>
        <w:tc>
          <w:tcPr>
            <w:tcW w:w="2485" w:type="dxa"/>
            <w:vAlign w:val="center"/>
          </w:tcPr>
          <w:p w14:paraId="17A32CBB" w14:textId="77777777" w:rsidR="00714D22" w:rsidRDefault="00714D22" w:rsidP="00C53C7D">
            <w:pPr>
              <w:spacing w:before="240" w:after="240"/>
              <w:jc w:val="center"/>
            </w:pPr>
            <w:r>
              <w:t>X</w:t>
            </w:r>
          </w:p>
        </w:tc>
        <w:tc>
          <w:tcPr>
            <w:tcW w:w="2485" w:type="dxa"/>
            <w:vAlign w:val="center"/>
          </w:tcPr>
          <w:p w14:paraId="69F7CD4F" w14:textId="77777777" w:rsidR="00714D22" w:rsidRDefault="00714D22" w:rsidP="00C53C7D">
            <w:pPr>
              <w:spacing w:before="240" w:after="240"/>
              <w:jc w:val="center"/>
            </w:pPr>
            <w:r>
              <w:t>X</w:t>
            </w:r>
          </w:p>
        </w:tc>
      </w:tr>
      <w:tr w:rsidR="00714D22" w14:paraId="12D74084" w14:textId="77777777" w:rsidTr="00C53C7D">
        <w:tc>
          <w:tcPr>
            <w:tcW w:w="1696" w:type="dxa"/>
            <w:vMerge w:val="restart"/>
            <w:vAlign w:val="center"/>
          </w:tcPr>
          <w:p w14:paraId="3A557470" w14:textId="77777777" w:rsidR="00714D22" w:rsidRDefault="00714D22" w:rsidP="00C53C7D">
            <w:pPr>
              <w:spacing w:before="240" w:after="240"/>
              <w:jc w:val="center"/>
            </w:pPr>
            <w:r>
              <w:t>Agriculture et forêts</w:t>
            </w:r>
          </w:p>
        </w:tc>
        <w:tc>
          <w:tcPr>
            <w:tcW w:w="3274" w:type="dxa"/>
          </w:tcPr>
          <w:p w14:paraId="7B60BF55" w14:textId="77777777" w:rsidR="00714D22" w:rsidRDefault="00714D22" w:rsidP="00C53C7D">
            <w:pPr>
              <w:spacing w:before="240" w:after="240"/>
            </w:pPr>
            <w:r>
              <w:t xml:space="preserve">Augmentation de la part du bio dans la SAU </w:t>
            </w:r>
          </w:p>
        </w:tc>
        <w:tc>
          <w:tcPr>
            <w:tcW w:w="2485" w:type="dxa"/>
            <w:vAlign w:val="center"/>
          </w:tcPr>
          <w:p w14:paraId="49990721" w14:textId="77777777" w:rsidR="00714D22" w:rsidRDefault="00714D22" w:rsidP="00C53C7D">
            <w:pPr>
              <w:spacing w:before="240" w:after="240"/>
              <w:jc w:val="center"/>
            </w:pPr>
            <w:r>
              <w:t>X</w:t>
            </w:r>
          </w:p>
        </w:tc>
        <w:tc>
          <w:tcPr>
            <w:tcW w:w="2485" w:type="dxa"/>
            <w:vAlign w:val="center"/>
          </w:tcPr>
          <w:p w14:paraId="0EB36285" w14:textId="77777777" w:rsidR="00714D22" w:rsidRDefault="00714D22" w:rsidP="00C53C7D">
            <w:pPr>
              <w:spacing w:before="240" w:after="240"/>
              <w:jc w:val="center"/>
            </w:pPr>
            <w:r>
              <w:t>X</w:t>
            </w:r>
          </w:p>
        </w:tc>
      </w:tr>
      <w:tr w:rsidR="00714D22" w14:paraId="5EABDB31" w14:textId="77777777" w:rsidTr="00C53C7D">
        <w:tc>
          <w:tcPr>
            <w:tcW w:w="1696" w:type="dxa"/>
            <w:vMerge/>
            <w:vAlign w:val="center"/>
          </w:tcPr>
          <w:p w14:paraId="66D2C445" w14:textId="77777777" w:rsidR="00714D22" w:rsidRDefault="00714D22" w:rsidP="00C53C7D">
            <w:pPr>
              <w:spacing w:before="240" w:after="240"/>
              <w:jc w:val="center"/>
            </w:pPr>
          </w:p>
        </w:tc>
        <w:tc>
          <w:tcPr>
            <w:tcW w:w="3274" w:type="dxa"/>
          </w:tcPr>
          <w:p w14:paraId="3EC06D5F" w14:textId="77777777" w:rsidR="00714D22" w:rsidRDefault="00714D22" w:rsidP="00C53C7D">
            <w:pPr>
              <w:spacing w:before="240" w:after="240"/>
            </w:pPr>
            <w:r>
              <w:t xml:space="preserve">Transition à des régimes alimentaires moins carnés </w:t>
            </w:r>
          </w:p>
        </w:tc>
        <w:tc>
          <w:tcPr>
            <w:tcW w:w="2485" w:type="dxa"/>
            <w:vAlign w:val="center"/>
          </w:tcPr>
          <w:p w14:paraId="7730BB56" w14:textId="77777777" w:rsidR="00714D22" w:rsidRDefault="00714D22" w:rsidP="00C53C7D">
            <w:pPr>
              <w:spacing w:before="240" w:after="240"/>
              <w:jc w:val="center"/>
            </w:pPr>
          </w:p>
        </w:tc>
        <w:tc>
          <w:tcPr>
            <w:tcW w:w="2485" w:type="dxa"/>
            <w:vAlign w:val="center"/>
          </w:tcPr>
          <w:p w14:paraId="238FCCAD" w14:textId="77777777" w:rsidR="00714D22" w:rsidRDefault="00714D22" w:rsidP="00C53C7D">
            <w:pPr>
              <w:spacing w:before="240" w:after="240"/>
              <w:jc w:val="center"/>
            </w:pPr>
            <w:r>
              <w:t>X</w:t>
            </w:r>
          </w:p>
        </w:tc>
      </w:tr>
      <w:tr w:rsidR="00714D22" w14:paraId="3C166798" w14:textId="77777777" w:rsidTr="00C53C7D">
        <w:tc>
          <w:tcPr>
            <w:tcW w:w="1696" w:type="dxa"/>
            <w:vMerge w:val="restart"/>
            <w:vAlign w:val="center"/>
          </w:tcPr>
          <w:p w14:paraId="0204D88C" w14:textId="77777777" w:rsidR="00714D22" w:rsidRDefault="00714D22" w:rsidP="00C53C7D">
            <w:pPr>
              <w:spacing w:before="240" w:after="240"/>
              <w:jc w:val="center"/>
            </w:pPr>
            <w:r>
              <w:t>Déchets</w:t>
            </w:r>
          </w:p>
        </w:tc>
        <w:tc>
          <w:tcPr>
            <w:tcW w:w="3274" w:type="dxa"/>
          </w:tcPr>
          <w:p w14:paraId="0EF41C00" w14:textId="77777777" w:rsidR="00714D22" w:rsidRDefault="00714D22" w:rsidP="00C53C7D">
            <w:pPr>
              <w:spacing w:before="240" w:after="240"/>
            </w:pPr>
            <w:r>
              <w:t>Augmentation de la part de capture du bio-méthane</w:t>
            </w:r>
          </w:p>
        </w:tc>
        <w:tc>
          <w:tcPr>
            <w:tcW w:w="2485" w:type="dxa"/>
            <w:vAlign w:val="center"/>
          </w:tcPr>
          <w:p w14:paraId="45E2D4C3" w14:textId="77777777" w:rsidR="00714D22" w:rsidRDefault="00714D22" w:rsidP="00C53C7D">
            <w:pPr>
              <w:spacing w:before="240" w:after="240"/>
              <w:jc w:val="center"/>
            </w:pPr>
            <w:r>
              <w:t>X</w:t>
            </w:r>
          </w:p>
        </w:tc>
        <w:tc>
          <w:tcPr>
            <w:tcW w:w="2485" w:type="dxa"/>
            <w:vAlign w:val="center"/>
          </w:tcPr>
          <w:p w14:paraId="2A09267E" w14:textId="77777777" w:rsidR="00714D22" w:rsidRDefault="00714D22" w:rsidP="00C53C7D">
            <w:pPr>
              <w:spacing w:before="240" w:after="240"/>
              <w:jc w:val="center"/>
            </w:pPr>
            <w:r>
              <w:t>X</w:t>
            </w:r>
          </w:p>
        </w:tc>
      </w:tr>
      <w:tr w:rsidR="00714D22" w14:paraId="0BA3FFD5" w14:textId="77777777" w:rsidTr="00C53C7D">
        <w:tc>
          <w:tcPr>
            <w:tcW w:w="1696" w:type="dxa"/>
            <w:vMerge/>
          </w:tcPr>
          <w:p w14:paraId="4291186C" w14:textId="77777777" w:rsidR="00714D22" w:rsidRDefault="00714D22" w:rsidP="00C53C7D">
            <w:pPr>
              <w:spacing w:before="240" w:after="240"/>
            </w:pPr>
          </w:p>
        </w:tc>
        <w:tc>
          <w:tcPr>
            <w:tcW w:w="3274" w:type="dxa"/>
          </w:tcPr>
          <w:p w14:paraId="5362B7C8" w14:textId="77777777" w:rsidR="00714D22" w:rsidRDefault="00714D22" w:rsidP="00C53C7D">
            <w:pPr>
              <w:spacing w:before="240" w:after="240"/>
            </w:pPr>
            <w:r>
              <w:t>Mesures d’économie circulaire</w:t>
            </w:r>
          </w:p>
        </w:tc>
        <w:tc>
          <w:tcPr>
            <w:tcW w:w="2485" w:type="dxa"/>
            <w:vAlign w:val="center"/>
          </w:tcPr>
          <w:p w14:paraId="0D31579D" w14:textId="77777777" w:rsidR="00714D22" w:rsidRDefault="00714D22" w:rsidP="00C53C7D">
            <w:pPr>
              <w:spacing w:before="240" w:after="240"/>
              <w:jc w:val="center"/>
            </w:pPr>
          </w:p>
        </w:tc>
        <w:tc>
          <w:tcPr>
            <w:tcW w:w="2485" w:type="dxa"/>
            <w:vAlign w:val="center"/>
          </w:tcPr>
          <w:p w14:paraId="38FAE15A" w14:textId="77777777" w:rsidR="00714D22" w:rsidRDefault="00714D22" w:rsidP="00C53C7D">
            <w:pPr>
              <w:spacing w:before="240" w:after="240"/>
              <w:jc w:val="center"/>
            </w:pPr>
            <w:r>
              <w:t>X</w:t>
            </w:r>
          </w:p>
        </w:tc>
      </w:tr>
    </w:tbl>
    <w:p w14:paraId="487C2279" w14:textId="0B8C6352" w:rsidR="00714D22" w:rsidRPr="0098629B" w:rsidRDefault="00714D22" w:rsidP="00F24A36">
      <w:pPr>
        <w:spacing w:before="240" w:after="240"/>
      </w:pPr>
    </w:p>
    <w:p w14:paraId="59A72536" w14:textId="77777777" w:rsidR="00F24A36" w:rsidRPr="0098629B" w:rsidRDefault="00F24A36" w:rsidP="00573042">
      <w:pPr>
        <w:pStyle w:val="Titre3Niveau3"/>
        <w:numPr>
          <w:ilvl w:val="1"/>
          <w:numId w:val="43"/>
        </w:numPr>
      </w:pPr>
      <w:bookmarkStart w:id="93" w:name="_Toc122694256"/>
      <w:bookmarkStart w:id="94" w:name="_Toc138344611"/>
      <w:bookmarkStart w:id="95" w:name="_Toc121215528"/>
      <w:r w:rsidRPr="0098629B">
        <w:t>Analyse de sensibilité</w:t>
      </w:r>
      <w:bookmarkEnd w:id="93"/>
      <w:bookmarkEnd w:id="94"/>
      <w:r w:rsidRPr="0098629B">
        <w:t xml:space="preserve"> </w:t>
      </w:r>
      <w:bookmarkEnd w:id="95"/>
    </w:p>
    <w:p w14:paraId="7C4B7436" w14:textId="1BDC80CD" w:rsidR="00F24A36" w:rsidRPr="0098629B" w:rsidRDefault="00F24A36" w:rsidP="00F24A36">
      <w:bookmarkStart w:id="96" w:name="_Toc121151062"/>
      <w:bookmarkStart w:id="97" w:name="_Toc121151063"/>
      <w:bookmarkStart w:id="98" w:name="_Toc121151064"/>
      <w:bookmarkStart w:id="99" w:name="_Toc121151065"/>
      <w:bookmarkStart w:id="100" w:name="_Toc121151066"/>
      <w:bookmarkStart w:id="101" w:name="_Toc121151067"/>
      <w:bookmarkStart w:id="102" w:name="_Toc121151068"/>
      <w:bookmarkStart w:id="103" w:name="_Toc121151069"/>
      <w:bookmarkStart w:id="104" w:name="_Toc121151070"/>
      <w:bookmarkStart w:id="105" w:name="_Toc121151071"/>
      <w:bookmarkStart w:id="106" w:name="_Toc121151072"/>
      <w:bookmarkStart w:id="107" w:name="_Toc121151073"/>
      <w:bookmarkStart w:id="108" w:name="_Toc121151109"/>
      <w:bookmarkEnd w:id="96"/>
      <w:bookmarkEnd w:id="97"/>
      <w:bookmarkEnd w:id="98"/>
      <w:bookmarkEnd w:id="99"/>
      <w:bookmarkEnd w:id="100"/>
      <w:bookmarkEnd w:id="101"/>
      <w:bookmarkEnd w:id="102"/>
      <w:bookmarkEnd w:id="103"/>
      <w:bookmarkEnd w:id="104"/>
      <w:bookmarkEnd w:id="105"/>
      <w:bookmarkEnd w:id="106"/>
      <w:bookmarkEnd w:id="107"/>
      <w:bookmarkEnd w:id="108"/>
      <w:r w:rsidRPr="0098629B">
        <w:t>Aucune analyse de sensibilité n’a été menée dans le cadre de l’AME 2021.</w:t>
      </w:r>
      <w:r w:rsidR="00CF2650">
        <w:t xml:space="preserve"> En effet, en raison de l’architecture de modélisation utilisée, une telle analyse aurait demandé des coûts et investissments importants. Cependant, comme l’architecture utilisée est très similaire à celle utilisée pour produire les scénarios en 2018, pour lesquels une analyse de sensibilité a été réalisée (cf. BR4), on peut considérer que la sensibilité des paramètres principaux (PIB, prix de l’énergie, etc…) reste du même ordre de grandeur.</w:t>
      </w:r>
    </w:p>
    <w:p w14:paraId="1A6B888F" w14:textId="258055DA" w:rsidR="005066D8" w:rsidRPr="0098629B" w:rsidRDefault="005066D8" w:rsidP="00F24A36"/>
    <w:p w14:paraId="476A4A76" w14:textId="55AACFE7" w:rsidR="005066D8" w:rsidRPr="0098629B" w:rsidRDefault="005066D8" w:rsidP="00573042">
      <w:pPr>
        <w:pStyle w:val="Titre2Niveau2"/>
        <w:numPr>
          <w:ilvl w:val="0"/>
          <w:numId w:val="21"/>
        </w:numPr>
      </w:pPr>
      <w:bookmarkStart w:id="109" w:name="_Toc138344612"/>
      <w:r w:rsidRPr="0098629B">
        <w:t>Présentation des résultats généraux</w:t>
      </w:r>
      <w:bookmarkEnd w:id="109"/>
    </w:p>
    <w:p w14:paraId="6A3043E6" w14:textId="2A4CAF27" w:rsidR="00F24A36" w:rsidRPr="0098629B" w:rsidRDefault="00F24A36" w:rsidP="00F24A36">
      <w:pPr>
        <w:spacing w:before="240" w:after="240"/>
      </w:pPr>
      <w:r w:rsidRPr="0098629B">
        <w:t>Le scénario AMS 2018 présenté ici prend comme année de référence, l’année 2015, l’historique jusqu’à cette date étant cohérent avec le dernier inventaire soumis en avril 201</w:t>
      </w:r>
      <w:r w:rsidR="005066D8" w:rsidRPr="0098629B">
        <w:t>9</w:t>
      </w:r>
      <w:r w:rsidRPr="0098629B">
        <w:t>. Le scénario AME 2021 prend comme année de référence l’année 2019, et se base sur l’inventaire soumis en avril 2021.</w:t>
      </w:r>
      <w:r w:rsidR="00CF2650">
        <w:t xml:space="preserve"> En raison du délai entre la production des deux scénarios, les années de références sont différentes et ne s’alignent pas avec celle de la dernière soumission de l’inventaire national d’émission de GES de 2022. Cependant, dans les tableaux suivants, les données observées ont été mises à jour avec les données du dernier rapport d’inventaire 2022 (également disponibles dans la table CTF 6(a) du BR5). Cela peut expliquer certaines ruptures de pentes à partir de 2020.</w:t>
      </w:r>
    </w:p>
    <w:p w14:paraId="58A9AFE3" w14:textId="77777777" w:rsidR="00F24A36" w:rsidRPr="0098629B" w:rsidRDefault="00F24A36" w:rsidP="00F24A36">
      <w:pPr>
        <w:spacing w:before="240" w:after="240"/>
      </w:pPr>
      <w:r w:rsidRPr="0098629B">
        <w:t>En projection pour l’AMS 2018, les émissions intègrent des éléments correctifs relatifs à certains éléments conjoncturels comme la rigueur de l’hiver. En effet, l’année 2015 étant plus chaude que la moyenne des années passées, les émissions réelles sont moins élevées que si la rigueur de l’hiver avait été dans la moyenne des années passées. Un correctif des émissions à la hausse a ainsi été introduit sur la période de court terme. Un scénario de réchauffement à hauteur de 2°C au niveau mondial en 2050 a par ailleurs été considéré dans le scénario. Dans le présent chapitre les résultats détaillés sont présentés au périmètre Kyoto. Les projections au périmètre convention n’ont pas pu être réalisées dans le cadre de cet exercice.</w:t>
      </w:r>
    </w:p>
    <w:p w14:paraId="00CD6F6F" w14:textId="4DA486F4" w:rsidR="00F24A36" w:rsidRPr="0098629B" w:rsidRDefault="00F24A36" w:rsidP="00F24A36">
      <w:pPr>
        <w:spacing w:before="240" w:after="240"/>
      </w:pPr>
      <w:r w:rsidRPr="0098629B">
        <w:t>Au périmètre Kyoto, les émissions utilisées dans les scénarios (hors secteur UTCATF) étaient ainsi de 457 Mt</w:t>
      </w:r>
      <w:r w:rsidR="00811B0F" w:rsidRPr="0098629B">
        <w:t>CO</w:t>
      </w:r>
      <w:r w:rsidR="00811B0F" w:rsidRPr="0098629B">
        <w:rPr>
          <w:vertAlign w:val="subscript"/>
        </w:rPr>
        <w:t>2</w:t>
      </w:r>
      <w:r w:rsidR="00891B49" w:rsidRPr="0098629B">
        <w:rPr>
          <w:vertAlign w:val="subscript"/>
        </w:rPr>
        <w:t>e</w:t>
      </w:r>
      <w:r w:rsidRPr="0098629B">
        <w:t xml:space="preserve"> en 2015 soit 15,9% de réduction par rapport à 1990.</w:t>
      </w:r>
    </w:p>
    <w:p w14:paraId="6438B23D" w14:textId="77777777" w:rsidR="00F24A36" w:rsidRPr="0098629B" w:rsidRDefault="00F24A36" w:rsidP="00573042">
      <w:pPr>
        <w:pStyle w:val="titreencadre"/>
        <w:numPr>
          <w:ilvl w:val="3"/>
          <w:numId w:val="43"/>
        </w:numPr>
        <w:spacing w:before="120" w:after="60" w:line="240" w:lineRule="auto"/>
      </w:pPr>
      <w:r w:rsidRPr="0098629B">
        <w:t>AME 2021</w:t>
      </w:r>
    </w:p>
    <w:p w14:paraId="6E1AC1D9" w14:textId="77777777" w:rsidR="00F24A36" w:rsidRPr="0098629B" w:rsidRDefault="00F24A36" w:rsidP="00F24A36">
      <w:pPr>
        <w:spacing w:before="240" w:after="240"/>
      </w:pPr>
      <w:r w:rsidRPr="0098629B">
        <w:t>Les émissions hors UTCATF au périmètre Kyoto diminuent dans le scénario AME 2021 pour atteindre</w:t>
      </w:r>
      <w:r w:rsidRPr="0098629B">
        <w:rPr>
          <w:rFonts w:ascii="Calibri" w:hAnsi="Calibri" w:cs="Calibri"/>
        </w:rPr>
        <w:t> </w:t>
      </w:r>
      <w:r w:rsidRPr="0098629B">
        <w:t>:</w:t>
      </w:r>
    </w:p>
    <w:p w14:paraId="138B9885" w14:textId="38B63AAF" w:rsidR="00F24A36" w:rsidRPr="0098629B" w:rsidRDefault="00F24A36" w:rsidP="00573042">
      <w:pPr>
        <w:pStyle w:val="ListParagraph"/>
        <w:numPr>
          <w:ilvl w:val="0"/>
          <w:numId w:val="41"/>
        </w:numPr>
        <w:spacing w:before="240" w:after="240"/>
      </w:pPr>
      <w:r w:rsidRPr="0098629B">
        <w:t>367 Mt</w:t>
      </w:r>
      <w:r w:rsidR="00811B0F" w:rsidRPr="0098629B">
        <w:t>CO</w:t>
      </w:r>
      <w:r w:rsidR="00811B0F" w:rsidRPr="0098629B">
        <w:rPr>
          <w:vertAlign w:val="subscript"/>
        </w:rPr>
        <w:t>2</w:t>
      </w:r>
      <w:r w:rsidR="00891B49" w:rsidRPr="0098629B">
        <w:rPr>
          <w:vertAlign w:val="subscript"/>
        </w:rPr>
        <w:t>e</w:t>
      </w:r>
      <w:r w:rsidRPr="0098629B">
        <w:t xml:space="preserve"> en 2030, soit 33% de r</w:t>
      </w:r>
      <w:r w:rsidRPr="0098629B">
        <w:rPr>
          <w:rFonts w:cs="Marianne"/>
        </w:rPr>
        <w:t>é</w:t>
      </w:r>
      <w:r w:rsidRPr="0098629B">
        <w:t>duction par rapport à 1990</w:t>
      </w:r>
    </w:p>
    <w:p w14:paraId="6D66F55D" w14:textId="4B8497CE" w:rsidR="00F24A36" w:rsidRPr="0098629B" w:rsidRDefault="00F24A36" w:rsidP="00573042">
      <w:pPr>
        <w:pStyle w:val="ListParagraph"/>
        <w:numPr>
          <w:ilvl w:val="0"/>
          <w:numId w:val="41"/>
        </w:numPr>
        <w:spacing w:before="240" w:after="240"/>
      </w:pPr>
      <w:r w:rsidRPr="0098629B">
        <w:t>330 Mt</w:t>
      </w:r>
      <w:r w:rsidR="00811B0F" w:rsidRPr="0098629B">
        <w:t>CO</w:t>
      </w:r>
      <w:r w:rsidR="00811B0F" w:rsidRPr="0098629B">
        <w:rPr>
          <w:vertAlign w:val="subscript"/>
        </w:rPr>
        <w:t>2</w:t>
      </w:r>
      <w:r w:rsidR="00891B49" w:rsidRPr="0098629B">
        <w:rPr>
          <w:vertAlign w:val="subscript"/>
        </w:rPr>
        <w:t>e</w:t>
      </w:r>
      <w:r w:rsidRPr="0098629B">
        <w:t xml:space="preserve"> en 2050, soit 39% de réduction par rapport à 1990</w:t>
      </w:r>
    </w:p>
    <w:p w14:paraId="56353F0C" w14:textId="77777777" w:rsidR="004D4A28" w:rsidRPr="002C2BF1" w:rsidRDefault="004D4A28" w:rsidP="004D4A28">
      <w:pPr>
        <w:spacing w:before="240" w:after="240"/>
      </w:pPr>
      <w:r w:rsidRPr="002C2BF1">
        <w:t>Les émissions</w:t>
      </w:r>
      <w:r>
        <w:t xml:space="preserve"> hors UTCATF au périmètre Kyoto</w:t>
      </w:r>
      <w:r w:rsidRPr="002C2BF1">
        <w:t xml:space="preserve"> diminuent dans le scénario AME 2021 pour atteindre</w:t>
      </w:r>
      <w:r w:rsidRPr="002C2BF1">
        <w:rPr>
          <w:rFonts w:ascii="Calibri" w:hAnsi="Calibri" w:cs="Calibri"/>
        </w:rPr>
        <w:t> </w:t>
      </w:r>
      <w:r w:rsidRPr="002C2BF1">
        <w:t>:</w:t>
      </w:r>
    </w:p>
    <w:p w14:paraId="53C08719" w14:textId="77777777" w:rsidR="004D4A28" w:rsidRPr="00E26626" w:rsidRDefault="004D4A28" w:rsidP="00573042">
      <w:pPr>
        <w:pStyle w:val="ListParagraph"/>
        <w:numPr>
          <w:ilvl w:val="0"/>
          <w:numId w:val="41"/>
        </w:numPr>
        <w:spacing w:before="240" w:after="240"/>
      </w:pPr>
      <w:r w:rsidRPr="002C2BF1">
        <w:t>367 Mt</w:t>
      </w:r>
      <w:r>
        <w:t>CO</w:t>
      </w:r>
      <w:r w:rsidRPr="007F09F7">
        <w:rPr>
          <w:vertAlign w:val="subscript"/>
        </w:rPr>
        <w:t>2</w:t>
      </w:r>
      <w:r w:rsidRPr="004F1EC8">
        <w:rPr>
          <w:vertAlign w:val="subscript"/>
        </w:rPr>
        <w:t>e</w:t>
      </w:r>
      <w:r w:rsidRPr="002C2BF1">
        <w:t xml:space="preserve"> en 2030, soit 33% de r</w:t>
      </w:r>
      <w:r w:rsidRPr="002C2BF1">
        <w:rPr>
          <w:rFonts w:cs="Marianne"/>
        </w:rPr>
        <w:t>é</w:t>
      </w:r>
      <w:r w:rsidRPr="002C2BF1">
        <w:t>duction par rapport à 1990</w:t>
      </w:r>
    </w:p>
    <w:p w14:paraId="1C0BBED3" w14:textId="77777777" w:rsidR="004D4A28" w:rsidRDefault="004D4A28" w:rsidP="00573042">
      <w:pPr>
        <w:pStyle w:val="ListParagraph"/>
        <w:numPr>
          <w:ilvl w:val="0"/>
          <w:numId w:val="41"/>
        </w:numPr>
        <w:spacing w:before="240" w:after="240"/>
      </w:pPr>
      <w:r w:rsidRPr="002C2BF1">
        <w:t>330 Mt</w:t>
      </w:r>
      <w:r>
        <w:t>CO</w:t>
      </w:r>
      <w:r w:rsidRPr="007F09F7">
        <w:rPr>
          <w:vertAlign w:val="subscript"/>
        </w:rPr>
        <w:t>2</w:t>
      </w:r>
      <w:r w:rsidRPr="004F1EC8">
        <w:rPr>
          <w:vertAlign w:val="subscript"/>
        </w:rPr>
        <w:t>e</w:t>
      </w:r>
      <w:r w:rsidRPr="002C2BF1">
        <w:t xml:space="preserve"> en 2050, soit 39%</w:t>
      </w:r>
      <w:r w:rsidRPr="00262B24">
        <w:t xml:space="preserve"> de réduction par rapport à 199</w:t>
      </w:r>
      <w:r>
        <w:t>0</w:t>
      </w:r>
    </w:p>
    <w:tbl>
      <w:tblPr>
        <w:tblStyle w:val="TableGrid1"/>
        <w:tblW w:w="9941" w:type="dxa"/>
        <w:tblInd w:w="3" w:type="dxa"/>
        <w:tblCellMar>
          <w:top w:w="135" w:type="dxa"/>
          <w:left w:w="28" w:type="dxa"/>
          <w:right w:w="20" w:type="dxa"/>
        </w:tblCellMar>
        <w:tblLook w:val="04A0" w:firstRow="1" w:lastRow="0" w:firstColumn="1" w:lastColumn="0" w:noHBand="0" w:noVBand="1"/>
      </w:tblPr>
      <w:tblGrid>
        <w:gridCol w:w="1031"/>
        <w:gridCol w:w="780"/>
        <w:gridCol w:w="775"/>
        <w:gridCol w:w="780"/>
        <w:gridCol w:w="780"/>
        <w:gridCol w:w="780"/>
        <w:gridCol w:w="780"/>
        <w:gridCol w:w="780"/>
        <w:gridCol w:w="691"/>
        <w:gridCol w:w="691"/>
        <w:gridCol w:w="691"/>
        <w:gridCol w:w="691"/>
        <w:gridCol w:w="691"/>
      </w:tblGrid>
      <w:tr w:rsidR="004D4A28" w14:paraId="7033DAC2" w14:textId="77777777" w:rsidTr="00361368">
        <w:trPr>
          <w:trHeight w:val="402"/>
        </w:trPr>
        <w:tc>
          <w:tcPr>
            <w:tcW w:w="1031" w:type="dxa"/>
            <w:tcBorders>
              <w:top w:val="single" w:sz="2" w:space="0" w:color="FFFFFF"/>
              <w:left w:val="single" w:sz="2" w:space="0" w:color="FFFFFF"/>
              <w:bottom w:val="single" w:sz="2" w:space="0" w:color="FFFFFF"/>
              <w:right w:val="single" w:sz="2" w:space="0" w:color="FFFFFF"/>
            </w:tcBorders>
            <w:shd w:val="clear" w:color="auto" w:fill="6D2A78"/>
          </w:tcPr>
          <w:p w14:paraId="09A457FB" w14:textId="77777777" w:rsidR="004D4A28" w:rsidRDefault="004D4A28" w:rsidP="00361368">
            <w:pPr>
              <w:spacing w:line="259" w:lineRule="auto"/>
            </w:pPr>
            <w:r w:rsidRPr="001A3BA1">
              <w:rPr>
                <w:color w:val="FFFFFF" w:themeColor="background1"/>
              </w:rPr>
              <w:t>AME 2021</w:t>
            </w:r>
          </w:p>
        </w:tc>
        <w:tc>
          <w:tcPr>
            <w:tcW w:w="780"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00CFFBEC" w14:textId="77777777" w:rsidR="004D4A28" w:rsidRDefault="004D4A28" w:rsidP="00361368">
            <w:pPr>
              <w:spacing w:line="259" w:lineRule="auto"/>
              <w:ind w:right="4"/>
              <w:jc w:val="center"/>
            </w:pPr>
            <w:r>
              <w:rPr>
                <w:b/>
                <w:color w:val="FFFFFF"/>
                <w:sz w:val="18"/>
              </w:rPr>
              <w:t>1990</w:t>
            </w:r>
          </w:p>
        </w:tc>
        <w:tc>
          <w:tcPr>
            <w:tcW w:w="775"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46004801" w14:textId="77777777" w:rsidR="004D4A28" w:rsidRDefault="004D4A28" w:rsidP="00361368">
            <w:pPr>
              <w:spacing w:line="259" w:lineRule="auto"/>
              <w:ind w:right="6"/>
              <w:jc w:val="center"/>
              <w:rPr>
                <w:b/>
                <w:color w:val="FFFFFF"/>
                <w:sz w:val="18"/>
              </w:rPr>
            </w:pPr>
            <w:r>
              <w:rPr>
                <w:b/>
                <w:color w:val="FFFFFF"/>
                <w:sz w:val="18"/>
              </w:rPr>
              <w:t>1995</w:t>
            </w:r>
          </w:p>
        </w:tc>
        <w:tc>
          <w:tcPr>
            <w:tcW w:w="780"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13D71BD8" w14:textId="77777777" w:rsidR="004D4A28" w:rsidRDefault="004D4A28" w:rsidP="00361368">
            <w:pPr>
              <w:spacing w:line="259" w:lineRule="auto"/>
              <w:ind w:right="6"/>
              <w:jc w:val="center"/>
            </w:pPr>
            <w:r>
              <w:rPr>
                <w:b/>
                <w:color w:val="FFFFFF"/>
                <w:sz w:val="18"/>
              </w:rPr>
              <w:t>2000</w:t>
            </w:r>
          </w:p>
        </w:tc>
        <w:tc>
          <w:tcPr>
            <w:tcW w:w="780"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3E53E55E" w14:textId="77777777" w:rsidR="004D4A28" w:rsidRDefault="004D4A28" w:rsidP="00361368">
            <w:pPr>
              <w:spacing w:line="259" w:lineRule="auto"/>
              <w:ind w:right="4"/>
              <w:jc w:val="center"/>
            </w:pPr>
            <w:r>
              <w:rPr>
                <w:b/>
                <w:color w:val="FFFFFF"/>
                <w:sz w:val="18"/>
              </w:rPr>
              <w:t>2005</w:t>
            </w:r>
          </w:p>
        </w:tc>
        <w:tc>
          <w:tcPr>
            <w:tcW w:w="780"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33930DF5" w14:textId="77777777" w:rsidR="004D4A28" w:rsidRDefault="004D4A28" w:rsidP="00361368">
            <w:pPr>
              <w:spacing w:line="259" w:lineRule="auto"/>
              <w:ind w:right="7"/>
              <w:jc w:val="center"/>
            </w:pPr>
            <w:r>
              <w:rPr>
                <w:b/>
                <w:color w:val="FFFFFF"/>
                <w:sz w:val="18"/>
              </w:rPr>
              <w:t>2010</w:t>
            </w:r>
          </w:p>
        </w:tc>
        <w:tc>
          <w:tcPr>
            <w:tcW w:w="780"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2B8B3C6F" w14:textId="77777777" w:rsidR="004D4A28" w:rsidRDefault="004D4A28" w:rsidP="00361368">
            <w:pPr>
              <w:spacing w:line="259" w:lineRule="auto"/>
              <w:ind w:right="5"/>
              <w:jc w:val="center"/>
            </w:pPr>
            <w:r>
              <w:rPr>
                <w:b/>
                <w:color w:val="FFFFFF"/>
                <w:sz w:val="18"/>
              </w:rPr>
              <w:t>2015</w:t>
            </w:r>
          </w:p>
        </w:tc>
        <w:tc>
          <w:tcPr>
            <w:tcW w:w="780"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179A2C4B" w14:textId="77777777" w:rsidR="004D4A28" w:rsidRDefault="004D4A28" w:rsidP="00361368">
            <w:pPr>
              <w:spacing w:line="259" w:lineRule="auto"/>
              <w:ind w:right="7"/>
              <w:jc w:val="center"/>
              <w:rPr>
                <w:b/>
                <w:color w:val="FFFFFF"/>
                <w:sz w:val="18"/>
              </w:rPr>
            </w:pPr>
            <w:r>
              <w:rPr>
                <w:b/>
                <w:color w:val="FFFFFF"/>
                <w:sz w:val="18"/>
              </w:rPr>
              <w:t>2019</w:t>
            </w:r>
          </w:p>
        </w:tc>
        <w:tc>
          <w:tcPr>
            <w:tcW w:w="691"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10A1F50B" w14:textId="77777777" w:rsidR="004D4A28" w:rsidRDefault="004D4A28" w:rsidP="00361368">
            <w:pPr>
              <w:spacing w:line="259" w:lineRule="auto"/>
              <w:ind w:right="7"/>
              <w:jc w:val="center"/>
            </w:pPr>
            <w:r>
              <w:rPr>
                <w:b/>
                <w:color w:val="FFFFFF"/>
                <w:sz w:val="18"/>
              </w:rPr>
              <w:t>2020</w:t>
            </w:r>
          </w:p>
        </w:tc>
        <w:tc>
          <w:tcPr>
            <w:tcW w:w="691" w:type="dxa"/>
            <w:tcBorders>
              <w:top w:val="single" w:sz="2" w:space="0" w:color="FFFFFF"/>
              <w:left w:val="single" w:sz="2" w:space="0" w:color="FFFFFF"/>
              <w:bottom w:val="single" w:sz="2" w:space="0" w:color="FFFFFF"/>
              <w:right w:val="nil"/>
            </w:tcBorders>
            <w:shd w:val="clear" w:color="auto" w:fill="6D2A78"/>
            <w:vAlign w:val="center"/>
          </w:tcPr>
          <w:p w14:paraId="30425886" w14:textId="77777777" w:rsidR="004D4A28" w:rsidRPr="003936EA" w:rsidRDefault="004D4A28" w:rsidP="00361368">
            <w:pPr>
              <w:spacing w:line="259" w:lineRule="auto"/>
              <w:ind w:right="7"/>
              <w:jc w:val="center"/>
              <w:rPr>
                <w:b/>
                <w:color w:val="FFFFFF"/>
                <w:sz w:val="18"/>
              </w:rPr>
            </w:pPr>
            <w:r>
              <w:rPr>
                <w:b/>
                <w:color w:val="FFFFFF"/>
                <w:sz w:val="18"/>
              </w:rPr>
              <w:t>2025</w:t>
            </w:r>
          </w:p>
        </w:tc>
        <w:tc>
          <w:tcPr>
            <w:tcW w:w="691" w:type="dxa"/>
            <w:tcBorders>
              <w:top w:val="single" w:sz="2" w:space="0" w:color="FFFFFF"/>
              <w:left w:val="nil"/>
              <w:bottom w:val="single" w:sz="2" w:space="0" w:color="FFFFFF"/>
              <w:right w:val="single" w:sz="2" w:space="0" w:color="FFFFFF"/>
            </w:tcBorders>
            <w:shd w:val="clear" w:color="auto" w:fill="6D2A78"/>
            <w:vAlign w:val="center"/>
          </w:tcPr>
          <w:p w14:paraId="7C4AE8FD" w14:textId="77777777" w:rsidR="004D4A28" w:rsidRPr="003936EA" w:rsidRDefault="004D4A28" w:rsidP="00361368">
            <w:pPr>
              <w:spacing w:line="259" w:lineRule="auto"/>
              <w:ind w:right="7"/>
              <w:jc w:val="center"/>
              <w:rPr>
                <w:b/>
                <w:color w:val="FFFFFF"/>
                <w:sz w:val="18"/>
              </w:rPr>
            </w:pPr>
            <w:r>
              <w:rPr>
                <w:b/>
                <w:color w:val="FFFFFF"/>
                <w:sz w:val="18"/>
              </w:rPr>
              <w:t>2030</w:t>
            </w:r>
          </w:p>
        </w:tc>
        <w:tc>
          <w:tcPr>
            <w:tcW w:w="691"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60D929B8" w14:textId="77777777" w:rsidR="004D4A28" w:rsidRDefault="004D4A28" w:rsidP="00361368">
            <w:pPr>
              <w:spacing w:line="259" w:lineRule="auto"/>
              <w:jc w:val="center"/>
            </w:pPr>
            <w:r>
              <w:rPr>
                <w:b/>
                <w:color w:val="FFFFFF"/>
                <w:sz w:val="18"/>
              </w:rPr>
              <w:t>2035</w:t>
            </w:r>
          </w:p>
        </w:tc>
        <w:tc>
          <w:tcPr>
            <w:tcW w:w="691"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062262C5" w14:textId="77777777" w:rsidR="004D4A28" w:rsidRDefault="004D4A28" w:rsidP="00361368">
            <w:pPr>
              <w:spacing w:line="259" w:lineRule="auto"/>
              <w:jc w:val="center"/>
              <w:rPr>
                <w:b/>
                <w:color w:val="FFFFFF"/>
                <w:sz w:val="18"/>
              </w:rPr>
            </w:pPr>
            <w:r>
              <w:rPr>
                <w:b/>
                <w:color w:val="FFFFFF"/>
                <w:sz w:val="18"/>
              </w:rPr>
              <w:t>2050</w:t>
            </w:r>
          </w:p>
        </w:tc>
      </w:tr>
      <w:tr w:rsidR="004D4A28" w14:paraId="0EBE3B38" w14:textId="77777777" w:rsidTr="00361368">
        <w:trPr>
          <w:trHeight w:val="460"/>
        </w:trPr>
        <w:tc>
          <w:tcPr>
            <w:tcW w:w="1031" w:type="dxa"/>
            <w:tcBorders>
              <w:top w:val="single" w:sz="2" w:space="0" w:color="FFFFFF"/>
              <w:left w:val="single" w:sz="2" w:space="0" w:color="6D2A78"/>
              <w:bottom w:val="single" w:sz="2" w:space="0" w:color="6D2A78"/>
              <w:right w:val="single" w:sz="2" w:space="0" w:color="6D2A78"/>
            </w:tcBorders>
            <w:vAlign w:val="center"/>
          </w:tcPr>
          <w:p w14:paraId="105C315A" w14:textId="77777777" w:rsidR="004D4A28" w:rsidRDefault="004D4A28" w:rsidP="00361368">
            <w:pPr>
              <w:spacing w:line="259" w:lineRule="auto"/>
              <w:ind w:left="39"/>
            </w:pPr>
            <w:r>
              <w:rPr>
                <w:sz w:val="18"/>
              </w:rPr>
              <w:t>(en kt</w:t>
            </w:r>
            <w:r>
              <w:t>CO</w:t>
            </w:r>
            <w:r w:rsidRPr="007F09F7">
              <w:rPr>
                <w:vertAlign w:val="subscript"/>
              </w:rPr>
              <w:t>2</w:t>
            </w:r>
            <w:r w:rsidRPr="004F1EC8">
              <w:rPr>
                <w:sz w:val="18"/>
                <w:vertAlign w:val="subscript"/>
              </w:rPr>
              <w:t>e</w:t>
            </w:r>
            <w:r>
              <w:rPr>
                <w:sz w:val="18"/>
              </w:rPr>
              <w:t xml:space="preserve">) </w:t>
            </w:r>
          </w:p>
        </w:tc>
        <w:tc>
          <w:tcPr>
            <w:tcW w:w="780" w:type="dxa"/>
            <w:tcBorders>
              <w:top w:val="single" w:sz="2" w:space="0" w:color="FFFFFF"/>
              <w:left w:val="single" w:sz="2" w:space="0" w:color="6D2A78"/>
              <w:bottom w:val="single" w:sz="2" w:space="0" w:color="6D2A78"/>
              <w:right w:val="single" w:sz="2" w:space="0" w:color="6D2A78"/>
            </w:tcBorders>
            <w:vAlign w:val="center"/>
          </w:tcPr>
          <w:p w14:paraId="3BDDFA53" w14:textId="77777777" w:rsidR="004D4A28" w:rsidRDefault="004D4A28" w:rsidP="00361368">
            <w:pPr>
              <w:spacing w:line="259" w:lineRule="auto"/>
              <w:jc w:val="center"/>
            </w:pPr>
            <w:r>
              <w:rPr>
                <w:sz w:val="18"/>
              </w:rPr>
              <w:t>Observé</w:t>
            </w:r>
          </w:p>
        </w:tc>
        <w:tc>
          <w:tcPr>
            <w:tcW w:w="775" w:type="dxa"/>
            <w:tcBorders>
              <w:top w:val="single" w:sz="2" w:space="0" w:color="FFFFFF"/>
              <w:left w:val="single" w:sz="2" w:space="0" w:color="6D2A78"/>
              <w:bottom w:val="single" w:sz="2" w:space="0" w:color="6D2A78"/>
              <w:right w:val="single" w:sz="2" w:space="0" w:color="6D2A78"/>
            </w:tcBorders>
            <w:vAlign w:val="center"/>
          </w:tcPr>
          <w:p w14:paraId="4DD91792" w14:textId="77777777" w:rsidR="004D4A28" w:rsidRDefault="004D4A28" w:rsidP="00361368">
            <w:pPr>
              <w:spacing w:line="259" w:lineRule="auto"/>
              <w:jc w:val="center"/>
              <w:rPr>
                <w:sz w:val="18"/>
              </w:rPr>
            </w:pPr>
            <w:r>
              <w:rPr>
                <w:sz w:val="18"/>
              </w:rPr>
              <w:t>Observé</w:t>
            </w:r>
          </w:p>
        </w:tc>
        <w:tc>
          <w:tcPr>
            <w:tcW w:w="780" w:type="dxa"/>
            <w:tcBorders>
              <w:top w:val="single" w:sz="2" w:space="0" w:color="FFFFFF"/>
              <w:left w:val="single" w:sz="2" w:space="0" w:color="6D2A78"/>
              <w:bottom w:val="single" w:sz="2" w:space="0" w:color="6D2A78"/>
              <w:right w:val="single" w:sz="2" w:space="0" w:color="6D2A78"/>
            </w:tcBorders>
            <w:vAlign w:val="center"/>
          </w:tcPr>
          <w:p w14:paraId="1C6A1894" w14:textId="77777777" w:rsidR="004D4A28" w:rsidRDefault="004D4A28" w:rsidP="00361368">
            <w:pPr>
              <w:spacing w:line="259" w:lineRule="auto"/>
              <w:jc w:val="center"/>
            </w:pPr>
            <w:r>
              <w:rPr>
                <w:sz w:val="18"/>
              </w:rPr>
              <w:t>Observé</w:t>
            </w:r>
          </w:p>
        </w:tc>
        <w:tc>
          <w:tcPr>
            <w:tcW w:w="780" w:type="dxa"/>
            <w:tcBorders>
              <w:top w:val="single" w:sz="2" w:space="0" w:color="FFFFFF"/>
              <w:left w:val="single" w:sz="2" w:space="0" w:color="6D2A78"/>
              <w:bottom w:val="single" w:sz="2" w:space="0" w:color="6D2A78"/>
              <w:right w:val="single" w:sz="2" w:space="0" w:color="6D2A78"/>
            </w:tcBorders>
            <w:vAlign w:val="center"/>
          </w:tcPr>
          <w:p w14:paraId="2D3DA5C2" w14:textId="77777777" w:rsidR="004D4A28" w:rsidRDefault="004D4A28" w:rsidP="00361368">
            <w:pPr>
              <w:spacing w:line="259" w:lineRule="auto"/>
              <w:jc w:val="center"/>
            </w:pPr>
            <w:r>
              <w:rPr>
                <w:sz w:val="18"/>
              </w:rPr>
              <w:t>Observé</w:t>
            </w:r>
          </w:p>
        </w:tc>
        <w:tc>
          <w:tcPr>
            <w:tcW w:w="780" w:type="dxa"/>
            <w:tcBorders>
              <w:top w:val="single" w:sz="2" w:space="0" w:color="FFFFFF"/>
              <w:left w:val="single" w:sz="2" w:space="0" w:color="6D2A78"/>
              <w:bottom w:val="single" w:sz="2" w:space="0" w:color="6D2A78"/>
              <w:right w:val="single" w:sz="2" w:space="0" w:color="6D2A78"/>
            </w:tcBorders>
            <w:vAlign w:val="center"/>
          </w:tcPr>
          <w:p w14:paraId="310CBB99" w14:textId="77777777" w:rsidR="004D4A28" w:rsidRDefault="004D4A28" w:rsidP="00361368">
            <w:pPr>
              <w:spacing w:line="259" w:lineRule="auto"/>
              <w:jc w:val="center"/>
            </w:pPr>
            <w:r>
              <w:rPr>
                <w:sz w:val="18"/>
              </w:rPr>
              <w:t>Observé</w:t>
            </w:r>
          </w:p>
        </w:tc>
        <w:tc>
          <w:tcPr>
            <w:tcW w:w="780" w:type="dxa"/>
            <w:tcBorders>
              <w:top w:val="single" w:sz="2" w:space="0" w:color="FFFFFF"/>
              <w:left w:val="single" w:sz="2" w:space="0" w:color="6D2A78"/>
              <w:bottom w:val="single" w:sz="2" w:space="0" w:color="6D2A78"/>
              <w:right w:val="single" w:sz="2" w:space="0" w:color="6D2A78"/>
            </w:tcBorders>
            <w:vAlign w:val="center"/>
          </w:tcPr>
          <w:p w14:paraId="5085B84B" w14:textId="77777777" w:rsidR="004D4A28" w:rsidRDefault="004D4A28" w:rsidP="00361368">
            <w:pPr>
              <w:spacing w:line="259" w:lineRule="auto"/>
              <w:jc w:val="center"/>
            </w:pPr>
            <w:r>
              <w:rPr>
                <w:sz w:val="18"/>
              </w:rPr>
              <w:t>Observé</w:t>
            </w:r>
          </w:p>
        </w:tc>
        <w:tc>
          <w:tcPr>
            <w:tcW w:w="780" w:type="dxa"/>
            <w:tcBorders>
              <w:top w:val="single" w:sz="2" w:space="0" w:color="FFFFFF"/>
              <w:left w:val="single" w:sz="2" w:space="0" w:color="6D2A78"/>
              <w:bottom w:val="single" w:sz="2" w:space="0" w:color="6D2A78"/>
              <w:right w:val="single" w:sz="2" w:space="0" w:color="6D2A78"/>
            </w:tcBorders>
            <w:vAlign w:val="center"/>
          </w:tcPr>
          <w:p w14:paraId="34FBFBAD" w14:textId="77777777" w:rsidR="004D4A28" w:rsidRDefault="004D4A28" w:rsidP="00361368">
            <w:pPr>
              <w:spacing w:line="259" w:lineRule="auto"/>
              <w:jc w:val="center"/>
              <w:rPr>
                <w:sz w:val="18"/>
              </w:rPr>
            </w:pPr>
            <w:r>
              <w:rPr>
                <w:sz w:val="18"/>
              </w:rPr>
              <w:t>Observé</w:t>
            </w:r>
          </w:p>
        </w:tc>
        <w:tc>
          <w:tcPr>
            <w:tcW w:w="691" w:type="dxa"/>
            <w:tcBorders>
              <w:top w:val="single" w:sz="2" w:space="0" w:color="FFFFFF"/>
              <w:left w:val="single" w:sz="2" w:space="0" w:color="6D2A78"/>
              <w:bottom w:val="single" w:sz="2" w:space="0" w:color="6D2A78"/>
              <w:right w:val="single" w:sz="2" w:space="0" w:color="6D2A78"/>
            </w:tcBorders>
            <w:vAlign w:val="center"/>
          </w:tcPr>
          <w:p w14:paraId="41F2DAF0" w14:textId="77777777" w:rsidR="004D4A28" w:rsidRDefault="004D4A28" w:rsidP="00361368">
            <w:pPr>
              <w:spacing w:line="259" w:lineRule="auto"/>
              <w:jc w:val="center"/>
            </w:pPr>
            <w:r>
              <w:rPr>
                <w:sz w:val="18"/>
              </w:rPr>
              <w:t>Projeté</w:t>
            </w:r>
          </w:p>
        </w:tc>
        <w:tc>
          <w:tcPr>
            <w:tcW w:w="691" w:type="dxa"/>
            <w:tcBorders>
              <w:top w:val="single" w:sz="2" w:space="0" w:color="FFFFFF"/>
              <w:left w:val="single" w:sz="2" w:space="0" w:color="6D2A78"/>
              <w:bottom w:val="single" w:sz="2" w:space="0" w:color="6D2A78"/>
              <w:right w:val="single" w:sz="2" w:space="0" w:color="6D2A78"/>
            </w:tcBorders>
            <w:vAlign w:val="center"/>
          </w:tcPr>
          <w:p w14:paraId="1CC600C8" w14:textId="77777777" w:rsidR="004D4A28" w:rsidRDefault="004D4A28" w:rsidP="00361368">
            <w:pPr>
              <w:spacing w:line="259" w:lineRule="auto"/>
              <w:jc w:val="center"/>
            </w:pPr>
            <w:r>
              <w:rPr>
                <w:sz w:val="18"/>
              </w:rPr>
              <w:t>Projeté</w:t>
            </w:r>
          </w:p>
        </w:tc>
        <w:tc>
          <w:tcPr>
            <w:tcW w:w="691" w:type="dxa"/>
            <w:tcBorders>
              <w:top w:val="single" w:sz="2" w:space="0" w:color="FFFFFF"/>
              <w:left w:val="single" w:sz="2" w:space="0" w:color="6D2A78"/>
              <w:bottom w:val="single" w:sz="2" w:space="0" w:color="6D2A78"/>
              <w:right w:val="single" w:sz="2" w:space="0" w:color="6D2A78"/>
            </w:tcBorders>
            <w:vAlign w:val="center"/>
          </w:tcPr>
          <w:p w14:paraId="7318B917" w14:textId="77777777" w:rsidR="004D4A28" w:rsidRDefault="004D4A28" w:rsidP="00361368">
            <w:pPr>
              <w:spacing w:line="259" w:lineRule="auto"/>
              <w:jc w:val="center"/>
            </w:pPr>
            <w:r>
              <w:rPr>
                <w:sz w:val="18"/>
              </w:rPr>
              <w:t>Projeté</w:t>
            </w:r>
          </w:p>
        </w:tc>
        <w:tc>
          <w:tcPr>
            <w:tcW w:w="691" w:type="dxa"/>
            <w:tcBorders>
              <w:top w:val="single" w:sz="2" w:space="0" w:color="FFFFFF"/>
              <w:left w:val="single" w:sz="2" w:space="0" w:color="6D2A78"/>
              <w:bottom w:val="single" w:sz="2" w:space="0" w:color="6D2A78"/>
              <w:right w:val="single" w:sz="2" w:space="0" w:color="6D2A78"/>
            </w:tcBorders>
            <w:vAlign w:val="center"/>
          </w:tcPr>
          <w:p w14:paraId="1681AFA7" w14:textId="77777777" w:rsidR="004D4A28" w:rsidRDefault="004D4A28" w:rsidP="00361368">
            <w:pPr>
              <w:spacing w:line="259" w:lineRule="auto"/>
              <w:jc w:val="center"/>
            </w:pPr>
            <w:r>
              <w:rPr>
                <w:sz w:val="18"/>
              </w:rPr>
              <w:t>Projeté</w:t>
            </w:r>
          </w:p>
        </w:tc>
        <w:tc>
          <w:tcPr>
            <w:tcW w:w="691" w:type="dxa"/>
            <w:tcBorders>
              <w:top w:val="single" w:sz="2" w:space="0" w:color="FFFFFF"/>
              <w:left w:val="single" w:sz="2" w:space="0" w:color="6D2A78"/>
              <w:bottom w:val="single" w:sz="2" w:space="0" w:color="6D2A78"/>
              <w:right w:val="single" w:sz="2" w:space="0" w:color="6D2A78"/>
            </w:tcBorders>
            <w:vAlign w:val="center"/>
          </w:tcPr>
          <w:p w14:paraId="083C5CBC" w14:textId="77777777" w:rsidR="004D4A28" w:rsidRDefault="004D4A28" w:rsidP="00361368">
            <w:pPr>
              <w:spacing w:line="259" w:lineRule="auto"/>
              <w:jc w:val="center"/>
              <w:rPr>
                <w:sz w:val="18"/>
              </w:rPr>
            </w:pPr>
            <w:r>
              <w:rPr>
                <w:sz w:val="18"/>
              </w:rPr>
              <w:t>Projeté</w:t>
            </w:r>
          </w:p>
        </w:tc>
      </w:tr>
      <w:tr w:rsidR="004D4A28" w14:paraId="63180995" w14:textId="77777777" w:rsidTr="00361368">
        <w:trPr>
          <w:trHeight w:val="457"/>
        </w:trPr>
        <w:tc>
          <w:tcPr>
            <w:tcW w:w="103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32F2792F" w14:textId="77777777" w:rsidR="004D4A28" w:rsidRDefault="004D4A28" w:rsidP="00361368">
            <w:pPr>
              <w:spacing w:line="259" w:lineRule="auto"/>
              <w:ind w:right="9"/>
              <w:jc w:val="center"/>
            </w:pPr>
            <w:r>
              <w:rPr>
                <w:sz w:val="18"/>
              </w:rPr>
              <w:t xml:space="preserve">Ensemble (hors UTCATF) </w:t>
            </w:r>
          </w:p>
        </w:tc>
        <w:tc>
          <w:tcPr>
            <w:tcW w:w="780"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B1FCF80" w14:textId="77777777" w:rsidR="004D4A28" w:rsidRDefault="004D4A28" w:rsidP="00361368">
            <w:pPr>
              <w:spacing w:line="259" w:lineRule="auto"/>
              <w:ind w:left="59"/>
              <w:jc w:val="center"/>
            </w:pPr>
            <w:r w:rsidRPr="006E265A">
              <w:rPr>
                <w:sz w:val="18"/>
              </w:rPr>
              <w:t>544086</w:t>
            </w:r>
          </w:p>
        </w:tc>
        <w:tc>
          <w:tcPr>
            <w:tcW w:w="775"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2E6829A8" w14:textId="77777777" w:rsidR="004D4A28" w:rsidRPr="001A3BA1" w:rsidRDefault="004D4A28" w:rsidP="00361368">
            <w:pPr>
              <w:spacing w:line="259" w:lineRule="auto"/>
              <w:ind w:left="58"/>
              <w:jc w:val="center"/>
              <w:rPr>
                <w:sz w:val="18"/>
              </w:rPr>
            </w:pPr>
            <w:r w:rsidRPr="006E265A">
              <w:rPr>
                <w:sz w:val="18"/>
              </w:rPr>
              <w:t>536475</w:t>
            </w:r>
          </w:p>
        </w:tc>
        <w:tc>
          <w:tcPr>
            <w:tcW w:w="780"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6D12E8CC" w14:textId="77777777" w:rsidR="004D4A28" w:rsidRPr="001A3BA1" w:rsidRDefault="004D4A28" w:rsidP="00361368">
            <w:pPr>
              <w:spacing w:line="259" w:lineRule="auto"/>
              <w:ind w:left="58"/>
              <w:jc w:val="center"/>
            </w:pPr>
            <w:r w:rsidRPr="006E265A">
              <w:rPr>
                <w:sz w:val="18"/>
              </w:rPr>
              <w:t>549005</w:t>
            </w:r>
          </w:p>
        </w:tc>
        <w:tc>
          <w:tcPr>
            <w:tcW w:w="780"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0979C0FD" w14:textId="77777777" w:rsidR="004D4A28" w:rsidRPr="002C2BF1" w:rsidRDefault="004D4A28" w:rsidP="00361368">
            <w:pPr>
              <w:spacing w:line="259" w:lineRule="auto"/>
              <w:ind w:left="59"/>
              <w:jc w:val="center"/>
              <w:rPr>
                <w:highlight w:val="yellow"/>
              </w:rPr>
            </w:pPr>
            <w:r w:rsidRPr="006E265A">
              <w:rPr>
                <w:sz w:val="18"/>
              </w:rPr>
              <w:t>551391</w:t>
            </w:r>
          </w:p>
        </w:tc>
        <w:tc>
          <w:tcPr>
            <w:tcW w:w="780"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EED6C86" w14:textId="77777777" w:rsidR="004D4A28" w:rsidRDefault="004D4A28" w:rsidP="00361368">
            <w:pPr>
              <w:spacing w:line="259" w:lineRule="auto"/>
              <w:ind w:left="62"/>
              <w:jc w:val="center"/>
            </w:pPr>
            <w:r w:rsidRPr="006E265A">
              <w:rPr>
                <w:sz w:val="18"/>
              </w:rPr>
              <w:t>507468</w:t>
            </w:r>
          </w:p>
        </w:tc>
        <w:tc>
          <w:tcPr>
            <w:tcW w:w="780"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5691684" w14:textId="77777777" w:rsidR="004D4A28" w:rsidRDefault="004D4A28" w:rsidP="00361368">
            <w:pPr>
              <w:spacing w:line="259" w:lineRule="auto"/>
              <w:ind w:left="59"/>
              <w:jc w:val="center"/>
            </w:pPr>
            <w:r w:rsidRPr="006E265A">
              <w:rPr>
                <w:sz w:val="18"/>
              </w:rPr>
              <w:t>457923</w:t>
            </w:r>
          </w:p>
        </w:tc>
        <w:tc>
          <w:tcPr>
            <w:tcW w:w="780"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B918484" w14:textId="77777777" w:rsidR="004D4A28" w:rsidRDefault="004D4A28" w:rsidP="00361368">
            <w:pPr>
              <w:spacing w:line="259" w:lineRule="auto"/>
              <w:ind w:left="58"/>
              <w:jc w:val="center"/>
              <w:rPr>
                <w:sz w:val="18"/>
              </w:rPr>
            </w:pPr>
            <w:r w:rsidRPr="006E265A">
              <w:rPr>
                <w:sz w:val="18"/>
              </w:rPr>
              <w:t>434539</w:t>
            </w:r>
          </w:p>
        </w:tc>
        <w:tc>
          <w:tcPr>
            <w:tcW w:w="69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895AF7F" w14:textId="77777777" w:rsidR="004D4A28" w:rsidRDefault="004D4A28" w:rsidP="00361368">
            <w:pPr>
              <w:spacing w:line="259" w:lineRule="auto"/>
              <w:ind w:left="58"/>
              <w:jc w:val="center"/>
            </w:pPr>
            <w:r w:rsidRPr="00364545">
              <w:rPr>
                <w:sz w:val="18"/>
              </w:rPr>
              <w:t>398676</w:t>
            </w:r>
          </w:p>
        </w:tc>
        <w:tc>
          <w:tcPr>
            <w:tcW w:w="69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17A5236" w14:textId="77777777" w:rsidR="004D4A28" w:rsidRDefault="004D4A28" w:rsidP="00361368">
            <w:pPr>
              <w:spacing w:line="259" w:lineRule="auto"/>
              <w:ind w:left="59"/>
              <w:jc w:val="center"/>
            </w:pPr>
            <w:r w:rsidRPr="00364545">
              <w:rPr>
                <w:sz w:val="18"/>
              </w:rPr>
              <w:t>392095</w:t>
            </w:r>
          </w:p>
        </w:tc>
        <w:tc>
          <w:tcPr>
            <w:tcW w:w="69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0CB0A881" w14:textId="77777777" w:rsidR="004D4A28" w:rsidRDefault="004D4A28" w:rsidP="00361368">
            <w:pPr>
              <w:spacing w:line="259" w:lineRule="auto"/>
              <w:ind w:left="58"/>
              <w:jc w:val="center"/>
            </w:pPr>
            <w:r w:rsidRPr="00364545">
              <w:rPr>
                <w:sz w:val="18"/>
              </w:rPr>
              <w:t>367049</w:t>
            </w:r>
          </w:p>
        </w:tc>
        <w:tc>
          <w:tcPr>
            <w:tcW w:w="69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03D09E4" w14:textId="77777777" w:rsidR="004D4A28" w:rsidRDefault="004D4A28" w:rsidP="00361368">
            <w:pPr>
              <w:spacing w:line="259" w:lineRule="auto"/>
              <w:ind w:left="59"/>
              <w:jc w:val="center"/>
            </w:pPr>
            <w:r w:rsidRPr="00364545">
              <w:rPr>
                <w:sz w:val="18"/>
              </w:rPr>
              <w:t>354446</w:t>
            </w:r>
          </w:p>
        </w:tc>
        <w:tc>
          <w:tcPr>
            <w:tcW w:w="69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0B17666" w14:textId="77777777" w:rsidR="004D4A28" w:rsidRDefault="004D4A28" w:rsidP="00361368">
            <w:pPr>
              <w:spacing w:line="259" w:lineRule="auto"/>
              <w:ind w:left="59"/>
              <w:jc w:val="center"/>
              <w:rPr>
                <w:sz w:val="18"/>
              </w:rPr>
            </w:pPr>
            <w:r w:rsidRPr="00364545">
              <w:rPr>
                <w:sz w:val="18"/>
              </w:rPr>
              <w:t>329653</w:t>
            </w:r>
          </w:p>
        </w:tc>
      </w:tr>
      <w:tr w:rsidR="004D4A28" w14:paraId="46848C38" w14:textId="77777777" w:rsidTr="00361368">
        <w:trPr>
          <w:trHeight w:val="459"/>
        </w:trPr>
        <w:tc>
          <w:tcPr>
            <w:tcW w:w="1031" w:type="dxa"/>
            <w:tcBorders>
              <w:top w:val="single" w:sz="2" w:space="0" w:color="6D2A78"/>
              <w:left w:val="single" w:sz="2" w:space="0" w:color="6D2A78"/>
              <w:bottom w:val="single" w:sz="2" w:space="0" w:color="6D2A78"/>
              <w:right w:val="single" w:sz="2" w:space="0" w:color="6D2A78"/>
            </w:tcBorders>
            <w:vAlign w:val="center"/>
          </w:tcPr>
          <w:p w14:paraId="2C3493F0" w14:textId="77777777" w:rsidR="004D4A28" w:rsidRDefault="004D4A28" w:rsidP="00361368">
            <w:pPr>
              <w:spacing w:line="259" w:lineRule="auto"/>
              <w:ind w:left="144"/>
            </w:pPr>
            <w:r>
              <w:rPr>
                <w:sz w:val="18"/>
              </w:rPr>
              <w:t xml:space="preserve">Ensemble (avec UTCATF) </w:t>
            </w:r>
          </w:p>
        </w:tc>
        <w:tc>
          <w:tcPr>
            <w:tcW w:w="780" w:type="dxa"/>
            <w:tcBorders>
              <w:top w:val="single" w:sz="2" w:space="0" w:color="6D2A78"/>
              <w:left w:val="single" w:sz="2" w:space="0" w:color="6D2A78"/>
              <w:bottom w:val="single" w:sz="2" w:space="0" w:color="6D2A78"/>
              <w:right w:val="single" w:sz="2" w:space="0" w:color="6D2A78"/>
            </w:tcBorders>
            <w:vAlign w:val="center"/>
          </w:tcPr>
          <w:p w14:paraId="781C2CDC" w14:textId="77777777" w:rsidR="004D4A28" w:rsidRDefault="004D4A28" w:rsidP="00361368">
            <w:pPr>
              <w:spacing w:line="259" w:lineRule="auto"/>
              <w:ind w:left="59"/>
              <w:jc w:val="center"/>
            </w:pPr>
            <w:r w:rsidRPr="006E265A">
              <w:rPr>
                <w:sz w:val="18"/>
              </w:rPr>
              <w:t>520100</w:t>
            </w:r>
          </w:p>
        </w:tc>
        <w:tc>
          <w:tcPr>
            <w:tcW w:w="775" w:type="dxa"/>
            <w:tcBorders>
              <w:top w:val="single" w:sz="2" w:space="0" w:color="6D2A78"/>
              <w:left w:val="single" w:sz="2" w:space="0" w:color="6D2A78"/>
              <w:bottom w:val="single" w:sz="2" w:space="0" w:color="6D2A78"/>
              <w:right w:val="single" w:sz="2" w:space="0" w:color="6D2A78"/>
            </w:tcBorders>
            <w:vAlign w:val="center"/>
          </w:tcPr>
          <w:p w14:paraId="6BF1E97B" w14:textId="77777777" w:rsidR="004D4A28" w:rsidRPr="001A3BA1" w:rsidRDefault="004D4A28" w:rsidP="00361368">
            <w:pPr>
              <w:spacing w:line="259" w:lineRule="auto"/>
              <w:ind w:left="58"/>
              <w:jc w:val="center"/>
              <w:rPr>
                <w:sz w:val="18"/>
              </w:rPr>
            </w:pPr>
            <w:r w:rsidRPr="006E265A">
              <w:rPr>
                <w:sz w:val="18"/>
              </w:rPr>
              <w:t>511596</w:t>
            </w:r>
          </w:p>
        </w:tc>
        <w:tc>
          <w:tcPr>
            <w:tcW w:w="780" w:type="dxa"/>
            <w:tcBorders>
              <w:top w:val="single" w:sz="2" w:space="0" w:color="6D2A78"/>
              <w:left w:val="single" w:sz="2" w:space="0" w:color="6D2A78"/>
              <w:bottom w:val="single" w:sz="2" w:space="0" w:color="6D2A78"/>
              <w:right w:val="single" w:sz="2" w:space="0" w:color="6D2A78"/>
            </w:tcBorders>
            <w:vAlign w:val="center"/>
          </w:tcPr>
          <w:p w14:paraId="3A9713BD" w14:textId="77777777" w:rsidR="004D4A28" w:rsidRPr="001A3BA1" w:rsidRDefault="004D4A28" w:rsidP="00361368">
            <w:pPr>
              <w:spacing w:line="259" w:lineRule="auto"/>
              <w:ind w:left="58"/>
              <w:jc w:val="center"/>
            </w:pPr>
            <w:r w:rsidRPr="006E265A">
              <w:rPr>
                <w:sz w:val="18"/>
              </w:rPr>
              <w:t>529295</w:t>
            </w:r>
          </w:p>
        </w:tc>
        <w:tc>
          <w:tcPr>
            <w:tcW w:w="780" w:type="dxa"/>
            <w:tcBorders>
              <w:top w:val="single" w:sz="2" w:space="0" w:color="6D2A78"/>
              <w:left w:val="single" w:sz="2" w:space="0" w:color="6D2A78"/>
              <w:bottom w:val="single" w:sz="2" w:space="0" w:color="6D2A78"/>
              <w:right w:val="single" w:sz="2" w:space="0" w:color="6D2A78"/>
            </w:tcBorders>
            <w:vAlign w:val="center"/>
          </w:tcPr>
          <w:p w14:paraId="50DCFD78" w14:textId="77777777" w:rsidR="004D4A28" w:rsidRPr="002C2BF1" w:rsidRDefault="004D4A28" w:rsidP="00361368">
            <w:pPr>
              <w:spacing w:line="259" w:lineRule="auto"/>
              <w:ind w:left="59"/>
              <w:jc w:val="center"/>
              <w:rPr>
                <w:highlight w:val="yellow"/>
              </w:rPr>
            </w:pPr>
            <w:r w:rsidRPr="006E265A">
              <w:rPr>
                <w:sz w:val="18"/>
              </w:rPr>
              <w:t>504079</w:t>
            </w:r>
          </w:p>
        </w:tc>
        <w:tc>
          <w:tcPr>
            <w:tcW w:w="780" w:type="dxa"/>
            <w:tcBorders>
              <w:top w:val="single" w:sz="2" w:space="0" w:color="6D2A78"/>
              <w:left w:val="single" w:sz="2" w:space="0" w:color="6D2A78"/>
              <w:bottom w:val="single" w:sz="2" w:space="0" w:color="6D2A78"/>
              <w:right w:val="single" w:sz="2" w:space="0" w:color="6D2A78"/>
            </w:tcBorders>
            <w:vAlign w:val="center"/>
          </w:tcPr>
          <w:p w14:paraId="48F4CD32" w14:textId="77777777" w:rsidR="004D4A28" w:rsidRDefault="004D4A28" w:rsidP="00361368">
            <w:pPr>
              <w:spacing w:line="259" w:lineRule="auto"/>
              <w:ind w:left="57"/>
              <w:jc w:val="center"/>
            </w:pPr>
            <w:r w:rsidRPr="006E265A">
              <w:rPr>
                <w:sz w:val="18"/>
              </w:rPr>
              <w:t>469112</w:t>
            </w:r>
          </w:p>
        </w:tc>
        <w:tc>
          <w:tcPr>
            <w:tcW w:w="780" w:type="dxa"/>
            <w:tcBorders>
              <w:top w:val="single" w:sz="2" w:space="0" w:color="6D2A78"/>
              <w:left w:val="single" w:sz="2" w:space="0" w:color="6D2A78"/>
              <w:bottom w:val="single" w:sz="2" w:space="0" w:color="6D2A78"/>
              <w:right w:val="single" w:sz="2" w:space="0" w:color="6D2A78"/>
            </w:tcBorders>
            <w:vAlign w:val="center"/>
          </w:tcPr>
          <w:p w14:paraId="7270C084" w14:textId="77777777" w:rsidR="004D4A28" w:rsidRDefault="004D4A28" w:rsidP="00361368">
            <w:pPr>
              <w:spacing w:line="259" w:lineRule="auto"/>
              <w:ind w:left="59"/>
              <w:jc w:val="center"/>
            </w:pPr>
            <w:r w:rsidRPr="006E265A">
              <w:rPr>
                <w:sz w:val="18"/>
              </w:rPr>
              <w:t>423346</w:t>
            </w:r>
          </w:p>
        </w:tc>
        <w:tc>
          <w:tcPr>
            <w:tcW w:w="780" w:type="dxa"/>
            <w:tcBorders>
              <w:top w:val="single" w:sz="2" w:space="0" w:color="6D2A78"/>
              <w:left w:val="single" w:sz="2" w:space="0" w:color="6D2A78"/>
              <w:bottom w:val="single" w:sz="2" w:space="0" w:color="6D2A78"/>
              <w:right w:val="single" w:sz="2" w:space="0" w:color="6D2A78"/>
            </w:tcBorders>
            <w:vAlign w:val="center"/>
          </w:tcPr>
          <w:p w14:paraId="6A96817C" w14:textId="77777777" w:rsidR="004D4A28" w:rsidRDefault="004D4A28" w:rsidP="00361368">
            <w:pPr>
              <w:spacing w:line="259" w:lineRule="auto"/>
              <w:ind w:left="57"/>
              <w:jc w:val="center"/>
              <w:rPr>
                <w:sz w:val="18"/>
              </w:rPr>
            </w:pPr>
            <w:r w:rsidRPr="006E265A">
              <w:rPr>
                <w:sz w:val="18"/>
              </w:rPr>
              <w:t>422251</w:t>
            </w:r>
          </w:p>
        </w:tc>
        <w:tc>
          <w:tcPr>
            <w:tcW w:w="691" w:type="dxa"/>
            <w:tcBorders>
              <w:top w:val="single" w:sz="2" w:space="0" w:color="6D2A78"/>
              <w:left w:val="single" w:sz="2" w:space="0" w:color="6D2A78"/>
              <w:bottom w:val="single" w:sz="2" w:space="0" w:color="6D2A78"/>
              <w:right w:val="single" w:sz="2" w:space="0" w:color="6D2A78"/>
            </w:tcBorders>
            <w:vAlign w:val="center"/>
          </w:tcPr>
          <w:p w14:paraId="2AF263DD" w14:textId="77777777" w:rsidR="004D4A28" w:rsidRDefault="004D4A28" w:rsidP="00361368">
            <w:pPr>
              <w:spacing w:line="259" w:lineRule="auto"/>
              <w:ind w:left="57"/>
              <w:jc w:val="center"/>
            </w:pPr>
            <w:r w:rsidRPr="00364545">
              <w:rPr>
                <w:sz w:val="18"/>
              </w:rPr>
              <w:t>365838</w:t>
            </w:r>
          </w:p>
        </w:tc>
        <w:tc>
          <w:tcPr>
            <w:tcW w:w="691" w:type="dxa"/>
            <w:tcBorders>
              <w:top w:val="single" w:sz="2" w:space="0" w:color="6D2A78"/>
              <w:left w:val="single" w:sz="2" w:space="0" w:color="6D2A78"/>
              <w:bottom w:val="single" w:sz="2" w:space="0" w:color="6D2A78"/>
              <w:right w:val="single" w:sz="2" w:space="0" w:color="6D2A78"/>
            </w:tcBorders>
            <w:vAlign w:val="center"/>
          </w:tcPr>
          <w:p w14:paraId="2FEDEBC1" w14:textId="77777777" w:rsidR="004D4A28" w:rsidRDefault="004D4A28" w:rsidP="00361368">
            <w:pPr>
              <w:spacing w:line="259" w:lineRule="auto"/>
              <w:ind w:left="58"/>
              <w:jc w:val="center"/>
            </w:pPr>
            <w:r w:rsidRPr="00364545">
              <w:rPr>
                <w:sz w:val="18"/>
              </w:rPr>
              <w:t>363349</w:t>
            </w:r>
          </w:p>
        </w:tc>
        <w:tc>
          <w:tcPr>
            <w:tcW w:w="691" w:type="dxa"/>
            <w:tcBorders>
              <w:top w:val="single" w:sz="2" w:space="0" w:color="6D2A78"/>
              <w:left w:val="single" w:sz="2" w:space="0" w:color="6D2A78"/>
              <w:bottom w:val="single" w:sz="2" w:space="0" w:color="6D2A78"/>
              <w:right w:val="single" w:sz="2" w:space="0" w:color="6D2A78"/>
            </w:tcBorders>
            <w:vAlign w:val="center"/>
          </w:tcPr>
          <w:p w14:paraId="557A161E" w14:textId="77777777" w:rsidR="004D4A28" w:rsidRDefault="004D4A28" w:rsidP="00361368">
            <w:pPr>
              <w:spacing w:line="259" w:lineRule="auto"/>
              <w:ind w:left="58"/>
              <w:jc w:val="center"/>
            </w:pPr>
            <w:r w:rsidRPr="00364545">
              <w:rPr>
                <w:sz w:val="18"/>
              </w:rPr>
              <w:t>340618</w:t>
            </w:r>
          </w:p>
        </w:tc>
        <w:tc>
          <w:tcPr>
            <w:tcW w:w="691" w:type="dxa"/>
            <w:tcBorders>
              <w:top w:val="single" w:sz="2" w:space="0" w:color="6D2A78"/>
              <w:left w:val="single" w:sz="2" w:space="0" w:color="6D2A78"/>
              <w:bottom w:val="single" w:sz="2" w:space="0" w:color="6D2A78"/>
              <w:right w:val="single" w:sz="2" w:space="0" w:color="6D2A78"/>
            </w:tcBorders>
            <w:vAlign w:val="center"/>
          </w:tcPr>
          <w:p w14:paraId="47AF4FEB" w14:textId="77777777" w:rsidR="004D4A28" w:rsidRDefault="004D4A28" w:rsidP="00361368">
            <w:pPr>
              <w:keepNext/>
              <w:spacing w:line="259" w:lineRule="auto"/>
              <w:ind w:left="63"/>
              <w:jc w:val="center"/>
            </w:pPr>
            <w:r w:rsidRPr="00364545">
              <w:rPr>
                <w:sz w:val="18"/>
              </w:rPr>
              <w:t>332886</w:t>
            </w:r>
          </w:p>
        </w:tc>
        <w:tc>
          <w:tcPr>
            <w:tcW w:w="691" w:type="dxa"/>
            <w:tcBorders>
              <w:top w:val="single" w:sz="2" w:space="0" w:color="6D2A78"/>
              <w:left w:val="single" w:sz="2" w:space="0" w:color="6D2A78"/>
              <w:bottom w:val="single" w:sz="2" w:space="0" w:color="6D2A78"/>
              <w:right w:val="single" w:sz="2" w:space="0" w:color="6D2A78"/>
            </w:tcBorders>
            <w:vAlign w:val="center"/>
          </w:tcPr>
          <w:p w14:paraId="2B99CE1A" w14:textId="77777777" w:rsidR="004D4A28" w:rsidRDefault="004D4A28" w:rsidP="00361368">
            <w:pPr>
              <w:keepNext/>
              <w:spacing w:line="259" w:lineRule="auto"/>
              <w:ind w:left="63"/>
              <w:jc w:val="center"/>
              <w:rPr>
                <w:sz w:val="18"/>
              </w:rPr>
            </w:pPr>
            <w:r w:rsidRPr="00364545">
              <w:rPr>
                <w:sz w:val="18"/>
              </w:rPr>
              <w:t>317026</w:t>
            </w:r>
          </w:p>
        </w:tc>
      </w:tr>
    </w:tbl>
    <w:p w14:paraId="660412D6" w14:textId="77777777" w:rsidR="004D4A28" w:rsidRDefault="004D4A28" w:rsidP="004D4A28">
      <w:pPr>
        <w:pStyle w:val="Caption"/>
      </w:pPr>
      <w:bookmarkStart w:id="110" w:name="_Toc123916502"/>
      <w:r>
        <w:t xml:space="preserve">Tableau </w:t>
      </w:r>
      <w:r w:rsidR="00757301">
        <w:fldChar w:fldCharType="begin"/>
      </w:r>
      <w:r w:rsidR="00757301">
        <w:instrText xml:space="preserve"> SEQ Tableau \* ARABIC </w:instrText>
      </w:r>
      <w:r w:rsidR="00757301">
        <w:fldChar w:fldCharType="separate"/>
      </w:r>
      <w:r>
        <w:rPr>
          <w:noProof/>
        </w:rPr>
        <w:t>10</w:t>
      </w:r>
      <w:r w:rsidR="00757301">
        <w:rPr>
          <w:noProof/>
        </w:rPr>
        <w:fldChar w:fldCharType="end"/>
      </w:r>
      <w:r>
        <w:t xml:space="preserve"> : </w:t>
      </w:r>
      <w:r w:rsidRPr="00AF0377">
        <w:t xml:space="preserve">Projections d’émissions de GES (en </w:t>
      </w:r>
      <w:r w:rsidRPr="00590551">
        <w:t>kt</w:t>
      </w:r>
      <w:r>
        <w:t>CO</w:t>
      </w:r>
      <w:r w:rsidRPr="007F09F7">
        <w:rPr>
          <w:vertAlign w:val="subscript"/>
        </w:rPr>
        <w:t>2</w:t>
      </w:r>
      <w:r w:rsidRPr="004F1EC8">
        <w:rPr>
          <w:vertAlign w:val="subscript"/>
        </w:rPr>
        <w:t>e</w:t>
      </w:r>
      <w:r w:rsidRPr="00AF0377">
        <w:t>) au périmètre Kyoto dans le scénario AME</w:t>
      </w:r>
      <w:r>
        <w:t>21</w:t>
      </w:r>
      <w:r w:rsidRPr="00AF0377">
        <w:t xml:space="preserve"> (avec mesures existantes)</w:t>
      </w:r>
      <w:bookmarkEnd w:id="110"/>
    </w:p>
    <w:p w14:paraId="45539B6C" w14:textId="77777777" w:rsidR="004D4A28" w:rsidRDefault="004D4A28" w:rsidP="004D4A28">
      <w:pPr>
        <w:pStyle w:val="Caption"/>
      </w:pPr>
      <w:r w:rsidRPr="00AF0377">
        <w:t>Source : Inventaire CCNUCC, Citepa/MTE, soumission 20</w:t>
      </w:r>
      <w:r>
        <w:t xml:space="preserve">22 </w:t>
      </w:r>
      <w:r w:rsidRPr="00AF0377">
        <w:t xml:space="preserve">et projections d’émissions MTE, </w:t>
      </w:r>
      <w:r>
        <w:t>2021</w:t>
      </w:r>
    </w:p>
    <w:p w14:paraId="337E457E" w14:textId="77777777" w:rsidR="004D4A28" w:rsidRDefault="004D4A28" w:rsidP="004D4A28">
      <w:pPr>
        <w:spacing w:before="240" w:after="240"/>
      </w:pPr>
      <w:r w:rsidRPr="002C2BF1">
        <w:t>En AME2021, les émissions baissent fortement en 2020 du fait de l’impact de la crise sanitaire liée au C</w:t>
      </w:r>
      <w:r>
        <w:t>ovid</w:t>
      </w:r>
      <w:r w:rsidRPr="001A3BA1">
        <w:t xml:space="preserve">-19. Le rebond important attendu en 2021-2022 n’est pas visible dans les sorties du fait du pas de temps de 5 ans de la modélisation. Par la suite, la tendance d’émissions est similaire à celle de l’AME 2018 avec un décalage d’environ </w:t>
      </w:r>
      <w:r>
        <w:t>–</w:t>
      </w:r>
      <w:r>
        <w:rPr>
          <w:rFonts w:ascii="Calibri" w:hAnsi="Calibri" w:cs="Calibri"/>
        </w:rPr>
        <w:t> </w:t>
      </w:r>
      <w:r w:rsidRPr="001A3BA1">
        <w:t>50</w:t>
      </w:r>
      <w:r>
        <w:rPr>
          <w:rFonts w:ascii="Calibri" w:hAnsi="Calibri" w:cs="Calibri"/>
        </w:rPr>
        <w:t> </w:t>
      </w:r>
      <w:r w:rsidRPr="00AA4D70">
        <w:t>Mt</w:t>
      </w:r>
      <w:r>
        <w:t>CO</w:t>
      </w:r>
      <w:r w:rsidRPr="007F09F7">
        <w:rPr>
          <w:vertAlign w:val="subscript"/>
        </w:rPr>
        <w:t>2</w:t>
      </w:r>
      <w:r w:rsidRPr="004F1EC8">
        <w:rPr>
          <w:vertAlign w:val="subscript"/>
        </w:rPr>
        <w:t>e</w:t>
      </w:r>
      <w:r w:rsidRPr="00AA4D70">
        <w:t>. Cela permet de se rapprocher de la trajectoire de l’AMS 2018 sans toutefois l’atteindre</w:t>
      </w:r>
      <w:r>
        <w:t>.</w:t>
      </w:r>
      <w:r w:rsidRPr="00AA4D70">
        <w:t xml:space="preserve"> En revanche, le rythme de décroissance des émissions dans la période post-2030 reste très faible par rappor</w:t>
      </w:r>
      <w:r w:rsidRPr="00262B24">
        <w:t>t à ce qui est attendu en AMS</w:t>
      </w:r>
      <w:r>
        <w:t>.</w:t>
      </w:r>
    </w:p>
    <w:p w14:paraId="0E3CC2A6" w14:textId="77777777" w:rsidR="004D4A28" w:rsidRPr="00AB325E" w:rsidRDefault="004D4A28" w:rsidP="004D4A28">
      <w:pPr>
        <w:spacing w:before="240" w:after="240"/>
      </w:pPr>
      <w:r w:rsidRPr="00AB325E">
        <w:t>Plus précisément sur ce décalage de -50</w:t>
      </w:r>
      <w:r>
        <w:t> </w:t>
      </w:r>
      <w:r w:rsidRPr="00AB325E">
        <w:t>Mt</w:t>
      </w:r>
      <w:r>
        <w:t>CO</w:t>
      </w:r>
      <w:r w:rsidRPr="007F09F7">
        <w:rPr>
          <w:vertAlign w:val="subscript"/>
        </w:rPr>
        <w:t>2</w:t>
      </w:r>
      <w:r w:rsidRPr="004F1EC8">
        <w:rPr>
          <w:vertAlign w:val="subscript"/>
        </w:rPr>
        <w:t>e</w:t>
      </w:r>
      <w:r w:rsidRPr="00AB325E">
        <w:t>, il est difficile, avec les outils utilisés, d’évaluer exactement le rôle respectif des politiques et mesures adoptées depuis 2018, et celui de l’actualisation des hypothèses de cadrage et de changements méthodologiques. On peut toutefois l’estimer de manière approximative :</w:t>
      </w:r>
    </w:p>
    <w:p w14:paraId="4C0425E8" w14:textId="77777777" w:rsidR="004D4A28" w:rsidRDefault="004D4A28" w:rsidP="004D4A28">
      <w:pPr>
        <w:pStyle w:val="Standard"/>
        <w:jc w:val="both"/>
        <w:rPr>
          <w:rFonts w:ascii="Times New Roman" w:hAnsi="Times New Roman"/>
          <w:sz w:val="22"/>
          <w:szCs w:val="22"/>
        </w:rPr>
      </w:pPr>
    </w:p>
    <w:p w14:paraId="562F19AF" w14:textId="77777777" w:rsidR="004D4A28" w:rsidRDefault="004D4A28" w:rsidP="004D4A28">
      <w:pPr>
        <w:pStyle w:val="Standard"/>
        <w:jc w:val="both"/>
        <w:rPr>
          <w:rFonts w:ascii="Times New Roman" w:hAnsi="Times New Roman"/>
          <w:sz w:val="22"/>
          <w:szCs w:val="22"/>
        </w:rPr>
      </w:pPr>
      <w:r>
        <w:rPr>
          <w:noProof/>
          <w:lang w:eastAsia="fr-FR" w:bidi="ar-SA"/>
        </w:rPr>
        <w:drawing>
          <wp:inline distT="0" distB="0" distL="0" distR="0" wp14:anchorId="3EEE79A9" wp14:editId="5DBE13D9">
            <wp:extent cx="6120130" cy="3748349"/>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748349"/>
                    </a:xfrm>
                    <a:prstGeom prst="rect">
                      <a:avLst/>
                    </a:prstGeom>
                  </pic:spPr>
                </pic:pic>
              </a:graphicData>
            </a:graphic>
          </wp:inline>
        </w:drawing>
      </w:r>
    </w:p>
    <w:p w14:paraId="67F937B2" w14:textId="77777777" w:rsidR="004D4A28" w:rsidRDefault="004D4A28" w:rsidP="004D4A28">
      <w:pPr>
        <w:pStyle w:val="Caption"/>
      </w:pPr>
      <w:bookmarkStart w:id="111" w:name="_Toc123916461"/>
      <w:r>
        <w:t xml:space="preserve">Figure </w:t>
      </w:r>
      <w:r w:rsidR="00757301">
        <w:fldChar w:fldCharType="begin"/>
      </w:r>
      <w:r w:rsidR="00757301">
        <w:instrText xml:space="preserve"> SEQ Figure \* ARABIC </w:instrText>
      </w:r>
      <w:r w:rsidR="00757301">
        <w:fldChar w:fldCharType="separate"/>
      </w:r>
      <w:r>
        <w:rPr>
          <w:noProof/>
        </w:rPr>
        <w:t>50</w:t>
      </w:r>
      <w:r w:rsidR="00757301">
        <w:rPr>
          <w:noProof/>
        </w:rPr>
        <w:fldChar w:fldCharType="end"/>
      </w:r>
      <w:r>
        <w:t> : Comparaison des émissions en 2030 entre l’AME 2021 et l’AMS 2018 et effet des différents facteurs</w:t>
      </w:r>
      <w:bookmarkEnd w:id="111"/>
    </w:p>
    <w:p w14:paraId="5EDAA1CC" w14:textId="77777777" w:rsidR="004D4A28" w:rsidRDefault="004D4A28" w:rsidP="004D4A28">
      <w:pPr>
        <w:pStyle w:val="Caption"/>
      </w:pPr>
      <w:r>
        <w:t>Source : MTE-DGEC</w:t>
      </w:r>
    </w:p>
    <w:p w14:paraId="047DEBCD" w14:textId="77777777" w:rsidR="004D4A28" w:rsidRDefault="004D4A28" w:rsidP="004D4A28">
      <w:pPr>
        <w:pStyle w:val="Standard"/>
        <w:jc w:val="both"/>
        <w:rPr>
          <w:rFonts w:ascii="Times New Roman" w:hAnsi="Times New Roman"/>
          <w:sz w:val="22"/>
          <w:szCs w:val="22"/>
        </w:rPr>
      </w:pPr>
      <w:r>
        <w:rPr>
          <w:noProof/>
          <w:lang w:eastAsia="fr-FR" w:bidi="ar-SA"/>
        </w:rPr>
        <w:drawing>
          <wp:inline distT="0" distB="0" distL="0" distR="0" wp14:anchorId="600C424C" wp14:editId="51584EFA">
            <wp:extent cx="6120130" cy="377971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779718"/>
                    </a:xfrm>
                    <a:prstGeom prst="rect">
                      <a:avLst/>
                    </a:prstGeom>
                  </pic:spPr>
                </pic:pic>
              </a:graphicData>
            </a:graphic>
          </wp:inline>
        </w:drawing>
      </w:r>
    </w:p>
    <w:p w14:paraId="6DCBBF08" w14:textId="77777777" w:rsidR="004D4A28" w:rsidRDefault="004D4A28" w:rsidP="004D4A28">
      <w:pPr>
        <w:pStyle w:val="Caption"/>
      </w:pPr>
      <w:bookmarkStart w:id="112" w:name="_Toc123916462"/>
      <w:r>
        <w:t xml:space="preserve">Figure </w:t>
      </w:r>
      <w:r w:rsidR="00757301">
        <w:fldChar w:fldCharType="begin"/>
      </w:r>
      <w:r w:rsidR="00757301">
        <w:instrText xml:space="preserve"> SEQ Figure \* ARABIC </w:instrText>
      </w:r>
      <w:r w:rsidR="00757301">
        <w:fldChar w:fldCharType="separate"/>
      </w:r>
      <w:r>
        <w:rPr>
          <w:noProof/>
        </w:rPr>
        <w:t>51</w:t>
      </w:r>
      <w:r w:rsidR="00757301">
        <w:rPr>
          <w:noProof/>
        </w:rPr>
        <w:fldChar w:fldCharType="end"/>
      </w:r>
      <w:r>
        <w:t> : Comparaison des émissions en 2050 entre l’AME 2021 et l’AMS 2018 et effet des différents facteurs</w:t>
      </w:r>
      <w:bookmarkEnd w:id="112"/>
    </w:p>
    <w:p w14:paraId="3C6C9283" w14:textId="77777777" w:rsidR="004D4A28" w:rsidRDefault="004D4A28" w:rsidP="004D4A28">
      <w:pPr>
        <w:pStyle w:val="Caption"/>
      </w:pPr>
      <w:r>
        <w:t>Source : MTE-DGEC</w:t>
      </w:r>
    </w:p>
    <w:p w14:paraId="2C3D8821" w14:textId="77777777" w:rsidR="004D4A28" w:rsidRDefault="004D4A28" w:rsidP="004D4A28">
      <w:pPr>
        <w:pStyle w:val="Standard"/>
        <w:jc w:val="both"/>
        <w:rPr>
          <w:rFonts w:ascii="Times New Roman" w:hAnsi="Times New Roman"/>
          <w:sz w:val="22"/>
          <w:szCs w:val="22"/>
        </w:rPr>
      </w:pPr>
    </w:p>
    <w:tbl>
      <w:tblPr>
        <w:tblStyle w:val="GridTable5Dark-Accent4"/>
        <w:tblW w:w="0" w:type="auto"/>
        <w:tblLook w:val="04A0" w:firstRow="1" w:lastRow="0" w:firstColumn="1" w:lastColumn="0" w:noHBand="0" w:noVBand="1"/>
      </w:tblPr>
      <w:tblGrid>
        <w:gridCol w:w="2213"/>
        <w:gridCol w:w="3736"/>
        <w:gridCol w:w="1860"/>
        <w:gridCol w:w="1819"/>
      </w:tblGrid>
      <w:tr w:rsidR="004D4A28" w14:paraId="4D72AC79" w14:textId="77777777" w:rsidTr="00361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4F9C19FA" w14:textId="77777777" w:rsidR="004D4A28" w:rsidRPr="00D11C15" w:rsidRDefault="004D4A28" w:rsidP="00361368">
            <w:pPr>
              <w:rPr>
                <w:b w:val="0"/>
              </w:rPr>
            </w:pPr>
            <w:r w:rsidRPr="00D11C15">
              <w:t>Catégorie</w:t>
            </w:r>
          </w:p>
        </w:tc>
        <w:tc>
          <w:tcPr>
            <w:tcW w:w="3736" w:type="dxa"/>
          </w:tcPr>
          <w:p w14:paraId="329D6A4E" w14:textId="77777777" w:rsidR="004D4A28" w:rsidRPr="00D11C15" w:rsidRDefault="004D4A28" w:rsidP="00361368">
            <w:pPr>
              <w:cnfStyle w:val="100000000000" w:firstRow="1" w:lastRow="0" w:firstColumn="0" w:lastColumn="0" w:oddVBand="0" w:evenVBand="0" w:oddHBand="0" w:evenHBand="0" w:firstRowFirstColumn="0" w:firstRowLastColumn="0" w:lastRowFirstColumn="0" w:lastRowLastColumn="0"/>
              <w:rPr>
                <w:b w:val="0"/>
              </w:rPr>
            </w:pPr>
            <w:r w:rsidRPr="00D11C15">
              <w:t>Déterminant</w:t>
            </w:r>
          </w:p>
        </w:tc>
        <w:tc>
          <w:tcPr>
            <w:tcW w:w="1860" w:type="dxa"/>
          </w:tcPr>
          <w:p w14:paraId="5C040E0C" w14:textId="77777777" w:rsidR="004D4A28" w:rsidRPr="00D11C15" w:rsidRDefault="004D4A28" w:rsidP="00361368">
            <w:pPr>
              <w:cnfStyle w:val="100000000000" w:firstRow="1" w:lastRow="0" w:firstColumn="0" w:lastColumn="0" w:oddVBand="0" w:evenVBand="0" w:oddHBand="0" w:evenHBand="0" w:firstRowFirstColumn="0" w:firstRowLastColumn="0" w:lastRowFirstColumn="0" w:lastRowLastColumn="0"/>
              <w:rPr>
                <w:b w:val="0"/>
              </w:rPr>
            </w:pPr>
            <w:r w:rsidRPr="00D11C15">
              <w:t>Impact approximatif à 2030 (Mt</w:t>
            </w:r>
            <w:r>
              <w:t>CO</w:t>
            </w:r>
            <w:r w:rsidRPr="007F09F7">
              <w:rPr>
                <w:vertAlign w:val="subscript"/>
              </w:rPr>
              <w:t>2</w:t>
            </w:r>
            <w:r w:rsidRPr="004F1EC8">
              <w:rPr>
                <w:vertAlign w:val="subscript"/>
              </w:rPr>
              <w:t>e</w:t>
            </w:r>
            <w:r w:rsidRPr="00D11C15">
              <w:t>)</w:t>
            </w:r>
          </w:p>
        </w:tc>
        <w:tc>
          <w:tcPr>
            <w:tcW w:w="1819" w:type="dxa"/>
          </w:tcPr>
          <w:p w14:paraId="229BC8CA" w14:textId="77777777" w:rsidR="004D4A28" w:rsidRPr="00D11C15" w:rsidRDefault="004D4A28" w:rsidP="00361368">
            <w:pPr>
              <w:cnfStyle w:val="100000000000" w:firstRow="1" w:lastRow="0" w:firstColumn="0" w:lastColumn="0" w:oddVBand="0" w:evenVBand="0" w:oddHBand="0" w:evenHBand="0" w:firstRowFirstColumn="0" w:firstRowLastColumn="0" w:lastRowFirstColumn="0" w:lastRowLastColumn="0"/>
              <w:rPr>
                <w:b w:val="0"/>
              </w:rPr>
            </w:pPr>
            <w:r w:rsidRPr="00D11C15">
              <w:t>Impact approximatif à 2050 (Mt</w:t>
            </w:r>
            <w:r>
              <w:t>CO</w:t>
            </w:r>
            <w:r w:rsidRPr="007F09F7">
              <w:rPr>
                <w:vertAlign w:val="subscript"/>
              </w:rPr>
              <w:t>2</w:t>
            </w:r>
            <w:r w:rsidRPr="004F1EC8">
              <w:rPr>
                <w:vertAlign w:val="subscript"/>
              </w:rPr>
              <w:t>e</w:t>
            </w:r>
            <w:r w:rsidRPr="00D11C15">
              <w:t>)</w:t>
            </w:r>
          </w:p>
        </w:tc>
      </w:tr>
      <w:tr w:rsidR="004D4A28" w14:paraId="460EF32D" w14:textId="77777777" w:rsidTr="0036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val="restart"/>
          </w:tcPr>
          <w:p w14:paraId="434F758C" w14:textId="77777777" w:rsidR="004D4A28" w:rsidRDefault="004D4A28" w:rsidP="00361368">
            <w:r>
              <w:t>Politiques et mesures</w:t>
            </w:r>
          </w:p>
        </w:tc>
        <w:tc>
          <w:tcPr>
            <w:tcW w:w="3736" w:type="dxa"/>
          </w:tcPr>
          <w:p w14:paraId="5A5D62A9" w14:textId="77777777" w:rsidR="004D4A28" w:rsidRDefault="004D4A28" w:rsidP="00361368">
            <w:pPr>
              <w:cnfStyle w:val="000000100000" w:firstRow="0" w:lastRow="0" w:firstColumn="0" w:lastColumn="0" w:oddVBand="0" w:evenVBand="0" w:oddHBand="1" w:evenHBand="0" w:firstRowFirstColumn="0" w:firstRowLastColumn="0" w:lastRowFirstColumn="0" w:lastRowLastColumn="0"/>
            </w:pPr>
            <w:r>
              <w:t xml:space="preserve">Fermeture des centrales électriques au charbon </w:t>
            </w:r>
          </w:p>
        </w:tc>
        <w:tc>
          <w:tcPr>
            <w:tcW w:w="1860" w:type="dxa"/>
          </w:tcPr>
          <w:p w14:paraId="4B9ECF53"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rsidRPr="00194FCE">
              <w:t>-4,0</w:t>
            </w:r>
          </w:p>
        </w:tc>
        <w:tc>
          <w:tcPr>
            <w:tcW w:w="1819" w:type="dxa"/>
          </w:tcPr>
          <w:p w14:paraId="26848C81"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-4</w:t>
            </w:r>
          </w:p>
        </w:tc>
      </w:tr>
      <w:tr w:rsidR="004D4A28" w14:paraId="720EFD05" w14:textId="77777777" w:rsidTr="00361368">
        <w:tc>
          <w:tcPr>
            <w:cnfStyle w:val="001000000000" w:firstRow="0" w:lastRow="0" w:firstColumn="1" w:lastColumn="0" w:oddVBand="0" w:evenVBand="0" w:oddHBand="0" w:evenHBand="0" w:firstRowFirstColumn="0" w:firstRowLastColumn="0" w:lastRowFirstColumn="0" w:lastRowLastColumn="0"/>
            <w:tcW w:w="2213" w:type="dxa"/>
            <w:vMerge/>
          </w:tcPr>
          <w:p w14:paraId="4693D5AC" w14:textId="77777777" w:rsidR="004D4A28" w:rsidRDefault="004D4A28" w:rsidP="00361368"/>
        </w:tc>
        <w:tc>
          <w:tcPr>
            <w:tcW w:w="3736" w:type="dxa"/>
          </w:tcPr>
          <w:p w14:paraId="3078F689" w14:textId="77777777" w:rsidR="004D4A28" w:rsidRDefault="004D4A28" w:rsidP="00361368">
            <w:pPr>
              <w:cnfStyle w:val="000000000000" w:firstRow="0" w:lastRow="0" w:firstColumn="0" w:lastColumn="0" w:oddVBand="0" w:evenVBand="0" w:oddHBand="0" w:evenHBand="0" w:firstRowFirstColumn="0" w:firstRowLastColumn="0" w:lastRowFirstColumn="0" w:lastRowLastColumn="0"/>
            </w:pPr>
            <w:r>
              <w:t>Décret tertiaire</w:t>
            </w:r>
          </w:p>
        </w:tc>
        <w:tc>
          <w:tcPr>
            <w:tcW w:w="1860" w:type="dxa"/>
          </w:tcPr>
          <w:p w14:paraId="2B96B173"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rsidRPr="00194FCE">
              <w:t>-4,0</w:t>
            </w:r>
          </w:p>
        </w:tc>
        <w:tc>
          <w:tcPr>
            <w:tcW w:w="1819" w:type="dxa"/>
          </w:tcPr>
          <w:p w14:paraId="4F224DC9"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-4</w:t>
            </w:r>
          </w:p>
        </w:tc>
      </w:tr>
      <w:tr w:rsidR="004D4A28" w14:paraId="5528AEF0" w14:textId="77777777" w:rsidTr="0036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tcPr>
          <w:p w14:paraId="440DA353" w14:textId="77777777" w:rsidR="004D4A28" w:rsidRDefault="004D4A28" w:rsidP="00361368"/>
        </w:tc>
        <w:tc>
          <w:tcPr>
            <w:tcW w:w="3736" w:type="dxa"/>
          </w:tcPr>
          <w:p w14:paraId="5A3F8064" w14:textId="77777777" w:rsidR="004D4A28" w:rsidRDefault="004D4A28" w:rsidP="00361368">
            <w:pPr>
              <w:cnfStyle w:val="000000100000" w:firstRow="0" w:lastRow="0" w:firstColumn="0" w:lastColumn="0" w:oddVBand="0" w:evenVBand="0" w:oddHBand="1" w:evenHBand="0" w:firstRowFirstColumn="0" w:firstRowLastColumn="0" w:lastRowFirstColumn="0" w:lastRowLastColumn="0"/>
            </w:pPr>
            <w:r>
              <w:t>Règlements européens sur les véhicules</w:t>
            </w:r>
          </w:p>
        </w:tc>
        <w:tc>
          <w:tcPr>
            <w:tcW w:w="1860" w:type="dxa"/>
          </w:tcPr>
          <w:p w14:paraId="512D62FB"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rsidRPr="00194FCE">
              <w:t>-15,0</w:t>
            </w:r>
          </w:p>
        </w:tc>
        <w:tc>
          <w:tcPr>
            <w:tcW w:w="1819" w:type="dxa"/>
          </w:tcPr>
          <w:p w14:paraId="553B0B2D"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-15</w:t>
            </w:r>
          </w:p>
        </w:tc>
      </w:tr>
      <w:tr w:rsidR="004D4A28" w14:paraId="1C3AE5A8" w14:textId="77777777" w:rsidTr="00361368">
        <w:tc>
          <w:tcPr>
            <w:cnfStyle w:val="001000000000" w:firstRow="0" w:lastRow="0" w:firstColumn="1" w:lastColumn="0" w:oddVBand="0" w:evenVBand="0" w:oddHBand="0" w:evenHBand="0" w:firstRowFirstColumn="0" w:firstRowLastColumn="0" w:lastRowFirstColumn="0" w:lastRowLastColumn="0"/>
            <w:tcW w:w="2213" w:type="dxa"/>
            <w:vMerge/>
          </w:tcPr>
          <w:p w14:paraId="14CC151E" w14:textId="77777777" w:rsidR="004D4A28" w:rsidRDefault="004D4A28" w:rsidP="00361368"/>
        </w:tc>
        <w:tc>
          <w:tcPr>
            <w:tcW w:w="3736" w:type="dxa"/>
          </w:tcPr>
          <w:p w14:paraId="7452D0E6" w14:textId="77777777" w:rsidR="004D4A28" w:rsidRDefault="004D4A28" w:rsidP="00361368">
            <w:pPr>
              <w:cnfStyle w:val="000000000000" w:firstRow="0" w:lastRow="0" w:firstColumn="0" w:lastColumn="0" w:oddVBand="0" w:evenVBand="0" w:oddHBand="0" w:evenHBand="0" w:firstRowFirstColumn="0" w:firstRowLastColumn="0" w:lastRowFirstColumn="0" w:lastRowLastColumn="0"/>
            </w:pPr>
            <w:r>
              <w:t>Récolte et produits bois</w:t>
            </w:r>
          </w:p>
        </w:tc>
        <w:tc>
          <w:tcPr>
            <w:tcW w:w="1860" w:type="dxa"/>
          </w:tcPr>
          <w:p w14:paraId="2824FFD1"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rsidRPr="00194FCE">
              <w:t>-2,0</w:t>
            </w:r>
          </w:p>
        </w:tc>
        <w:tc>
          <w:tcPr>
            <w:tcW w:w="1819" w:type="dxa"/>
          </w:tcPr>
          <w:p w14:paraId="2E76BCEF"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-3</w:t>
            </w:r>
          </w:p>
        </w:tc>
      </w:tr>
      <w:tr w:rsidR="004D4A28" w14:paraId="6BF5D49F" w14:textId="77777777" w:rsidTr="0036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val="restart"/>
          </w:tcPr>
          <w:p w14:paraId="1A8926CA" w14:textId="77777777" w:rsidR="004D4A28" w:rsidRDefault="004D4A28" w:rsidP="00361368">
            <w:r>
              <w:t>Modification du cadrage</w:t>
            </w:r>
          </w:p>
        </w:tc>
        <w:tc>
          <w:tcPr>
            <w:tcW w:w="3736" w:type="dxa"/>
          </w:tcPr>
          <w:p w14:paraId="1AA1D52C" w14:textId="77777777" w:rsidR="004D4A28" w:rsidRDefault="004D4A28" w:rsidP="00361368">
            <w:pPr>
              <w:cnfStyle w:val="000000100000" w:firstRow="0" w:lastRow="0" w:firstColumn="0" w:lastColumn="0" w:oddVBand="0" w:evenVBand="0" w:oddHBand="1" w:evenHBand="0" w:firstRowFirstColumn="0" w:firstRowLastColumn="0" w:lastRowFirstColumn="0" w:lastRowLastColumn="0"/>
            </w:pPr>
            <w:r>
              <w:t>Population</w:t>
            </w:r>
          </w:p>
        </w:tc>
        <w:tc>
          <w:tcPr>
            <w:tcW w:w="1860" w:type="dxa"/>
          </w:tcPr>
          <w:p w14:paraId="4D7BBEE4"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rsidRPr="00194FCE">
              <w:t>-3,0</w:t>
            </w:r>
          </w:p>
        </w:tc>
        <w:tc>
          <w:tcPr>
            <w:tcW w:w="1819" w:type="dxa"/>
          </w:tcPr>
          <w:p w14:paraId="1F571CBA"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-4,8</w:t>
            </w:r>
          </w:p>
        </w:tc>
      </w:tr>
      <w:tr w:rsidR="004D4A28" w14:paraId="27F68894" w14:textId="77777777" w:rsidTr="00361368">
        <w:tc>
          <w:tcPr>
            <w:cnfStyle w:val="001000000000" w:firstRow="0" w:lastRow="0" w:firstColumn="1" w:lastColumn="0" w:oddVBand="0" w:evenVBand="0" w:oddHBand="0" w:evenHBand="0" w:firstRowFirstColumn="0" w:firstRowLastColumn="0" w:lastRowFirstColumn="0" w:lastRowLastColumn="0"/>
            <w:tcW w:w="2213" w:type="dxa"/>
            <w:vMerge/>
          </w:tcPr>
          <w:p w14:paraId="50EADBC9" w14:textId="77777777" w:rsidR="004D4A28" w:rsidRDefault="004D4A28" w:rsidP="00361368"/>
        </w:tc>
        <w:tc>
          <w:tcPr>
            <w:tcW w:w="3736" w:type="dxa"/>
          </w:tcPr>
          <w:p w14:paraId="5CFE89F5" w14:textId="77777777" w:rsidR="004D4A28" w:rsidRDefault="004D4A28" w:rsidP="00361368">
            <w:pPr>
              <w:cnfStyle w:val="000000000000" w:firstRow="0" w:lastRow="0" w:firstColumn="0" w:lastColumn="0" w:oddVBand="0" w:evenVBand="0" w:oddHBand="0" w:evenHBand="0" w:firstRowFirstColumn="0" w:firstRowLastColumn="0" w:lastRowFirstColumn="0" w:lastRowLastColumn="0"/>
            </w:pPr>
            <w:r>
              <w:t>Production industrielle</w:t>
            </w:r>
          </w:p>
        </w:tc>
        <w:tc>
          <w:tcPr>
            <w:tcW w:w="1860" w:type="dxa"/>
          </w:tcPr>
          <w:p w14:paraId="2BFF50F9"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rsidRPr="00194FCE">
              <w:t>-7,6</w:t>
            </w:r>
          </w:p>
        </w:tc>
        <w:tc>
          <w:tcPr>
            <w:tcW w:w="1819" w:type="dxa"/>
          </w:tcPr>
          <w:p w14:paraId="7CD2398B"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+7</w:t>
            </w:r>
          </w:p>
        </w:tc>
      </w:tr>
      <w:tr w:rsidR="004D4A28" w14:paraId="3667D7FF" w14:textId="77777777" w:rsidTr="0036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tcPr>
          <w:p w14:paraId="37E24BA4" w14:textId="77777777" w:rsidR="004D4A28" w:rsidRDefault="004D4A28" w:rsidP="00361368"/>
        </w:tc>
        <w:tc>
          <w:tcPr>
            <w:tcW w:w="3736" w:type="dxa"/>
          </w:tcPr>
          <w:p w14:paraId="7F7C9D0E" w14:textId="77777777" w:rsidR="004D4A28" w:rsidRDefault="004D4A28" w:rsidP="00361368">
            <w:pPr>
              <w:cnfStyle w:val="000000100000" w:firstRow="0" w:lastRow="0" w:firstColumn="0" w:lastColumn="0" w:oddVBand="0" w:evenVBand="0" w:oddHBand="1" w:evenHBand="0" w:firstRowFirstColumn="0" w:firstRowLastColumn="0" w:lastRowFirstColumn="0" w:lastRowLastColumn="0"/>
            </w:pPr>
            <w:r>
              <w:t>Outre-mer</w:t>
            </w:r>
          </w:p>
        </w:tc>
        <w:tc>
          <w:tcPr>
            <w:tcW w:w="1860" w:type="dxa"/>
          </w:tcPr>
          <w:p w14:paraId="6AA2110D"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rsidRPr="00194FCE">
              <w:t>0,0</w:t>
            </w:r>
          </w:p>
        </w:tc>
        <w:tc>
          <w:tcPr>
            <w:tcW w:w="1819" w:type="dxa"/>
          </w:tcPr>
          <w:p w14:paraId="6675205F"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-2</w:t>
            </w:r>
          </w:p>
        </w:tc>
      </w:tr>
      <w:tr w:rsidR="004D4A28" w14:paraId="2BD13752" w14:textId="77777777" w:rsidTr="00361368">
        <w:tc>
          <w:tcPr>
            <w:cnfStyle w:val="001000000000" w:firstRow="0" w:lastRow="0" w:firstColumn="1" w:lastColumn="0" w:oddVBand="0" w:evenVBand="0" w:oddHBand="0" w:evenHBand="0" w:firstRowFirstColumn="0" w:firstRowLastColumn="0" w:lastRowFirstColumn="0" w:lastRowLastColumn="0"/>
            <w:tcW w:w="2213" w:type="dxa"/>
            <w:vMerge w:val="restart"/>
          </w:tcPr>
          <w:p w14:paraId="48D6124D" w14:textId="77777777" w:rsidR="004D4A28" w:rsidRDefault="004D4A28" w:rsidP="00361368">
            <w:r>
              <w:t>Modifications méthodologiques</w:t>
            </w:r>
          </w:p>
        </w:tc>
        <w:tc>
          <w:tcPr>
            <w:tcW w:w="3736" w:type="dxa"/>
          </w:tcPr>
          <w:p w14:paraId="5788E472" w14:textId="77777777" w:rsidR="004D4A28" w:rsidRDefault="004D4A28" w:rsidP="00361368">
            <w:pPr>
              <w:cnfStyle w:val="000000000000" w:firstRow="0" w:lastRow="0" w:firstColumn="0" w:lastColumn="0" w:oddVBand="0" w:evenVBand="0" w:oddHBand="0" w:evenHBand="0" w:firstRowFirstColumn="0" w:firstRowLastColumn="0" w:lastRowFirstColumn="0" w:lastRowLastColumn="0"/>
            </w:pPr>
            <w:r>
              <w:t>Nouveau calcul du rythme d’artificialisation</w:t>
            </w:r>
          </w:p>
        </w:tc>
        <w:tc>
          <w:tcPr>
            <w:tcW w:w="1860" w:type="dxa"/>
          </w:tcPr>
          <w:p w14:paraId="39B0C667"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rsidRPr="00194FCE">
              <w:t>-3,0</w:t>
            </w:r>
          </w:p>
        </w:tc>
        <w:tc>
          <w:tcPr>
            <w:tcW w:w="1819" w:type="dxa"/>
          </w:tcPr>
          <w:p w14:paraId="4DB820DA"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-4,5</w:t>
            </w:r>
          </w:p>
        </w:tc>
      </w:tr>
      <w:tr w:rsidR="004D4A28" w14:paraId="7BC39F81" w14:textId="77777777" w:rsidTr="0036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tcPr>
          <w:p w14:paraId="1443FC64" w14:textId="77777777" w:rsidR="004D4A28" w:rsidRDefault="004D4A28" w:rsidP="00361368"/>
        </w:tc>
        <w:tc>
          <w:tcPr>
            <w:tcW w:w="3736" w:type="dxa"/>
          </w:tcPr>
          <w:p w14:paraId="0F363344" w14:textId="77777777" w:rsidR="004D4A28" w:rsidRDefault="004D4A28" w:rsidP="00361368">
            <w:pPr>
              <w:cnfStyle w:val="000000100000" w:firstRow="0" w:lastRow="0" w:firstColumn="0" w:lastColumn="0" w:oddVBand="0" w:evenVBand="0" w:oddHBand="1" w:evenHBand="0" w:firstRowFirstColumn="0" w:firstRowLastColumn="0" w:lastRowFirstColumn="0" w:lastRowLastColumn="0"/>
            </w:pPr>
            <w:r>
              <w:t>Comptabilisation des émissions de méthane en décharge post-2035</w:t>
            </w:r>
          </w:p>
        </w:tc>
        <w:tc>
          <w:tcPr>
            <w:tcW w:w="1860" w:type="dxa"/>
          </w:tcPr>
          <w:p w14:paraId="2D596E41"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0</w:t>
            </w:r>
          </w:p>
        </w:tc>
        <w:tc>
          <w:tcPr>
            <w:tcW w:w="1819" w:type="dxa"/>
          </w:tcPr>
          <w:p w14:paraId="5AE77014"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+5</w:t>
            </w:r>
          </w:p>
        </w:tc>
      </w:tr>
      <w:tr w:rsidR="004D4A28" w14:paraId="28282C3B" w14:textId="77777777" w:rsidTr="00361368">
        <w:tc>
          <w:tcPr>
            <w:cnfStyle w:val="001000000000" w:firstRow="0" w:lastRow="0" w:firstColumn="1" w:lastColumn="0" w:oddVBand="0" w:evenVBand="0" w:oddHBand="0" w:evenHBand="0" w:firstRowFirstColumn="0" w:firstRowLastColumn="0" w:lastRowFirstColumn="0" w:lastRowLastColumn="0"/>
            <w:tcW w:w="2213" w:type="dxa"/>
            <w:vMerge/>
          </w:tcPr>
          <w:p w14:paraId="1ACB1BD1" w14:textId="77777777" w:rsidR="004D4A28" w:rsidRDefault="004D4A28" w:rsidP="00361368"/>
        </w:tc>
        <w:tc>
          <w:tcPr>
            <w:tcW w:w="3736" w:type="dxa"/>
          </w:tcPr>
          <w:p w14:paraId="7CF6CF74" w14:textId="77777777" w:rsidR="004D4A28" w:rsidRDefault="004D4A28" w:rsidP="00361368">
            <w:pPr>
              <w:cnfStyle w:val="000000000000" w:firstRow="0" w:lastRow="0" w:firstColumn="0" w:lastColumn="0" w:oddVBand="0" w:evenVBand="0" w:oddHBand="0" w:evenHBand="0" w:firstRowFirstColumn="0" w:firstRowLastColumn="0" w:lastRowFirstColumn="0" w:lastRowLastColumn="0"/>
            </w:pPr>
            <w:r>
              <w:t>Méthodologie de comptabilisation F-gaz</w:t>
            </w:r>
          </w:p>
        </w:tc>
        <w:tc>
          <w:tcPr>
            <w:tcW w:w="1860" w:type="dxa"/>
          </w:tcPr>
          <w:p w14:paraId="23818DA1"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rsidRPr="00194FCE">
              <w:t>-2,0</w:t>
            </w:r>
          </w:p>
        </w:tc>
        <w:tc>
          <w:tcPr>
            <w:tcW w:w="1819" w:type="dxa"/>
          </w:tcPr>
          <w:p w14:paraId="3C230FF6"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-2</w:t>
            </w:r>
          </w:p>
        </w:tc>
      </w:tr>
      <w:tr w:rsidR="004D4A28" w14:paraId="1E30CDEF" w14:textId="77777777" w:rsidTr="0036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gridSpan w:val="2"/>
          </w:tcPr>
          <w:p w14:paraId="2835A170" w14:textId="77777777" w:rsidR="004D4A28" w:rsidRDefault="004D4A28" w:rsidP="00361368">
            <w:r>
              <w:t>Total politiques et mesures</w:t>
            </w:r>
          </w:p>
        </w:tc>
        <w:tc>
          <w:tcPr>
            <w:tcW w:w="1860" w:type="dxa"/>
          </w:tcPr>
          <w:p w14:paraId="2C7EFC89"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-25</w:t>
            </w:r>
          </w:p>
        </w:tc>
        <w:tc>
          <w:tcPr>
            <w:tcW w:w="1819" w:type="dxa"/>
          </w:tcPr>
          <w:p w14:paraId="1EAAEC1D"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-26</w:t>
            </w:r>
          </w:p>
        </w:tc>
      </w:tr>
      <w:tr w:rsidR="004D4A28" w14:paraId="3C23444C" w14:textId="77777777" w:rsidTr="00361368">
        <w:tc>
          <w:tcPr>
            <w:cnfStyle w:val="001000000000" w:firstRow="0" w:lastRow="0" w:firstColumn="1" w:lastColumn="0" w:oddVBand="0" w:evenVBand="0" w:oddHBand="0" w:evenHBand="0" w:firstRowFirstColumn="0" w:firstRowLastColumn="0" w:lastRowFirstColumn="0" w:lastRowLastColumn="0"/>
            <w:tcW w:w="5949" w:type="dxa"/>
            <w:gridSpan w:val="2"/>
          </w:tcPr>
          <w:p w14:paraId="5159028B" w14:textId="77777777" w:rsidR="004D4A28" w:rsidRDefault="004D4A28" w:rsidP="00361368">
            <w:r>
              <w:t>Total cadrage</w:t>
            </w:r>
          </w:p>
        </w:tc>
        <w:tc>
          <w:tcPr>
            <w:tcW w:w="1860" w:type="dxa"/>
          </w:tcPr>
          <w:p w14:paraId="5EC37B97"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-10,6</w:t>
            </w:r>
          </w:p>
        </w:tc>
        <w:tc>
          <w:tcPr>
            <w:tcW w:w="1819" w:type="dxa"/>
          </w:tcPr>
          <w:p w14:paraId="0C693BAE"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+0,2</w:t>
            </w:r>
          </w:p>
        </w:tc>
      </w:tr>
      <w:tr w:rsidR="004D4A28" w14:paraId="7E310056" w14:textId="77777777" w:rsidTr="0036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gridSpan w:val="2"/>
          </w:tcPr>
          <w:p w14:paraId="2FFFF964" w14:textId="77777777" w:rsidR="004D4A28" w:rsidRDefault="004D4A28" w:rsidP="00361368">
            <w:r>
              <w:t>Total méthodologie</w:t>
            </w:r>
          </w:p>
        </w:tc>
        <w:tc>
          <w:tcPr>
            <w:tcW w:w="1860" w:type="dxa"/>
          </w:tcPr>
          <w:p w14:paraId="0A0F4CBF"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-5</w:t>
            </w:r>
          </w:p>
        </w:tc>
        <w:tc>
          <w:tcPr>
            <w:tcW w:w="1819" w:type="dxa"/>
          </w:tcPr>
          <w:p w14:paraId="07FFDF95" w14:textId="77777777" w:rsidR="004D4A28" w:rsidRDefault="004D4A28" w:rsidP="00361368">
            <w:pPr>
              <w:jc w:val="center"/>
              <w:cnfStyle w:val="000000100000" w:firstRow="0" w:lastRow="0" w:firstColumn="0" w:lastColumn="0" w:oddVBand="0" w:evenVBand="0" w:oddHBand="1" w:evenHBand="0" w:firstRowFirstColumn="0" w:firstRowLastColumn="0" w:lastRowFirstColumn="0" w:lastRowLastColumn="0"/>
            </w:pPr>
            <w:r>
              <w:t>-1,5</w:t>
            </w:r>
          </w:p>
        </w:tc>
      </w:tr>
      <w:tr w:rsidR="004D4A28" w14:paraId="09791C86" w14:textId="77777777" w:rsidTr="00361368">
        <w:tc>
          <w:tcPr>
            <w:cnfStyle w:val="001000000000" w:firstRow="0" w:lastRow="0" w:firstColumn="1" w:lastColumn="0" w:oddVBand="0" w:evenVBand="0" w:oddHBand="0" w:evenHBand="0" w:firstRowFirstColumn="0" w:firstRowLastColumn="0" w:lastRowFirstColumn="0" w:lastRowLastColumn="0"/>
            <w:tcW w:w="2213" w:type="dxa"/>
          </w:tcPr>
          <w:p w14:paraId="38E6DFB3" w14:textId="77777777" w:rsidR="004D4A28" w:rsidRDefault="004D4A28" w:rsidP="00361368">
            <w:r>
              <w:t>Total autres</w:t>
            </w:r>
          </w:p>
        </w:tc>
        <w:tc>
          <w:tcPr>
            <w:tcW w:w="3736" w:type="dxa"/>
          </w:tcPr>
          <w:p w14:paraId="0C20A4A1" w14:textId="77777777" w:rsidR="004D4A28" w:rsidRDefault="004D4A28" w:rsidP="00361368">
            <w:pPr>
              <w:cnfStyle w:val="000000000000" w:firstRow="0" w:lastRow="0" w:firstColumn="0" w:lastColumn="0" w:oddVBand="0" w:evenVBand="0" w:oddHBand="0" w:evenHBand="0" w:firstRowFirstColumn="0" w:firstRowLastColumn="0" w:lastRowFirstColumn="0" w:lastRowLastColumn="0"/>
            </w:pPr>
            <w:r>
              <w:t>Déterminants indéterminés ou indissociables</w:t>
            </w:r>
          </w:p>
        </w:tc>
        <w:tc>
          <w:tcPr>
            <w:tcW w:w="1860" w:type="dxa"/>
          </w:tcPr>
          <w:p w14:paraId="5B587CB8"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-9,5</w:t>
            </w:r>
          </w:p>
        </w:tc>
        <w:tc>
          <w:tcPr>
            <w:tcW w:w="1819" w:type="dxa"/>
          </w:tcPr>
          <w:p w14:paraId="6CB57C94" w14:textId="77777777" w:rsidR="004D4A28" w:rsidRDefault="004D4A28" w:rsidP="00361368">
            <w:pPr>
              <w:jc w:val="center"/>
              <w:cnfStyle w:val="000000000000" w:firstRow="0" w:lastRow="0" w:firstColumn="0" w:lastColumn="0" w:oddVBand="0" w:evenVBand="0" w:oddHBand="0" w:evenHBand="0" w:firstRowFirstColumn="0" w:firstRowLastColumn="0" w:lastRowFirstColumn="0" w:lastRowLastColumn="0"/>
            </w:pPr>
            <w:r>
              <w:t>-19</w:t>
            </w:r>
          </w:p>
        </w:tc>
      </w:tr>
    </w:tbl>
    <w:p w14:paraId="064803BF" w14:textId="77777777" w:rsidR="004D4A28" w:rsidRDefault="004D4A28" w:rsidP="004D4A28">
      <w:pPr>
        <w:pStyle w:val="Caption"/>
      </w:pPr>
      <w:bookmarkStart w:id="113" w:name="_Toc123916503"/>
      <w:r>
        <w:t xml:space="preserve">Tableau </w:t>
      </w:r>
      <w:r w:rsidR="00757301">
        <w:fldChar w:fldCharType="begin"/>
      </w:r>
      <w:r w:rsidR="00757301">
        <w:instrText xml:space="preserve"> SEQ Tableau \* ARABIC </w:instrText>
      </w:r>
      <w:r w:rsidR="00757301">
        <w:fldChar w:fldCharType="separate"/>
      </w:r>
      <w:r>
        <w:rPr>
          <w:noProof/>
        </w:rPr>
        <w:t>11</w:t>
      </w:r>
      <w:r w:rsidR="00757301">
        <w:rPr>
          <w:noProof/>
        </w:rPr>
        <w:fldChar w:fldCharType="end"/>
      </w:r>
      <w:r>
        <w:t> : Impact des différents facteurs sur le niveau d’émissions en 2030 et 2050</w:t>
      </w:r>
      <w:bookmarkEnd w:id="113"/>
    </w:p>
    <w:p w14:paraId="13C4594E" w14:textId="77777777" w:rsidR="004D4A28" w:rsidRDefault="004D4A28" w:rsidP="004D4A28">
      <w:pPr>
        <w:pStyle w:val="Caption"/>
      </w:pPr>
      <w:r>
        <w:t>Source : MTE-DGEC</w:t>
      </w:r>
    </w:p>
    <w:p w14:paraId="6EA2D189" w14:textId="77777777" w:rsidR="004D4A28" w:rsidRPr="00AB325E" w:rsidRDefault="004D4A28" w:rsidP="004D4A28">
      <w:pPr>
        <w:pStyle w:val="Standard"/>
        <w:jc w:val="both"/>
        <w:rPr>
          <w:rFonts w:ascii="Marianne" w:hAnsi="Marianne"/>
          <w:sz w:val="21"/>
        </w:rPr>
      </w:pPr>
    </w:p>
    <w:p w14:paraId="774D6A8E" w14:textId="77777777" w:rsidR="004D4A28" w:rsidRDefault="004D4A28" w:rsidP="00573042">
      <w:pPr>
        <w:pStyle w:val="titreencadre"/>
        <w:numPr>
          <w:ilvl w:val="3"/>
          <w:numId w:val="59"/>
        </w:numPr>
        <w:spacing w:before="120" w:after="60" w:line="240" w:lineRule="auto"/>
      </w:pPr>
      <w:r w:rsidRPr="00AB325E">
        <w:t>AMS 2018</w:t>
      </w:r>
    </w:p>
    <w:p w14:paraId="6FFDB81A" w14:textId="77777777" w:rsidR="004D4A28" w:rsidRPr="00AA4D70" w:rsidRDefault="004D4A28" w:rsidP="004D4A28">
      <w:pPr>
        <w:spacing w:before="240" w:after="240"/>
        <w:rPr>
          <w:rFonts w:asciiTheme="minorHAnsi" w:hAnsiTheme="minorHAnsi"/>
          <w:szCs w:val="21"/>
        </w:rPr>
      </w:pPr>
      <w:r w:rsidRPr="00AA4D70">
        <w:rPr>
          <w:rFonts w:asciiTheme="minorHAnsi" w:hAnsiTheme="minorHAnsi"/>
          <w:szCs w:val="21"/>
        </w:rPr>
        <w:t xml:space="preserve">Les émissions </w:t>
      </w:r>
      <w:r>
        <w:rPr>
          <w:rFonts w:asciiTheme="minorHAnsi" w:hAnsiTheme="minorHAnsi"/>
          <w:szCs w:val="21"/>
        </w:rPr>
        <w:t xml:space="preserve">hors UTCATF au périmètre Kyoto </w:t>
      </w:r>
      <w:r w:rsidRPr="00AA4D70">
        <w:rPr>
          <w:rFonts w:asciiTheme="minorHAnsi" w:hAnsiTheme="minorHAnsi"/>
          <w:szCs w:val="21"/>
        </w:rPr>
        <w:t>diminuent en scénario AMS pour atteindre</w:t>
      </w:r>
      <w:r w:rsidRPr="00AA4D70">
        <w:rPr>
          <w:rFonts w:ascii="Calibri" w:hAnsi="Calibri" w:cs="Calibri"/>
          <w:szCs w:val="21"/>
        </w:rPr>
        <w:t> </w:t>
      </w:r>
      <w:r w:rsidRPr="00AA4D70">
        <w:rPr>
          <w:rFonts w:asciiTheme="minorHAnsi" w:hAnsiTheme="minorHAnsi"/>
          <w:szCs w:val="21"/>
        </w:rPr>
        <w:t>:</w:t>
      </w:r>
    </w:p>
    <w:p w14:paraId="738CBAA6" w14:textId="77777777" w:rsidR="004D4A28" w:rsidRPr="006B4B07" w:rsidRDefault="004D4A28" w:rsidP="00573042">
      <w:pPr>
        <w:pStyle w:val="Standard"/>
        <w:numPr>
          <w:ilvl w:val="0"/>
          <w:numId w:val="14"/>
        </w:numPr>
        <w:jc w:val="both"/>
        <w:rPr>
          <w:rFonts w:asciiTheme="minorHAnsi" w:hAnsiTheme="minorHAnsi"/>
          <w:sz w:val="22"/>
          <w:szCs w:val="22"/>
        </w:rPr>
      </w:pPr>
      <w:r w:rsidRPr="006B4B07">
        <w:rPr>
          <w:rFonts w:asciiTheme="minorHAnsi" w:hAnsiTheme="minorHAnsi"/>
          <w:sz w:val="22"/>
          <w:szCs w:val="22"/>
        </w:rPr>
        <w:t>307 MtCO</w:t>
      </w:r>
      <w:r w:rsidRPr="006B4B07">
        <w:rPr>
          <w:rFonts w:asciiTheme="minorHAnsi" w:hAnsiTheme="minorHAnsi"/>
          <w:sz w:val="22"/>
          <w:szCs w:val="22"/>
          <w:vertAlign w:val="subscript"/>
        </w:rPr>
        <w:t>2e</w:t>
      </w:r>
      <w:r w:rsidRPr="006B4B07">
        <w:rPr>
          <w:rFonts w:asciiTheme="minorHAnsi" w:hAnsiTheme="minorHAnsi"/>
          <w:sz w:val="22"/>
          <w:szCs w:val="22"/>
        </w:rPr>
        <w:t xml:space="preserve"> en 2030, soit 43% de r</w:t>
      </w:r>
      <w:r w:rsidRPr="006B4B07">
        <w:rPr>
          <w:rFonts w:asciiTheme="minorHAnsi" w:hAnsiTheme="minorHAnsi" w:cs="Marianne"/>
          <w:sz w:val="22"/>
          <w:szCs w:val="22"/>
        </w:rPr>
        <w:t>é</w:t>
      </w:r>
      <w:r w:rsidRPr="006B4B07">
        <w:rPr>
          <w:rFonts w:asciiTheme="minorHAnsi" w:hAnsiTheme="minorHAnsi"/>
          <w:sz w:val="22"/>
          <w:szCs w:val="22"/>
        </w:rPr>
        <w:t xml:space="preserve">duction par rapport </w:t>
      </w:r>
      <w:r w:rsidRPr="006B4B07">
        <w:rPr>
          <w:rFonts w:asciiTheme="minorHAnsi" w:hAnsiTheme="minorHAnsi" w:cs="Marianne"/>
          <w:sz w:val="22"/>
          <w:szCs w:val="22"/>
        </w:rPr>
        <w:t>à</w:t>
      </w:r>
      <w:r w:rsidRPr="006B4B07">
        <w:rPr>
          <w:rFonts w:asciiTheme="minorHAnsi" w:hAnsiTheme="minorHAnsi"/>
          <w:sz w:val="22"/>
          <w:szCs w:val="22"/>
        </w:rPr>
        <w:t xml:space="preserve"> 1990</w:t>
      </w:r>
    </w:p>
    <w:p w14:paraId="78E16039" w14:textId="3D939D33" w:rsidR="004D4A28" w:rsidRPr="006B4B07" w:rsidRDefault="009433BD" w:rsidP="00573042">
      <w:pPr>
        <w:pStyle w:val="Standard"/>
        <w:numPr>
          <w:ilvl w:val="0"/>
          <w:numId w:val="14"/>
        </w:numPr>
        <w:jc w:val="both"/>
        <w:rPr>
          <w:rFonts w:asciiTheme="minorHAnsi" w:hAnsiTheme="minorHAnsi"/>
          <w:sz w:val="22"/>
          <w:szCs w:val="22"/>
        </w:rPr>
      </w:pPr>
      <w:r>
        <w:rPr>
          <w:rFonts w:asciiTheme="minorHAnsi" w:hAnsiTheme="minorHAnsi"/>
          <w:sz w:val="22"/>
          <w:szCs w:val="22"/>
        </w:rPr>
        <w:t>65</w:t>
      </w:r>
      <w:r w:rsidR="004D4A28" w:rsidRPr="006B4B07">
        <w:rPr>
          <w:rFonts w:asciiTheme="minorHAnsi" w:hAnsiTheme="minorHAnsi"/>
          <w:sz w:val="22"/>
          <w:szCs w:val="22"/>
        </w:rPr>
        <w:t xml:space="preserve"> MtCO</w:t>
      </w:r>
      <w:r w:rsidR="004D4A28" w:rsidRPr="006B4B07">
        <w:rPr>
          <w:rFonts w:asciiTheme="minorHAnsi" w:hAnsiTheme="minorHAnsi"/>
          <w:sz w:val="22"/>
          <w:szCs w:val="22"/>
          <w:vertAlign w:val="subscript"/>
        </w:rPr>
        <w:t>2e</w:t>
      </w:r>
      <w:r w:rsidR="004D4A28" w:rsidRPr="006B4B07">
        <w:rPr>
          <w:rFonts w:asciiTheme="minorHAnsi" w:hAnsiTheme="minorHAnsi"/>
          <w:sz w:val="22"/>
          <w:szCs w:val="22"/>
        </w:rPr>
        <w:t xml:space="preserve"> en 2050, soit 85% de réduction par rapport à 1990</w:t>
      </w:r>
    </w:p>
    <w:p w14:paraId="79355687" w14:textId="77777777" w:rsidR="004D4A28" w:rsidRPr="006B4B07" w:rsidRDefault="004D4A28" w:rsidP="004D4A28">
      <w:pPr>
        <w:pStyle w:val="Standard"/>
        <w:jc w:val="both"/>
        <w:rPr>
          <w:rFonts w:asciiTheme="minorHAnsi" w:hAnsiTheme="minorHAnsi"/>
          <w:sz w:val="22"/>
          <w:szCs w:val="22"/>
        </w:rPr>
      </w:pPr>
    </w:p>
    <w:p w14:paraId="0E456192" w14:textId="77777777" w:rsidR="004D4A28" w:rsidRPr="006B4B07" w:rsidRDefault="004D4A28" w:rsidP="004D4A28">
      <w:pPr>
        <w:pStyle w:val="Standard"/>
        <w:jc w:val="both"/>
        <w:rPr>
          <w:rFonts w:asciiTheme="minorHAnsi" w:hAnsiTheme="minorHAnsi"/>
          <w:sz w:val="22"/>
          <w:szCs w:val="22"/>
        </w:rPr>
      </w:pPr>
      <w:r w:rsidRPr="006B4B07">
        <w:rPr>
          <w:rFonts w:asciiTheme="minorHAnsi" w:hAnsiTheme="minorHAnsi"/>
          <w:sz w:val="22"/>
          <w:szCs w:val="22"/>
        </w:rPr>
        <w:t>La réduction des émissions est donc bien plus forte dans le scénario AMS que dans le scénario AME.</w:t>
      </w:r>
    </w:p>
    <w:p w14:paraId="16BCE081" w14:textId="77777777" w:rsidR="004D4A28" w:rsidRDefault="004D4A28" w:rsidP="004D4A28">
      <w:pPr>
        <w:pStyle w:val="Standard"/>
        <w:jc w:val="both"/>
        <w:rPr>
          <w:rFonts w:asciiTheme="minorHAnsi" w:hAnsiTheme="minorHAnsi"/>
          <w:sz w:val="21"/>
          <w:szCs w:val="21"/>
        </w:rPr>
      </w:pPr>
    </w:p>
    <w:tbl>
      <w:tblPr>
        <w:tblStyle w:val="TableGrid0"/>
        <w:tblW w:w="8814" w:type="dxa"/>
        <w:tblInd w:w="3" w:type="dxa"/>
        <w:tblCellMar>
          <w:top w:w="135" w:type="dxa"/>
          <w:left w:w="28" w:type="dxa"/>
          <w:right w:w="20" w:type="dxa"/>
        </w:tblCellMar>
        <w:tblLook w:val="04A0" w:firstRow="1" w:lastRow="0" w:firstColumn="1" w:lastColumn="0" w:noHBand="0" w:noVBand="1"/>
      </w:tblPr>
      <w:tblGrid>
        <w:gridCol w:w="952"/>
        <w:gridCol w:w="653"/>
        <w:gridCol w:w="653"/>
        <w:gridCol w:w="653"/>
        <w:gridCol w:w="653"/>
        <w:gridCol w:w="653"/>
        <w:gridCol w:w="653"/>
        <w:gridCol w:w="672"/>
        <w:gridCol w:w="672"/>
        <w:gridCol w:w="673"/>
        <w:gridCol w:w="672"/>
        <w:gridCol w:w="677"/>
        <w:gridCol w:w="578"/>
      </w:tblGrid>
      <w:tr w:rsidR="004D4A28" w14:paraId="0B87B85E" w14:textId="77777777" w:rsidTr="00361368">
        <w:trPr>
          <w:trHeight w:val="431"/>
        </w:trPr>
        <w:tc>
          <w:tcPr>
            <w:tcW w:w="600" w:type="dxa"/>
            <w:tcBorders>
              <w:top w:val="single" w:sz="2" w:space="0" w:color="FFFFFF"/>
              <w:left w:val="single" w:sz="2" w:space="0" w:color="FFFFFF"/>
              <w:bottom w:val="single" w:sz="2" w:space="0" w:color="FFFFFF"/>
              <w:right w:val="single" w:sz="2" w:space="0" w:color="FFFFFF"/>
            </w:tcBorders>
            <w:shd w:val="clear" w:color="auto" w:fill="6D2A78"/>
          </w:tcPr>
          <w:p w14:paraId="66FD6CC2" w14:textId="77777777" w:rsidR="004D4A28" w:rsidRDefault="004D4A28" w:rsidP="00361368">
            <w:pPr>
              <w:spacing w:line="259" w:lineRule="auto"/>
            </w:pPr>
            <w:r>
              <w:rPr>
                <w:color w:val="FFFFFF" w:themeColor="background1"/>
              </w:rPr>
              <w:t>AMS 2018</w:t>
            </w:r>
          </w:p>
        </w:tc>
        <w:tc>
          <w:tcPr>
            <w:tcW w:w="592"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23423BA6" w14:textId="77777777" w:rsidR="004D4A28" w:rsidRDefault="004D4A28" w:rsidP="00361368">
            <w:pPr>
              <w:spacing w:line="259" w:lineRule="auto"/>
              <w:ind w:right="4"/>
              <w:jc w:val="center"/>
            </w:pPr>
            <w:r>
              <w:rPr>
                <w:b/>
                <w:color w:val="FFFFFF"/>
                <w:sz w:val="18"/>
              </w:rPr>
              <w:t>1990</w:t>
            </w:r>
          </w:p>
        </w:tc>
        <w:tc>
          <w:tcPr>
            <w:tcW w:w="592"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3EF71BBB" w14:textId="77777777" w:rsidR="004D4A28" w:rsidRDefault="004D4A28" w:rsidP="00361368">
            <w:pPr>
              <w:spacing w:line="259" w:lineRule="auto"/>
              <w:ind w:right="6"/>
              <w:jc w:val="center"/>
              <w:rPr>
                <w:b/>
                <w:color w:val="FFFFFF"/>
                <w:sz w:val="18"/>
              </w:rPr>
            </w:pPr>
            <w:r>
              <w:rPr>
                <w:b/>
                <w:color w:val="FFFFFF"/>
                <w:sz w:val="18"/>
              </w:rPr>
              <w:t>1995</w:t>
            </w:r>
          </w:p>
        </w:tc>
        <w:tc>
          <w:tcPr>
            <w:tcW w:w="592"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28EFB944" w14:textId="77777777" w:rsidR="004D4A28" w:rsidRDefault="004D4A28" w:rsidP="00361368">
            <w:pPr>
              <w:spacing w:line="259" w:lineRule="auto"/>
              <w:ind w:right="6"/>
              <w:jc w:val="center"/>
            </w:pPr>
            <w:r>
              <w:rPr>
                <w:b/>
                <w:color w:val="FFFFFF"/>
                <w:sz w:val="18"/>
              </w:rPr>
              <w:t>2000</w:t>
            </w:r>
          </w:p>
        </w:tc>
        <w:tc>
          <w:tcPr>
            <w:tcW w:w="592"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0FA32180" w14:textId="77777777" w:rsidR="004D4A28" w:rsidRDefault="004D4A28" w:rsidP="00361368">
            <w:pPr>
              <w:spacing w:line="259" w:lineRule="auto"/>
              <w:ind w:right="4"/>
              <w:jc w:val="center"/>
            </w:pPr>
            <w:r>
              <w:rPr>
                <w:b/>
                <w:color w:val="FFFFFF"/>
                <w:sz w:val="18"/>
              </w:rPr>
              <w:t>2005</w:t>
            </w:r>
          </w:p>
        </w:tc>
        <w:tc>
          <w:tcPr>
            <w:tcW w:w="592"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0048DD08" w14:textId="77777777" w:rsidR="004D4A28" w:rsidRDefault="004D4A28" w:rsidP="00361368">
            <w:pPr>
              <w:spacing w:line="259" w:lineRule="auto"/>
              <w:ind w:right="7"/>
              <w:jc w:val="center"/>
            </w:pPr>
            <w:r>
              <w:rPr>
                <w:b/>
                <w:color w:val="FFFFFF"/>
                <w:sz w:val="18"/>
              </w:rPr>
              <w:t>2010</w:t>
            </w:r>
          </w:p>
        </w:tc>
        <w:tc>
          <w:tcPr>
            <w:tcW w:w="592"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065431DC" w14:textId="77777777" w:rsidR="004D4A28" w:rsidRDefault="004D4A28" w:rsidP="00361368">
            <w:pPr>
              <w:spacing w:line="259" w:lineRule="auto"/>
              <w:ind w:right="5"/>
              <w:jc w:val="center"/>
            </w:pPr>
            <w:r>
              <w:rPr>
                <w:b/>
                <w:color w:val="FFFFFF"/>
                <w:sz w:val="18"/>
              </w:rPr>
              <w:t>2015</w:t>
            </w:r>
          </w:p>
        </w:tc>
        <w:tc>
          <w:tcPr>
            <w:tcW w:w="79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67097001" w14:textId="77777777" w:rsidR="004D4A28" w:rsidRDefault="004D4A28" w:rsidP="00361368">
            <w:pPr>
              <w:spacing w:line="259" w:lineRule="auto"/>
              <w:ind w:right="7"/>
              <w:jc w:val="center"/>
              <w:rPr>
                <w:b/>
                <w:color w:val="FFFFFF"/>
                <w:sz w:val="18"/>
              </w:rPr>
            </w:pPr>
            <w:r>
              <w:rPr>
                <w:b/>
                <w:color w:val="FFFFFF"/>
                <w:sz w:val="18"/>
              </w:rPr>
              <w:t>2019</w:t>
            </w:r>
          </w:p>
        </w:tc>
        <w:tc>
          <w:tcPr>
            <w:tcW w:w="79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701ACF95" w14:textId="77777777" w:rsidR="004D4A28" w:rsidRDefault="004D4A28" w:rsidP="00361368">
            <w:pPr>
              <w:spacing w:line="259" w:lineRule="auto"/>
              <w:ind w:right="7"/>
              <w:jc w:val="center"/>
            </w:pPr>
            <w:r>
              <w:rPr>
                <w:b/>
                <w:color w:val="FFFFFF"/>
                <w:sz w:val="18"/>
              </w:rPr>
              <w:t>2020</w:t>
            </w:r>
          </w:p>
        </w:tc>
        <w:tc>
          <w:tcPr>
            <w:tcW w:w="797" w:type="dxa"/>
            <w:tcBorders>
              <w:top w:val="single" w:sz="2" w:space="0" w:color="FFFFFF"/>
              <w:left w:val="single" w:sz="2" w:space="0" w:color="FFFFFF"/>
              <w:bottom w:val="single" w:sz="2" w:space="0" w:color="FFFFFF"/>
              <w:right w:val="nil"/>
            </w:tcBorders>
            <w:shd w:val="clear" w:color="auto" w:fill="6D2A78"/>
            <w:vAlign w:val="center"/>
          </w:tcPr>
          <w:p w14:paraId="4F9A6C6E" w14:textId="77777777" w:rsidR="004D4A28" w:rsidRDefault="004D4A28" w:rsidP="00361368">
            <w:pPr>
              <w:spacing w:line="259" w:lineRule="auto"/>
              <w:ind w:right="4"/>
              <w:jc w:val="center"/>
            </w:pPr>
            <w:r>
              <w:rPr>
                <w:b/>
                <w:color w:val="FFFFFF"/>
                <w:sz w:val="18"/>
              </w:rPr>
              <w:t>2025</w:t>
            </w:r>
          </w:p>
        </w:tc>
        <w:tc>
          <w:tcPr>
            <w:tcW w:w="796" w:type="dxa"/>
            <w:tcBorders>
              <w:top w:val="single" w:sz="2" w:space="0" w:color="FFFFFF"/>
              <w:left w:val="nil"/>
              <w:bottom w:val="single" w:sz="2" w:space="0" w:color="FFFFFF"/>
              <w:right w:val="single" w:sz="2" w:space="0" w:color="FFFFFF"/>
            </w:tcBorders>
            <w:shd w:val="clear" w:color="auto" w:fill="6D2A78"/>
            <w:vAlign w:val="center"/>
          </w:tcPr>
          <w:p w14:paraId="723EA7FA" w14:textId="77777777" w:rsidR="004D4A28" w:rsidRDefault="004D4A28" w:rsidP="00361368">
            <w:pPr>
              <w:spacing w:line="259" w:lineRule="auto"/>
              <w:ind w:right="6"/>
              <w:jc w:val="center"/>
            </w:pPr>
            <w:r>
              <w:rPr>
                <w:b/>
                <w:color w:val="FFFFFF"/>
                <w:sz w:val="18"/>
              </w:rPr>
              <w:t>2030</w:t>
            </w:r>
          </w:p>
        </w:tc>
        <w:tc>
          <w:tcPr>
            <w:tcW w:w="799"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68BF10DD" w14:textId="77777777" w:rsidR="004D4A28" w:rsidRDefault="004D4A28" w:rsidP="00361368">
            <w:pPr>
              <w:spacing w:line="259" w:lineRule="auto"/>
              <w:jc w:val="center"/>
            </w:pPr>
            <w:r>
              <w:rPr>
                <w:b/>
                <w:color w:val="FFFFFF"/>
                <w:sz w:val="18"/>
              </w:rPr>
              <w:t>2035</w:t>
            </w:r>
          </w:p>
        </w:tc>
        <w:tc>
          <w:tcPr>
            <w:tcW w:w="678"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04F6CF9F" w14:textId="77777777" w:rsidR="004D4A28" w:rsidRDefault="004D4A28" w:rsidP="00361368">
            <w:pPr>
              <w:spacing w:line="259" w:lineRule="auto"/>
              <w:jc w:val="center"/>
              <w:rPr>
                <w:b/>
                <w:color w:val="FFFFFF"/>
                <w:sz w:val="18"/>
              </w:rPr>
            </w:pPr>
            <w:r>
              <w:rPr>
                <w:b/>
                <w:color w:val="FFFFFF"/>
                <w:sz w:val="18"/>
              </w:rPr>
              <w:t>2050</w:t>
            </w:r>
          </w:p>
        </w:tc>
      </w:tr>
      <w:tr w:rsidR="004D4A28" w14:paraId="0EFC0E7B" w14:textId="77777777" w:rsidTr="00361368">
        <w:trPr>
          <w:trHeight w:val="493"/>
        </w:trPr>
        <w:tc>
          <w:tcPr>
            <w:tcW w:w="600" w:type="dxa"/>
            <w:tcBorders>
              <w:top w:val="single" w:sz="2" w:space="0" w:color="FFFFFF"/>
              <w:left w:val="single" w:sz="2" w:space="0" w:color="6D2A78"/>
              <w:bottom w:val="single" w:sz="2" w:space="0" w:color="6D2A78"/>
              <w:right w:val="single" w:sz="2" w:space="0" w:color="6D2A78"/>
            </w:tcBorders>
            <w:vAlign w:val="center"/>
          </w:tcPr>
          <w:p w14:paraId="70B8AB10" w14:textId="77777777" w:rsidR="004D4A28" w:rsidRDefault="004D4A28" w:rsidP="00361368">
            <w:pPr>
              <w:spacing w:line="259" w:lineRule="auto"/>
              <w:ind w:left="39"/>
            </w:pPr>
            <w:r>
              <w:rPr>
                <w:sz w:val="18"/>
              </w:rPr>
              <w:t>(en kt</w:t>
            </w:r>
            <w:r>
              <w:t>CO</w:t>
            </w:r>
            <w:r w:rsidRPr="007F09F7">
              <w:rPr>
                <w:vertAlign w:val="subscript"/>
              </w:rPr>
              <w:t>2</w:t>
            </w:r>
            <w:r w:rsidRPr="004F1EC8">
              <w:rPr>
                <w:sz w:val="18"/>
                <w:vertAlign w:val="subscript"/>
              </w:rPr>
              <w:t>e</w:t>
            </w:r>
            <w:r>
              <w:rPr>
                <w:sz w:val="18"/>
              </w:rPr>
              <w:t xml:space="preserve">) </w:t>
            </w:r>
          </w:p>
        </w:tc>
        <w:tc>
          <w:tcPr>
            <w:tcW w:w="592" w:type="dxa"/>
            <w:tcBorders>
              <w:top w:val="single" w:sz="2" w:space="0" w:color="FFFFFF"/>
              <w:left w:val="single" w:sz="2" w:space="0" w:color="6D2A78"/>
              <w:bottom w:val="single" w:sz="2" w:space="0" w:color="6D2A78"/>
              <w:right w:val="single" w:sz="2" w:space="0" w:color="6D2A78"/>
            </w:tcBorders>
            <w:vAlign w:val="center"/>
          </w:tcPr>
          <w:p w14:paraId="77877880" w14:textId="77777777" w:rsidR="004D4A28" w:rsidRDefault="004D4A28" w:rsidP="00361368">
            <w:pPr>
              <w:spacing w:line="259" w:lineRule="auto"/>
              <w:jc w:val="center"/>
            </w:pPr>
            <w:r>
              <w:rPr>
                <w:sz w:val="18"/>
              </w:rPr>
              <w:t>Observé</w:t>
            </w:r>
          </w:p>
        </w:tc>
        <w:tc>
          <w:tcPr>
            <w:tcW w:w="592" w:type="dxa"/>
            <w:tcBorders>
              <w:top w:val="single" w:sz="2" w:space="0" w:color="FFFFFF"/>
              <w:left w:val="single" w:sz="2" w:space="0" w:color="6D2A78"/>
              <w:bottom w:val="single" w:sz="2" w:space="0" w:color="6D2A78"/>
              <w:right w:val="single" w:sz="2" w:space="0" w:color="6D2A78"/>
            </w:tcBorders>
            <w:vAlign w:val="center"/>
          </w:tcPr>
          <w:p w14:paraId="2326B1B9" w14:textId="77777777" w:rsidR="004D4A28" w:rsidRDefault="004D4A28" w:rsidP="00361368">
            <w:pPr>
              <w:spacing w:line="259" w:lineRule="auto"/>
              <w:jc w:val="center"/>
              <w:rPr>
                <w:sz w:val="18"/>
              </w:rPr>
            </w:pPr>
            <w:r>
              <w:rPr>
                <w:sz w:val="18"/>
              </w:rPr>
              <w:t>Observé</w:t>
            </w:r>
          </w:p>
        </w:tc>
        <w:tc>
          <w:tcPr>
            <w:tcW w:w="592" w:type="dxa"/>
            <w:tcBorders>
              <w:top w:val="single" w:sz="2" w:space="0" w:color="FFFFFF"/>
              <w:left w:val="single" w:sz="2" w:space="0" w:color="6D2A78"/>
              <w:bottom w:val="single" w:sz="2" w:space="0" w:color="6D2A78"/>
              <w:right w:val="single" w:sz="2" w:space="0" w:color="6D2A78"/>
            </w:tcBorders>
            <w:vAlign w:val="center"/>
          </w:tcPr>
          <w:p w14:paraId="1E7CDD5A" w14:textId="77777777" w:rsidR="004D4A28" w:rsidRDefault="004D4A28" w:rsidP="00361368">
            <w:pPr>
              <w:spacing w:line="259" w:lineRule="auto"/>
              <w:jc w:val="center"/>
            </w:pPr>
            <w:r>
              <w:rPr>
                <w:sz w:val="18"/>
              </w:rPr>
              <w:t>Observé</w:t>
            </w:r>
          </w:p>
        </w:tc>
        <w:tc>
          <w:tcPr>
            <w:tcW w:w="592" w:type="dxa"/>
            <w:tcBorders>
              <w:top w:val="single" w:sz="2" w:space="0" w:color="FFFFFF"/>
              <w:left w:val="single" w:sz="2" w:space="0" w:color="6D2A78"/>
              <w:bottom w:val="single" w:sz="2" w:space="0" w:color="6D2A78"/>
              <w:right w:val="single" w:sz="2" w:space="0" w:color="6D2A78"/>
            </w:tcBorders>
            <w:vAlign w:val="center"/>
          </w:tcPr>
          <w:p w14:paraId="374482B0" w14:textId="77777777" w:rsidR="004D4A28" w:rsidRDefault="004D4A28" w:rsidP="00361368">
            <w:pPr>
              <w:spacing w:line="259" w:lineRule="auto"/>
              <w:jc w:val="center"/>
            </w:pPr>
            <w:r>
              <w:rPr>
                <w:sz w:val="18"/>
              </w:rPr>
              <w:t>Observé</w:t>
            </w:r>
          </w:p>
        </w:tc>
        <w:tc>
          <w:tcPr>
            <w:tcW w:w="592" w:type="dxa"/>
            <w:tcBorders>
              <w:top w:val="single" w:sz="2" w:space="0" w:color="FFFFFF"/>
              <w:left w:val="single" w:sz="2" w:space="0" w:color="6D2A78"/>
              <w:bottom w:val="single" w:sz="2" w:space="0" w:color="6D2A78"/>
              <w:right w:val="single" w:sz="2" w:space="0" w:color="6D2A78"/>
            </w:tcBorders>
            <w:vAlign w:val="center"/>
          </w:tcPr>
          <w:p w14:paraId="5A566E3B" w14:textId="77777777" w:rsidR="004D4A28" w:rsidRDefault="004D4A28" w:rsidP="00361368">
            <w:pPr>
              <w:spacing w:line="259" w:lineRule="auto"/>
              <w:jc w:val="center"/>
            </w:pPr>
            <w:r>
              <w:rPr>
                <w:sz w:val="18"/>
              </w:rPr>
              <w:t>Observé</w:t>
            </w:r>
          </w:p>
        </w:tc>
        <w:tc>
          <w:tcPr>
            <w:tcW w:w="592" w:type="dxa"/>
            <w:tcBorders>
              <w:top w:val="single" w:sz="2" w:space="0" w:color="FFFFFF"/>
              <w:left w:val="single" w:sz="2" w:space="0" w:color="6D2A78"/>
              <w:bottom w:val="single" w:sz="2" w:space="0" w:color="6D2A78"/>
              <w:right w:val="single" w:sz="2" w:space="0" w:color="6D2A78"/>
            </w:tcBorders>
            <w:vAlign w:val="center"/>
          </w:tcPr>
          <w:p w14:paraId="40CFB489" w14:textId="77777777" w:rsidR="004D4A28" w:rsidRDefault="004D4A28" w:rsidP="00361368">
            <w:pPr>
              <w:spacing w:line="259" w:lineRule="auto"/>
              <w:jc w:val="center"/>
            </w:pPr>
            <w:r>
              <w:rPr>
                <w:sz w:val="18"/>
              </w:rPr>
              <w:t>Observé</w:t>
            </w:r>
          </w:p>
        </w:tc>
        <w:tc>
          <w:tcPr>
            <w:tcW w:w="796" w:type="dxa"/>
            <w:tcBorders>
              <w:top w:val="single" w:sz="2" w:space="0" w:color="FFFFFF"/>
              <w:left w:val="single" w:sz="2" w:space="0" w:color="6D2A78"/>
              <w:bottom w:val="single" w:sz="2" w:space="0" w:color="6D2A78"/>
              <w:right w:val="single" w:sz="2" w:space="0" w:color="6D2A78"/>
            </w:tcBorders>
            <w:vAlign w:val="center"/>
          </w:tcPr>
          <w:p w14:paraId="7B4DC335" w14:textId="77777777" w:rsidR="004D4A28" w:rsidRDefault="004D4A28" w:rsidP="00361368">
            <w:pPr>
              <w:spacing w:line="259" w:lineRule="auto"/>
              <w:jc w:val="center"/>
              <w:rPr>
                <w:sz w:val="18"/>
              </w:rPr>
            </w:pPr>
            <w:r>
              <w:rPr>
                <w:sz w:val="18"/>
              </w:rPr>
              <w:t>Observé</w:t>
            </w:r>
          </w:p>
        </w:tc>
        <w:tc>
          <w:tcPr>
            <w:tcW w:w="796" w:type="dxa"/>
            <w:tcBorders>
              <w:top w:val="single" w:sz="2" w:space="0" w:color="FFFFFF"/>
              <w:left w:val="single" w:sz="2" w:space="0" w:color="6D2A78"/>
              <w:bottom w:val="single" w:sz="2" w:space="0" w:color="6D2A78"/>
              <w:right w:val="single" w:sz="2" w:space="0" w:color="6D2A78"/>
            </w:tcBorders>
            <w:vAlign w:val="center"/>
          </w:tcPr>
          <w:p w14:paraId="7146C77B" w14:textId="77777777" w:rsidR="004D4A28" w:rsidRDefault="004D4A28" w:rsidP="00361368">
            <w:pPr>
              <w:spacing w:line="259" w:lineRule="auto"/>
              <w:jc w:val="center"/>
            </w:pPr>
            <w:r>
              <w:rPr>
                <w:sz w:val="18"/>
              </w:rPr>
              <w:t>Projeté</w:t>
            </w:r>
          </w:p>
        </w:tc>
        <w:tc>
          <w:tcPr>
            <w:tcW w:w="797" w:type="dxa"/>
            <w:tcBorders>
              <w:top w:val="single" w:sz="2" w:space="0" w:color="FFFFFF"/>
              <w:left w:val="single" w:sz="2" w:space="0" w:color="6D2A78"/>
              <w:bottom w:val="single" w:sz="2" w:space="0" w:color="6D2A78"/>
              <w:right w:val="single" w:sz="2" w:space="0" w:color="6D2A78"/>
            </w:tcBorders>
            <w:vAlign w:val="center"/>
          </w:tcPr>
          <w:p w14:paraId="435FA402" w14:textId="77777777" w:rsidR="004D4A28" w:rsidRDefault="004D4A28" w:rsidP="00361368">
            <w:pPr>
              <w:spacing w:line="259" w:lineRule="auto"/>
              <w:jc w:val="center"/>
            </w:pPr>
            <w:r>
              <w:rPr>
                <w:sz w:val="18"/>
              </w:rPr>
              <w:t>Projeté</w:t>
            </w:r>
          </w:p>
        </w:tc>
        <w:tc>
          <w:tcPr>
            <w:tcW w:w="796" w:type="dxa"/>
            <w:tcBorders>
              <w:top w:val="single" w:sz="2" w:space="0" w:color="FFFFFF"/>
              <w:left w:val="single" w:sz="2" w:space="0" w:color="6D2A78"/>
              <w:bottom w:val="single" w:sz="2" w:space="0" w:color="6D2A78"/>
              <w:right w:val="single" w:sz="2" w:space="0" w:color="6D2A78"/>
            </w:tcBorders>
            <w:vAlign w:val="center"/>
          </w:tcPr>
          <w:p w14:paraId="4723B0FA" w14:textId="77777777" w:rsidR="004D4A28" w:rsidRDefault="004D4A28" w:rsidP="00361368">
            <w:pPr>
              <w:spacing w:line="259" w:lineRule="auto"/>
              <w:jc w:val="center"/>
            </w:pPr>
            <w:r>
              <w:rPr>
                <w:sz w:val="18"/>
              </w:rPr>
              <w:t>Projeté</w:t>
            </w:r>
          </w:p>
        </w:tc>
        <w:tc>
          <w:tcPr>
            <w:tcW w:w="799" w:type="dxa"/>
            <w:tcBorders>
              <w:top w:val="single" w:sz="2" w:space="0" w:color="FFFFFF"/>
              <w:left w:val="single" w:sz="2" w:space="0" w:color="6D2A78"/>
              <w:bottom w:val="single" w:sz="2" w:space="0" w:color="6D2A78"/>
              <w:right w:val="single" w:sz="2" w:space="0" w:color="6D2A78"/>
            </w:tcBorders>
            <w:vAlign w:val="center"/>
          </w:tcPr>
          <w:p w14:paraId="3F492EE7" w14:textId="77777777" w:rsidR="004D4A28" w:rsidRDefault="004D4A28" w:rsidP="00361368">
            <w:pPr>
              <w:spacing w:line="259" w:lineRule="auto"/>
              <w:jc w:val="center"/>
            </w:pPr>
            <w:r>
              <w:rPr>
                <w:sz w:val="18"/>
              </w:rPr>
              <w:t>Projeté</w:t>
            </w:r>
          </w:p>
        </w:tc>
        <w:tc>
          <w:tcPr>
            <w:tcW w:w="678" w:type="dxa"/>
            <w:tcBorders>
              <w:top w:val="single" w:sz="2" w:space="0" w:color="FFFFFF"/>
              <w:left w:val="single" w:sz="2" w:space="0" w:color="6D2A78"/>
              <w:bottom w:val="single" w:sz="2" w:space="0" w:color="6D2A78"/>
              <w:right w:val="single" w:sz="2" w:space="0" w:color="6D2A78"/>
            </w:tcBorders>
            <w:vAlign w:val="center"/>
          </w:tcPr>
          <w:p w14:paraId="759923B7" w14:textId="77777777" w:rsidR="004D4A28" w:rsidRDefault="004D4A28" w:rsidP="00361368">
            <w:pPr>
              <w:spacing w:line="259" w:lineRule="auto"/>
              <w:jc w:val="center"/>
              <w:rPr>
                <w:sz w:val="18"/>
              </w:rPr>
            </w:pPr>
            <w:r>
              <w:rPr>
                <w:sz w:val="18"/>
              </w:rPr>
              <w:t>Projeté</w:t>
            </w:r>
          </w:p>
        </w:tc>
      </w:tr>
      <w:tr w:rsidR="004D4A28" w14:paraId="1C2FD826" w14:textId="77777777" w:rsidTr="00361368">
        <w:trPr>
          <w:trHeight w:val="490"/>
        </w:trPr>
        <w:tc>
          <w:tcPr>
            <w:tcW w:w="600"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6C446D8" w14:textId="77777777" w:rsidR="004D4A28" w:rsidRDefault="004D4A28" w:rsidP="00361368">
            <w:pPr>
              <w:spacing w:line="259" w:lineRule="auto"/>
              <w:ind w:right="9"/>
              <w:jc w:val="center"/>
            </w:pPr>
            <w:r>
              <w:rPr>
                <w:sz w:val="18"/>
              </w:rPr>
              <w:t xml:space="preserve">Ensemble (hors UTCATF) </w:t>
            </w:r>
          </w:p>
        </w:tc>
        <w:tc>
          <w:tcPr>
            <w:tcW w:w="592"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62DEB537"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b/>
                <w:sz w:val="18"/>
              </w:rPr>
              <w:t>544086</w:t>
            </w:r>
          </w:p>
        </w:tc>
        <w:tc>
          <w:tcPr>
            <w:tcW w:w="592"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4DAFCCA"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b/>
                <w:sz w:val="18"/>
              </w:rPr>
              <w:t>536475</w:t>
            </w:r>
          </w:p>
        </w:tc>
        <w:tc>
          <w:tcPr>
            <w:tcW w:w="592"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302083E3"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549005</w:t>
            </w:r>
          </w:p>
        </w:tc>
        <w:tc>
          <w:tcPr>
            <w:tcW w:w="592"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6A705F46"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551391</w:t>
            </w:r>
          </w:p>
        </w:tc>
        <w:tc>
          <w:tcPr>
            <w:tcW w:w="592"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403E907"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507468</w:t>
            </w:r>
          </w:p>
        </w:tc>
        <w:tc>
          <w:tcPr>
            <w:tcW w:w="592"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550FA143"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457923</w:t>
            </w:r>
          </w:p>
        </w:tc>
        <w:tc>
          <w:tcPr>
            <w:tcW w:w="79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53AA5A96" w14:textId="77777777" w:rsidR="004D4A28" w:rsidRPr="00FF40B8" w:rsidRDefault="004D4A28" w:rsidP="00361368">
            <w:pPr>
              <w:spacing w:line="259" w:lineRule="auto"/>
              <w:ind w:left="58"/>
              <w:jc w:val="center"/>
              <w:rPr>
                <w:b/>
                <w:sz w:val="18"/>
              </w:rPr>
            </w:pPr>
            <w:r w:rsidRPr="00361368">
              <w:rPr>
                <w:rFonts w:ascii="Calibri" w:hAnsi="Calibri" w:cs="Calibri"/>
                <w:b/>
                <w:sz w:val="18"/>
              </w:rPr>
              <w:t>434539</w:t>
            </w:r>
          </w:p>
        </w:tc>
        <w:tc>
          <w:tcPr>
            <w:tcW w:w="79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961FEC3" w14:textId="77777777" w:rsidR="004D4A28" w:rsidRPr="00361368" w:rsidRDefault="004D4A28" w:rsidP="00361368">
            <w:pPr>
              <w:spacing w:line="259" w:lineRule="auto"/>
              <w:ind w:left="58"/>
              <w:jc w:val="center"/>
              <w:rPr>
                <w:b/>
                <w:sz w:val="18"/>
              </w:rPr>
            </w:pPr>
            <w:r w:rsidRPr="00361368">
              <w:rPr>
                <w:rFonts w:ascii="Calibri" w:hAnsi="Calibri"/>
                <w:b/>
                <w:color w:val="000000"/>
                <w:sz w:val="18"/>
              </w:rPr>
              <w:t>434378</w:t>
            </w:r>
          </w:p>
        </w:tc>
        <w:tc>
          <w:tcPr>
            <w:tcW w:w="797"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F77699D" w14:textId="77777777" w:rsidR="004D4A28" w:rsidRPr="00361368" w:rsidRDefault="004D4A28" w:rsidP="00361368">
            <w:pPr>
              <w:spacing w:line="259" w:lineRule="auto"/>
              <w:ind w:left="59"/>
              <w:jc w:val="center"/>
              <w:rPr>
                <w:b/>
                <w:sz w:val="18"/>
              </w:rPr>
            </w:pPr>
            <w:r w:rsidRPr="00361368">
              <w:rPr>
                <w:rFonts w:ascii="Calibri" w:hAnsi="Calibri"/>
                <w:b/>
                <w:color w:val="000000"/>
                <w:sz w:val="18"/>
              </w:rPr>
              <w:t>367661</w:t>
            </w:r>
          </w:p>
        </w:tc>
        <w:tc>
          <w:tcPr>
            <w:tcW w:w="79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331B7FA8" w14:textId="77777777" w:rsidR="004D4A28" w:rsidRPr="00361368" w:rsidRDefault="004D4A28" w:rsidP="00361368">
            <w:pPr>
              <w:spacing w:line="259" w:lineRule="auto"/>
              <w:ind w:left="58"/>
              <w:jc w:val="center"/>
              <w:rPr>
                <w:b/>
                <w:sz w:val="18"/>
              </w:rPr>
            </w:pPr>
            <w:r w:rsidRPr="00361368">
              <w:rPr>
                <w:rFonts w:ascii="Calibri" w:hAnsi="Calibri"/>
                <w:b/>
                <w:color w:val="000000"/>
                <w:sz w:val="18"/>
              </w:rPr>
              <w:t>307094</w:t>
            </w:r>
          </w:p>
        </w:tc>
        <w:tc>
          <w:tcPr>
            <w:tcW w:w="799"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0FD1EC8" w14:textId="77777777" w:rsidR="004D4A28" w:rsidRPr="00361368" w:rsidRDefault="004D4A28" w:rsidP="00361368">
            <w:pPr>
              <w:spacing w:line="259" w:lineRule="auto"/>
              <w:ind w:left="59"/>
              <w:jc w:val="center"/>
              <w:rPr>
                <w:b/>
                <w:sz w:val="18"/>
              </w:rPr>
            </w:pPr>
            <w:r w:rsidRPr="00361368">
              <w:rPr>
                <w:rFonts w:ascii="Calibri" w:hAnsi="Calibri"/>
                <w:b/>
                <w:color w:val="000000"/>
                <w:sz w:val="18"/>
              </w:rPr>
              <w:t>247697</w:t>
            </w:r>
          </w:p>
        </w:tc>
        <w:tc>
          <w:tcPr>
            <w:tcW w:w="678"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992B4D3" w14:textId="77777777" w:rsidR="004D4A28" w:rsidRPr="00FF40B8" w:rsidRDefault="004D4A28" w:rsidP="00361368">
            <w:pPr>
              <w:spacing w:line="259" w:lineRule="auto"/>
              <w:ind w:left="59"/>
              <w:jc w:val="center"/>
              <w:rPr>
                <w:b/>
                <w:sz w:val="18"/>
              </w:rPr>
            </w:pPr>
            <w:r w:rsidRPr="00361368">
              <w:rPr>
                <w:rFonts w:ascii="Calibri" w:hAnsi="Calibri"/>
                <w:b/>
                <w:color w:val="000000"/>
                <w:sz w:val="18"/>
              </w:rPr>
              <w:t>64551</w:t>
            </w:r>
          </w:p>
        </w:tc>
      </w:tr>
      <w:tr w:rsidR="004D4A28" w14:paraId="74445C54" w14:textId="77777777" w:rsidTr="00361368">
        <w:trPr>
          <w:trHeight w:val="492"/>
        </w:trPr>
        <w:tc>
          <w:tcPr>
            <w:tcW w:w="600" w:type="dxa"/>
            <w:tcBorders>
              <w:top w:val="single" w:sz="2" w:space="0" w:color="6D2A78"/>
              <w:left w:val="single" w:sz="2" w:space="0" w:color="6D2A78"/>
              <w:bottom w:val="single" w:sz="2" w:space="0" w:color="6D2A78"/>
              <w:right w:val="single" w:sz="2" w:space="0" w:color="6D2A78"/>
            </w:tcBorders>
            <w:vAlign w:val="center"/>
          </w:tcPr>
          <w:p w14:paraId="7283E6F2" w14:textId="77777777" w:rsidR="004D4A28" w:rsidRDefault="004D4A28" w:rsidP="00361368">
            <w:pPr>
              <w:spacing w:line="259" w:lineRule="auto"/>
              <w:ind w:left="144"/>
            </w:pPr>
            <w:r>
              <w:rPr>
                <w:sz w:val="18"/>
              </w:rPr>
              <w:t xml:space="preserve">Ensemble (avec UTCATF) </w:t>
            </w:r>
          </w:p>
        </w:tc>
        <w:tc>
          <w:tcPr>
            <w:tcW w:w="592" w:type="dxa"/>
            <w:tcBorders>
              <w:top w:val="single" w:sz="2" w:space="0" w:color="6D2A78"/>
              <w:left w:val="single" w:sz="2" w:space="0" w:color="6D2A78"/>
              <w:bottom w:val="single" w:sz="2" w:space="0" w:color="6D2A78"/>
              <w:right w:val="single" w:sz="2" w:space="0" w:color="6D2A78"/>
            </w:tcBorders>
            <w:vAlign w:val="center"/>
          </w:tcPr>
          <w:p w14:paraId="493FB425"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b/>
                <w:sz w:val="18"/>
              </w:rPr>
              <w:t>520100</w:t>
            </w:r>
          </w:p>
        </w:tc>
        <w:tc>
          <w:tcPr>
            <w:tcW w:w="592" w:type="dxa"/>
            <w:tcBorders>
              <w:top w:val="single" w:sz="2" w:space="0" w:color="6D2A78"/>
              <w:left w:val="single" w:sz="2" w:space="0" w:color="6D2A78"/>
              <w:bottom w:val="single" w:sz="2" w:space="0" w:color="6D2A78"/>
              <w:right w:val="single" w:sz="2" w:space="0" w:color="6D2A78"/>
            </w:tcBorders>
            <w:vAlign w:val="center"/>
          </w:tcPr>
          <w:p w14:paraId="2BEECE61"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b/>
                <w:sz w:val="18"/>
              </w:rPr>
              <w:t>511596</w:t>
            </w:r>
          </w:p>
        </w:tc>
        <w:tc>
          <w:tcPr>
            <w:tcW w:w="592" w:type="dxa"/>
            <w:tcBorders>
              <w:top w:val="single" w:sz="2" w:space="0" w:color="6D2A78"/>
              <w:left w:val="single" w:sz="2" w:space="0" w:color="6D2A78"/>
              <w:bottom w:val="single" w:sz="2" w:space="0" w:color="6D2A78"/>
              <w:right w:val="single" w:sz="2" w:space="0" w:color="6D2A78"/>
            </w:tcBorders>
            <w:vAlign w:val="center"/>
          </w:tcPr>
          <w:p w14:paraId="0370180A"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529295</w:t>
            </w:r>
          </w:p>
        </w:tc>
        <w:tc>
          <w:tcPr>
            <w:tcW w:w="592" w:type="dxa"/>
            <w:tcBorders>
              <w:top w:val="single" w:sz="2" w:space="0" w:color="6D2A78"/>
              <w:left w:val="single" w:sz="2" w:space="0" w:color="6D2A78"/>
              <w:bottom w:val="single" w:sz="2" w:space="0" w:color="6D2A78"/>
              <w:right w:val="single" w:sz="2" w:space="0" w:color="6D2A78"/>
            </w:tcBorders>
            <w:vAlign w:val="center"/>
          </w:tcPr>
          <w:p w14:paraId="7E56DEF7"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504079</w:t>
            </w:r>
          </w:p>
        </w:tc>
        <w:tc>
          <w:tcPr>
            <w:tcW w:w="592" w:type="dxa"/>
            <w:tcBorders>
              <w:top w:val="single" w:sz="2" w:space="0" w:color="6D2A78"/>
              <w:left w:val="single" w:sz="2" w:space="0" w:color="6D2A78"/>
              <w:bottom w:val="single" w:sz="2" w:space="0" w:color="6D2A78"/>
              <w:right w:val="single" w:sz="2" w:space="0" w:color="6D2A78"/>
            </w:tcBorders>
            <w:vAlign w:val="center"/>
          </w:tcPr>
          <w:p w14:paraId="65B4B7CB"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469112</w:t>
            </w:r>
          </w:p>
        </w:tc>
        <w:tc>
          <w:tcPr>
            <w:tcW w:w="592" w:type="dxa"/>
            <w:tcBorders>
              <w:top w:val="single" w:sz="2" w:space="0" w:color="6D2A78"/>
              <w:left w:val="single" w:sz="2" w:space="0" w:color="6D2A78"/>
              <w:bottom w:val="single" w:sz="2" w:space="0" w:color="6D2A78"/>
              <w:right w:val="single" w:sz="2" w:space="0" w:color="6D2A78"/>
            </w:tcBorders>
            <w:vAlign w:val="center"/>
          </w:tcPr>
          <w:p w14:paraId="60FBCF92" w14:textId="77777777" w:rsidR="004D4A28" w:rsidRPr="00361368" w:rsidRDefault="004D4A28" w:rsidP="00361368">
            <w:pPr>
              <w:spacing w:line="259" w:lineRule="auto"/>
              <w:ind w:left="57"/>
              <w:jc w:val="center"/>
              <w:rPr>
                <w:rFonts w:ascii="Calibri" w:hAnsi="Calibri"/>
                <w:b/>
                <w:color w:val="000000"/>
                <w:sz w:val="18"/>
                <w:szCs w:val="20"/>
              </w:rPr>
            </w:pPr>
            <w:r w:rsidRPr="00361368">
              <w:rPr>
                <w:rFonts w:ascii="Calibri" w:hAnsi="Calibri" w:cs="Calibri"/>
                <w:b/>
                <w:sz w:val="18"/>
              </w:rPr>
              <w:t>423346</w:t>
            </w:r>
          </w:p>
        </w:tc>
        <w:tc>
          <w:tcPr>
            <w:tcW w:w="796" w:type="dxa"/>
            <w:tcBorders>
              <w:top w:val="single" w:sz="2" w:space="0" w:color="6D2A78"/>
              <w:left w:val="single" w:sz="2" w:space="0" w:color="6D2A78"/>
              <w:bottom w:val="single" w:sz="2" w:space="0" w:color="6D2A78"/>
              <w:right w:val="single" w:sz="2" w:space="0" w:color="6D2A78"/>
            </w:tcBorders>
            <w:vAlign w:val="center"/>
          </w:tcPr>
          <w:p w14:paraId="3756F24D" w14:textId="77777777" w:rsidR="004D4A28" w:rsidRPr="00FF40B8" w:rsidRDefault="004D4A28" w:rsidP="00361368">
            <w:pPr>
              <w:spacing w:line="259" w:lineRule="auto"/>
              <w:ind w:left="57"/>
              <w:jc w:val="center"/>
              <w:rPr>
                <w:b/>
                <w:sz w:val="18"/>
              </w:rPr>
            </w:pPr>
            <w:r w:rsidRPr="00361368">
              <w:rPr>
                <w:rFonts w:ascii="Calibri" w:hAnsi="Calibri" w:cs="Calibri"/>
                <w:b/>
                <w:sz w:val="18"/>
              </w:rPr>
              <w:t>422251</w:t>
            </w:r>
          </w:p>
        </w:tc>
        <w:tc>
          <w:tcPr>
            <w:tcW w:w="796" w:type="dxa"/>
            <w:tcBorders>
              <w:top w:val="single" w:sz="2" w:space="0" w:color="6D2A78"/>
              <w:left w:val="single" w:sz="2" w:space="0" w:color="6D2A78"/>
              <w:bottom w:val="single" w:sz="2" w:space="0" w:color="6D2A78"/>
              <w:right w:val="single" w:sz="2" w:space="0" w:color="6D2A78"/>
            </w:tcBorders>
            <w:vAlign w:val="center"/>
          </w:tcPr>
          <w:p w14:paraId="1D9A3AC8" w14:textId="77777777" w:rsidR="004D4A28" w:rsidRPr="00361368" w:rsidRDefault="004D4A28" w:rsidP="00361368">
            <w:pPr>
              <w:spacing w:line="259" w:lineRule="auto"/>
              <w:ind w:left="57"/>
              <w:jc w:val="center"/>
              <w:rPr>
                <w:b/>
                <w:sz w:val="18"/>
              </w:rPr>
            </w:pPr>
            <w:r w:rsidRPr="00361368">
              <w:rPr>
                <w:rFonts w:ascii="Calibri" w:hAnsi="Calibri"/>
                <w:b/>
                <w:color w:val="000000"/>
                <w:sz w:val="18"/>
              </w:rPr>
              <w:t>395383</w:t>
            </w:r>
          </w:p>
        </w:tc>
        <w:tc>
          <w:tcPr>
            <w:tcW w:w="797" w:type="dxa"/>
            <w:tcBorders>
              <w:top w:val="single" w:sz="2" w:space="0" w:color="6D2A78"/>
              <w:left w:val="single" w:sz="2" w:space="0" w:color="6D2A78"/>
              <w:bottom w:val="single" w:sz="2" w:space="0" w:color="6D2A78"/>
              <w:right w:val="single" w:sz="2" w:space="0" w:color="6D2A78"/>
            </w:tcBorders>
            <w:vAlign w:val="center"/>
          </w:tcPr>
          <w:p w14:paraId="40CDD715" w14:textId="77777777" w:rsidR="004D4A28" w:rsidRPr="00361368" w:rsidRDefault="004D4A28" w:rsidP="00361368">
            <w:pPr>
              <w:spacing w:line="259" w:lineRule="auto"/>
              <w:ind w:left="58"/>
              <w:jc w:val="center"/>
              <w:rPr>
                <w:b/>
                <w:sz w:val="18"/>
              </w:rPr>
            </w:pPr>
            <w:r w:rsidRPr="00361368">
              <w:rPr>
                <w:rFonts w:ascii="Calibri" w:hAnsi="Calibri"/>
                <w:b/>
                <w:color w:val="000000"/>
                <w:sz w:val="18"/>
              </w:rPr>
              <w:t>329989</w:t>
            </w:r>
          </w:p>
        </w:tc>
        <w:tc>
          <w:tcPr>
            <w:tcW w:w="796" w:type="dxa"/>
            <w:tcBorders>
              <w:top w:val="single" w:sz="2" w:space="0" w:color="6D2A78"/>
              <w:left w:val="single" w:sz="2" w:space="0" w:color="6D2A78"/>
              <w:bottom w:val="single" w:sz="2" w:space="0" w:color="6D2A78"/>
              <w:right w:val="single" w:sz="2" w:space="0" w:color="6D2A78"/>
            </w:tcBorders>
            <w:vAlign w:val="center"/>
          </w:tcPr>
          <w:p w14:paraId="33C124F5" w14:textId="77777777" w:rsidR="004D4A28" w:rsidRPr="00361368" w:rsidRDefault="004D4A28" w:rsidP="00361368">
            <w:pPr>
              <w:spacing w:line="259" w:lineRule="auto"/>
              <w:ind w:left="58"/>
              <w:jc w:val="center"/>
              <w:rPr>
                <w:b/>
                <w:sz w:val="18"/>
              </w:rPr>
            </w:pPr>
            <w:r w:rsidRPr="00361368">
              <w:rPr>
                <w:rFonts w:ascii="Calibri" w:hAnsi="Calibri"/>
                <w:b/>
                <w:color w:val="000000"/>
                <w:sz w:val="18"/>
              </w:rPr>
              <w:t>266934</w:t>
            </w:r>
          </w:p>
        </w:tc>
        <w:tc>
          <w:tcPr>
            <w:tcW w:w="799" w:type="dxa"/>
            <w:tcBorders>
              <w:top w:val="single" w:sz="2" w:space="0" w:color="6D2A78"/>
              <w:left w:val="single" w:sz="2" w:space="0" w:color="6D2A78"/>
              <w:bottom w:val="single" w:sz="2" w:space="0" w:color="6D2A78"/>
              <w:right w:val="single" w:sz="2" w:space="0" w:color="6D2A78"/>
            </w:tcBorders>
            <w:vAlign w:val="center"/>
          </w:tcPr>
          <w:p w14:paraId="13B3AD2A" w14:textId="77777777" w:rsidR="004D4A28" w:rsidRPr="00361368" w:rsidRDefault="004D4A28" w:rsidP="00361368">
            <w:pPr>
              <w:keepNext/>
              <w:spacing w:line="259" w:lineRule="auto"/>
              <w:ind w:left="63"/>
              <w:jc w:val="center"/>
              <w:rPr>
                <w:b/>
                <w:sz w:val="18"/>
              </w:rPr>
            </w:pPr>
            <w:r w:rsidRPr="00361368">
              <w:rPr>
                <w:rFonts w:ascii="Calibri" w:hAnsi="Calibri"/>
                <w:b/>
                <w:color w:val="000000"/>
                <w:sz w:val="18"/>
              </w:rPr>
              <w:t>202492</w:t>
            </w:r>
          </w:p>
        </w:tc>
        <w:tc>
          <w:tcPr>
            <w:tcW w:w="678" w:type="dxa"/>
            <w:tcBorders>
              <w:top w:val="single" w:sz="2" w:space="0" w:color="6D2A78"/>
              <w:left w:val="single" w:sz="2" w:space="0" w:color="6D2A78"/>
              <w:bottom w:val="single" w:sz="2" w:space="0" w:color="6D2A78"/>
              <w:right w:val="single" w:sz="2" w:space="0" w:color="6D2A78"/>
            </w:tcBorders>
            <w:vAlign w:val="center"/>
          </w:tcPr>
          <w:p w14:paraId="6F06D5C8" w14:textId="77777777" w:rsidR="004D4A28" w:rsidRPr="00FF40B8" w:rsidRDefault="004D4A28" w:rsidP="00361368">
            <w:pPr>
              <w:keepNext/>
              <w:spacing w:line="259" w:lineRule="auto"/>
              <w:ind w:left="63"/>
              <w:jc w:val="center"/>
              <w:rPr>
                <w:b/>
                <w:sz w:val="18"/>
              </w:rPr>
            </w:pPr>
            <w:r w:rsidRPr="00361368">
              <w:rPr>
                <w:rFonts w:ascii="Calibri" w:hAnsi="Calibri"/>
                <w:b/>
                <w:color w:val="000000"/>
                <w:sz w:val="18"/>
              </w:rPr>
              <w:t>-2597</w:t>
            </w:r>
          </w:p>
        </w:tc>
      </w:tr>
    </w:tbl>
    <w:p w14:paraId="7D96FA53" w14:textId="77777777" w:rsidR="004D4A28" w:rsidRDefault="004D4A28" w:rsidP="004D4A28">
      <w:pPr>
        <w:pStyle w:val="Caption"/>
      </w:pPr>
      <w:bookmarkStart w:id="114" w:name="_Toc123916504"/>
      <w:r>
        <w:t xml:space="preserve">Tableau </w:t>
      </w:r>
      <w:r w:rsidR="00757301">
        <w:fldChar w:fldCharType="begin"/>
      </w:r>
      <w:r w:rsidR="00757301">
        <w:instrText xml:space="preserve"> SEQ Tableau \* ARABIC </w:instrText>
      </w:r>
      <w:r w:rsidR="00757301">
        <w:fldChar w:fldCharType="separate"/>
      </w:r>
      <w:r>
        <w:rPr>
          <w:noProof/>
        </w:rPr>
        <w:t>12</w:t>
      </w:r>
      <w:r w:rsidR="00757301">
        <w:rPr>
          <w:noProof/>
        </w:rPr>
        <w:fldChar w:fldCharType="end"/>
      </w:r>
      <w:r>
        <w:t> : Projections d’émissions de GES (en ktCO</w:t>
      </w:r>
      <w:r w:rsidRPr="007F09F7">
        <w:rPr>
          <w:vertAlign w:val="subscript"/>
        </w:rPr>
        <w:t>2</w:t>
      </w:r>
      <w:r w:rsidRPr="004F1EC8">
        <w:rPr>
          <w:vertAlign w:val="subscript"/>
        </w:rPr>
        <w:t>e</w:t>
      </w:r>
      <w:r>
        <w:t>) au périmètre Kyoto dans le scénario AMS 2018 (avec mesures supplémentaires)</w:t>
      </w:r>
      <w:bookmarkEnd w:id="114"/>
    </w:p>
    <w:p w14:paraId="240E2D14" w14:textId="77777777" w:rsidR="004D4A28" w:rsidRPr="00AB325E" w:rsidRDefault="004D4A28" w:rsidP="004D4A28">
      <w:pPr>
        <w:pStyle w:val="Caption"/>
        <w:rPr>
          <w:rFonts w:asciiTheme="minorHAnsi" w:hAnsiTheme="minorHAnsi"/>
          <w:sz w:val="21"/>
          <w:szCs w:val="21"/>
        </w:rPr>
      </w:pPr>
      <w:r>
        <w:t>Source : Inventaire CCNUCC, Citepa/MTE, soumission 2022 et projections d’émissions MTE, 2018</w:t>
      </w:r>
    </w:p>
    <w:p w14:paraId="4EE41389" w14:textId="77777777" w:rsidR="004D4A28" w:rsidRDefault="004D4A28" w:rsidP="004D4A28">
      <w:pPr>
        <w:spacing w:before="240" w:after="240"/>
        <w:jc w:val="center"/>
      </w:pPr>
    </w:p>
    <w:p w14:paraId="1ECE3C3F" w14:textId="77777777" w:rsidR="004D4A28" w:rsidRDefault="004D4A28" w:rsidP="004D4A28">
      <w:pPr>
        <w:pStyle w:val="Caption"/>
        <w:jc w:val="center"/>
      </w:pPr>
      <w:bookmarkStart w:id="115" w:name="_Toc123916463"/>
      <w:r>
        <w:rPr>
          <w:noProof/>
        </w:rPr>
        <w:drawing>
          <wp:inline distT="0" distB="0" distL="0" distR="0" wp14:anchorId="43DA9FD7" wp14:editId="3532DED6">
            <wp:extent cx="4587240" cy="2656115"/>
            <wp:effectExtent l="0" t="0" r="3810" b="11430"/>
            <wp:docPr id="28706" name="Graphique 28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EA0FAE"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52</w:t>
      </w:r>
      <w:r w:rsidR="00757301">
        <w:rPr>
          <w:noProof/>
        </w:rPr>
        <w:fldChar w:fldCharType="end"/>
      </w:r>
      <w:r>
        <w:t> : Trajectoire des émissions hors UTCATF jusqu’à 2050</w:t>
      </w:r>
      <w:bookmarkEnd w:id="115"/>
    </w:p>
    <w:p w14:paraId="76687B65" w14:textId="77777777" w:rsidR="004D4A28" w:rsidRDefault="004D4A28" w:rsidP="004D4A28">
      <w:pPr>
        <w:pStyle w:val="Caption"/>
      </w:pPr>
      <w:r>
        <w:t>Source : DGEC</w:t>
      </w:r>
    </w:p>
    <w:p w14:paraId="2152D531" w14:textId="77777777" w:rsidR="004D4A28" w:rsidRDefault="004D4A28" w:rsidP="004D4A28">
      <w:pPr>
        <w:spacing w:before="240" w:after="240"/>
        <w:jc w:val="center"/>
      </w:pPr>
    </w:p>
    <w:p w14:paraId="01C98A41" w14:textId="77777777" w:rsidR="004D4A28" w:rsidRDefault="004D4A28" w:rsidP="004D4A28">
      <w:pPr>
        <w:pStyle w:val="Caption"/>
        <w:jc w:val="center"/>
      </w:pPr>
      <w:bookmarkStart w:id="116" w:name="_Toc123916464"/>
      <w:r w:rsidRPr="00364545">
        <w:rPr>
          <w:noProof/>
        </w:rPr>
        <w:drawing>
          <wp:inline distT="0" distB="0" distL="0" distR="0" wp14:anchorId="7B9B8883" wp14:editId="18D10274">
            <wp:extent cx="4572000" cy="2743200"/>
            <wp:effectExtent l="0" t="0" r="0" b="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C97DBC"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53</w:t>
      </w:r>
      <w:r w:rsidR="00757301">
        <w:rPr>
          <w:noProof/>
        </w:rPr>
        <w:fldChar w:fldCharType="end"/>
      </w:r>
      <w:r>
        <w:t> : Trajectoire des émissions avec UTCATF jusqu’à 2050</w:t>
      </w:r>
      <w:bookmarkEnd w:id="116"/>
    </w:p>
    <w:p w14:paraId="6BE96FE3" w14:textId="77777777" w:rsidR="004D4A28" w:rsidRDefault="004D4A28" w:rsidP="004D4A28">
      <w:pPr>
        <w:pStyle w:val="Caption"/>
      </w:pPr>
      <w:r>
        <w:t>Source : DGEC</w:t>
      </w:r>
    </w:p>
    <w:p w14:paraId="75763918" w14:textId="77777777" w:rsidR="004D4A28" w:rsidRPr="0057120A" w:rsidRDefault="004D4A28" w:rsidP="00573042">
      <w:pPr>
        <w:pStyle w:val="Titre2Niveau2"/>
        <w:numPr>
          <w:ilvl w:val="0"/>
          <w:numId w:val="59"/>
        </w:numPr>
        <w:ind w:right="27"/>
      </w:pPr>
      <w:bookmarkStart w:id="117" w:name="_Toc121215529"/>
      <w:bookmarkStart w:id="118" w:name="_Toc121215530"/>
      <w:bookmarkStart w:id="119" w:name="_Toc123916324"/>
      <w:bookmarkStart w:id="120" w:name="_Toc138344613"/>
      <w:bookmarkEnd w:id="117"/>
      <w:r w:rsidRPr="008136D9">
        <w:t>Couverture et présentation</w:t>
      </w:r>
      <w:bookmarkStart w:id="121" w:name="_Toc121215531"/>
      <w:bookmarkStart w:id="122" w:name="_Toc121431032"/>
      <w:bookmarkStart w:id="123" w:name="_Toc121431369"/>
      <w:bookmarkStart w:id="124" w:name="_Toc121431530"/>
      <w:bookmarkStart w:id="125" w:name="_Toc121431692"/>
      <w:bookmarkStart w:id="126" w:name="_Toc121431855"/>
      <w:bookmarkStart w:id="127" w:name="_Toc121432017"/>
      <w:bookmarkStart w:id="128" w:name="_Toc121215532"/>
      <w:bookmarkStart w:id="129" w:name="_Toc121431033"/>
      <w:bookmarkStart w:id="130" w:name="_Toc121431370"/>
      <w:bookmarkStart w:id="131" w:name="_Toc121431531"/>
      <w:bookmarkStart w:id="132" w:name="_Toc121431693"/>
      <w:bookmarkStart w:id="133" w:name="_Toc121431856"/>
      <w:bookmarkStart w:id="134" w:name="_Toc121432018"/>
      <w:bookmarkEnd w:id="118"/>
      <w:bookmarkEnd w:id="11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20"/>
    </w:p>
    <w:p w14:paraId="537941A2" w14:textId="77777777" w:rsidR="004D4A28" w:rsidRPr="00BA4A6C" w:rsidRDefault="004D4A28" w:rsidP="00573042">
      <w:pPr>
        <w:pStyle w:val="Titre3Niveau3"/>
        <w:numPr>
          <w:ilvl w:val="1"/>
          <w:numId w:val="59"/>
        </w:numPr>
        <w:spacing w:before="480" w:after="240" w:line="240" w:lineRule="exact"/>
        <w:ind w:right="1701"/>
      </w:pPr>
      <w:bookmarkStart w:id="135" w:name="_Toc123916325"/>
      <w:bookmarkStart w:id="136" w:name="_Toc138344614"/>
      <w:r>
        <w:t>Évolution par secteur d’activités</w:t>
      </w:r>
      <w:bookmarkEnd w:id="135"/>
      <w:bookmarkEnd w:id="136"/>
    </w:p>
    <w:p w14:paraId="6DD7BDB0" w14:textId="77777777" w:rsidR="004D4A28" w:rsidRPr="0045532B" w:rsidRDefault="004D4A28" w:rsidP="004D4A28">
      <w:pPr>
        <w:rPr>
          <w:szCs w:val="21"/>
        </w:rPr>
      </w:pPr>
      <w:r>
        <w:rPr>
          <w:szCs w:val="21"/>
        </w:rPr>
        <w:t>Les tableaux et graphiques ci-dessous présentent la ventilation par secteur d’activité des projections d’émissions de la France à l’horizon 2020 et 2030, dans un premier temps par grand secteur d’activité, puis en sous-détaillant le secteur énergie. Les résultats sont présentés en utilisant les catégories CRF définies dans les lignes directrices du GIEC pour les inventaires nationaux de GES.</w:t>
      </w:r>
    </w:p>
    <w:p w14:paraId="089500FA" w14:textId="77777777" w:rsidR="004D4A28" w:rsidRPr="0057120A" w:rsidRDefault="004D4A28" w:rsidP="00573042">
      <w:pPr>
        <w:pStyle w:val="Titre4niveau4"/>
        <w:numPr>
          <w:ilvl w:val="2"/>
          <w:numId w:val="59"/>
        </w:numPr>
        <w:spacing w:before="240"/>
      </w:pPr>
      <w:r w:rsidRPr="0057120A">
        <w:t xml:space="preserve">Présentation par macro-secteur (énergie, agriculture, procédés industriels et traitement des déchets) </w:t>
      </w:r>
    </w:p>
    <w:p w14:paraId="575329FF" w14:textId="77777777" w:rsidR="004D4A28" w:rsidRDefault="004D4A28" w:rsidP="004D4A28"/>
    <w:p w14:paraId="2C7EF7CD" w14:textId="77777777" w:rsidR="004D4A28" w:rsidRDefault="004D4A28" w:rsidP="00573042">
      <w:pPr>
        <w:pStyle w:val="titreencadre"/>
        <w:numPr>
          <w:ilvl w:val="3"/>
          <w:numId w:val="59"/>
        </w:numPr>
        <w:spacing w:before="120" w:after="60" w:line="240" w:lineRule="auto"/>
      </w:pPr>
      <w:r>
        <w:t>AME 2021</w:t>
      </w:r>
    </w:p>
    <w:tbl>
      <w:tblPr>
        <w:tblStyle w:val="TableGrid0"/>
        <w:tblW w:w="10709" w:type="dxa"/>
        <w:tblInd w:w="10" w:type="dxa"/>
        <w:tblLayout w:type="fixed"/>
        <w:tblCellMar>
          <w:top w:w="40" w:type="dxa"/>
          <w:left w:w="28" w:type="dxa"/>
          <w:right w:w="3" w:type="dxa"/>
        </w:tblCellMar>
        <w:tblLook w:val="04A0" w:firstRow="1" w:lastRow="0" w:firstColumn="1" w:lastColumn="0" w:noHBand="0" w:noVBand="1"/>
      </w:tblPr>
      <w:tblGrid>
        <w:gridCol w:w="1405"/>
        <w:gridCol w:w="775"/>
        <w:gridCol w:w="775"/>
        <w:gridCol w:w="775"/>
        <w:gridCol w:w="776"/>
        <w:gridCol w:w="775"/>
        <w:gridCol w:w="775"/>
        <w:gridCol w:w="776"/>
        <w:gridCol w:w="775"/>
        <w:gridCol w:w="775"/>
        <w:gridCol w:w="776"/>
        <w:gridCol w:w="775"/>
        <w:gridCol w:w="776"/>
      </w:tblGrid>
      <w:tr w:rsidR="004D4A28" w14:paraId="5F2B4D10" w14:textId="77777777" w:rsidTr="00361368">
        <w:trPr>
          <w:trHeight w:val="400"/>
        </w:trPr>
        <w:tc>
          <w:tcPr>
            <w:tcW w:w="1405" w:type="dxa"/>
            <w:tcBorders>
              <w:top w:val="single" w:sz="2" w:space="0" w:color="000000"/>
              <w:left w:val="single" w:sz="2" w:space="0" w:color="000000"/>
              <w:bottom w:val="single" w:sz="2" w:space="0" w:color="000000"/>
              <w:right w:val="single" w:sz="2" w:space="0" w:color="000000"/>
            </w:tcBorders>
            <w:shd w:val="clear" w:color="auto" w:fill="6D2A78"/>
          </w:tcPr>
          <w:p w14:paraId="1DF536FC" w14:textId="77777777" w:rsidR="004D4A28" w:rsidRPr="00921C44" w:rsidRDefault="004D4A28" w:rsidP="00361368">
            <w:pPr>
              <w:spacing w:line="259" w:lineRule="auto"/>
              <w:rPr>
                <w:b/>
              </w:rPr>
            </w:pPr>
            <w:r w:rsidRPr="00921C44">
              <w:rPr>
                <w:b/>
                <w:color w:val="FFFFFF" w:themeColor="background1"/>
              </w:rPr>
              <w:t>AME 21</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634B2E46" w14:textId="77777777" w:rsidR="004D4A28" w:rsidRDefault="004D4A28" w:rsidP="00361368">
            <w:pPr>
              <w:spacing w:line="259" w:lineRule="auto"/>
              <w:ind w:right="28"/>
              <w:jc w:val="center"/>
            </w:pPr>
            <w:r>
              <w:rPr>
                <w:b/>
                <w:color w:val="FFFFFF"/>
                <w:sz w:val="18"/>
              </w:rPr>
              <w:t xml:space="preserve">1990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563B0D45" w14:textId="77777777" w:rsidR="004D4A28" w:rsidRDefault="004D4A28" w:rsidP="00361368">
            <w:pPr>
              <w:spacing w:line="259" w:lineRule="auto"/>
              <w:ind w:right="26"/>
              <w:jc w:val="center"/>
              <w:rPr>
                <w:b/>
                <w:color w:val="FFFFFF"/>
                <w:sz w:val="18"/>
              </w:rPr>
            </w:pPr>
            <w:r>
              <w:rPr>
                <w:b/>
                <w:color w:val="FFFFFF"/>
                <w:sz w:val="18"/>
              </w:rPr>
              <w:t>1995</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278E1BD" w14:textId="77777777" w:rsidR="004D4A28" w:rsidRDefault="004D4A28" w:rsidP="00361368">
            <w:pPr>
              <w:spacing w:line="259" w:lineRule="auto"/>
              <w:ind w:right="26"/>
              <w:jc w:val="center"/>
            </w:pPr>
            <w:r>
              <w:rPr>
                <w:b/>
                <w:color w:val="FFFFFF"/>
                <w:sz w:val="18"/>
              </w:rPr>
              <w:t xml:space="preserve">2000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6278E90C" w14:textId="77777777" w:rsidR="004D4A28" w:rsidRDefault="004D4A28" w:rsidP="00361368">
            <w:pPr>
              <w:spacing w:line="259" w:lineRule="auto"/>
              <w:ind w:right="28"/>
              <w:jc w:val="center"/>
            </w:pPr>
            <w:r>
              <w:rPr>
                <w:b/>
                <w:color w:val="FFFFFF"/>
                <w:sz w:val="18"/>
              </w:rPr>
              <w:t xml:space="preserve">2005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539165F2" w14:textId="77777777" w:rsidR="004D4A28" w:rsidRDefault="004D4A28" w:rsidP="00361368">
            <w:pPr>
              <w:spacing w:line="259" w:lineRule="auto"/>
              <w:ind w:right="26"/>
              <w:jc w:val="center"/>
            </w:pPr>
            <w:r>
              <w:rPr>
                <w:b/>
                <w:color w:val="FFFFFF"/>
                <w:sz w:val="18"/>
              </w:rPr>
              <w:t xml:space="preserve">2010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0C00E709" w14:textId="77777777" w:rsidR="004D4A28" w:rsidRDefault="004D4A28" w:rsidP="00361368">
            <w:pPr>
              <w:spacing w:line="259" w:lineRule="auto"/>
              <w:ind w:right="28"/>
              <w:jc w:val="center"/>
            </w:pPr>
            <w:r>
              <w:rPr>
                <w:b/>
                <w:color w:val="FFFFFF"/>
                <w:sz w:val="18"/>
              </w:rPr>
              <w:t xml:space="preserve">2015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19ABE9E3" w14:textId="77777777" w:rsidR="004D4A28" w:rsidRDefault="004D4A28" w:rsidP="00361368">
            <w:pPr>
              <w:spacing w:line="259" w:lineRule="auto"/>
              <w:ind w:right="26"/>
              <w:jc w:val="center"/>
            </w:pPr>
            <w:r>
              <w:t>2019</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733863FB" w14:textId="77777777" w:rsidR="004D4A28" w:rsidRDefault="004D4A28" w:rsidP="00361368">
            <w:pPr>
              <w:spacing w:line="259" w:lineRule="auto"/>
              <w:ind w:right="28"/>
              <w:jc w:val="center"/>
            </w:pPr>
            <w:r>
              <w:rPr>
                <w:b/>
                <w:color w:val="FFFFFF"/>
                <w:sz w:val="18"/>
              </w:rPr>
              <w:t xml:space="preserve">2020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55608F11" w14:textId="77777777" w:rsidR="004D4A28" w:rsidRDefault="004D4A28" w:rsidP="00361368">
            <w:pPr>
              <w:spacing w:line="259" w:lineRule="auto"/>
              <w:ind w:right="26"/>
              <w:jc w:val="center"/>
            </w:pPr>
            <w:r>
              <w:rPr>
                <w:b/>
                <w:color w:val="FFFFFF"/>
                <w:sz w:val="18"/>
              </w:rPr>
              <w:t>2025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745D54D1" w14:textId="77777777" w:rsidR="004D4A28" w:rsidRDefault="004D4A28" w:rsidP="00361368">
            <w:pPr>
              <w:spacing w:line="259" w:lineRule="auto"/>
              <w:ind w:right="27"/>
              <w:jc w:val="center"/>
            </w:pPr>
            <w:r>
              <w:rPr>
                <w:b/>
                <w:color w:val="FFFFFF"/>
                <w:sz w:val="18"/>
              </w:rPr>
              <w:t xml:space="preserve">2030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B8BC75E" w14:textId="77777777" w:rsidR="004D4A28" w:rsidRDefault="004D4A28" w:rsidP="00361368">
            <w:pPr>
              <w:spacing w:line="259" w:lineRule="auto"/>
              <w:ind w:right="27"/>
              <w:jc w:val="center"/>
              <w:rPr>
                <w:b/>
                <w:color w:val="FFFFFF"/>
                <w:sz w:val="18"/>
              </w:rPr>
            </w:pPr>
            <w:r>
              <w:rPr>
                <w:b/>
                <w:color w:val="FFFFFF"/>
                <w:sz w:val="18"/>
              </w:rPr>
              <w:t>2035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7C6C3B49" w14:textId="77777777" w:rsidR="004D4A28" w:rsidRDefault="004D4A28" w:rsidP="00361368">
            <w:pPr>
              <w:spacing w:line="259" w:lineRule="auto"/>
              <w:ind w:right="27"/>
              <w:jc w:val="center"/>
              <w:rPr>
                <w:b/>
                <w:color w:val="FFFFFF"/>
                <w:sz w:val="18"/>
              </w:rPr>
            </w:pPr>
            <w:r>
              <w:rPr>
                <w:b/>
                <w:color w:val="FFFFFF"/>
                <w:sz w:val="18"/>
              </w:rPr>
              <w:t>2050</w:t>
            </w:r>
          </w:p>
        </w:tc>
      </w:tr>
      <w:tr w:rsidR="004D4A28" w14:paraId="06080943" w14:textId="77777777" w:rsidTr="00361368">
        <w:trPr>
          <w:trHeight w:val="347"/>
        </w:trPr>
        <w:tc>
          <w:tcPr>
            <w:tcW w:w="1405" w:type="dxa"/>
            <w:tcBorders>
              <w:top w:val="single" w:sz="2" w:space="0" w:color="000000"/>
              <w:left w:val="single" w:sz="2" w:space="0" w:color="000000"/>
              <w:bottom w:val="single" w:sz="2" w:space="0" w:color="000000"/>
              <w:right w:val="single" w:sz="2" w:space="0" w:color="000000"/>
            </w:tcBorders>
          </w:tcPr>
          <w:p w14:paraId="1B384E3C" w14:textId="77777777" w:rsidR="004D4A28" w:rsidRDefault="004D4A28" w:rsidP="00361368">
            <w:pPr>
              <w:spacing w:line="259" w:lineRule="auto"/>
            </w:pPr>
            <w:r>
              <w:rPr>
                <w:sz w:val="18"/>
              </w:rPr>
              <w:t xml:space="preserve"> </w:t>
            </w:r>
          </w:p>
        </w:tc>
        <w:tc>
          <w:tcPr>
            <w:tcW w:w="5427" w:type="dxa"/>
            <w:gridSpan w:val="7"/>
            <w:tcBorders>
              <w:top w:val="single" w:sz="2" w:space="0" w:color="000000"/>
              <w:left w:val="single" w:sz="2" w:space="0" w:color="000000"/>
              <w:bottom w:val="single" w:sz="2" w:space="0" w:color="000000"/>
              <w:right w:val="single" w:sz="2" w:space="0" w:color="000000"/>
            </w:tcBorders>
          </w:tcPr>
          <w:p w14:paraId="5A1E0B18" w14:textId="77777777" w:rsidR="004D4A28" w:rsidRDefault="004D4A28" w:rsidP="00361368">
            <w:pPr>
              <w:spacing w:line="259" w:lineRule="auto"/>
              <w:ind w:left="76"/>
              <w:jc w:val="center"/>
            </w:pPr>
            <w:r>
              <w:rPr>
                <w:b/>
                <w:color w:val="6D2A78"/>
                <w:sz w:val="18"/>
              </w:rPr>
              <w:t>Observé</w:t>
            </w:r>
          </w:p>
        </w:tc>
        <w:tc>
          <w:tcPr>
            <w:tcW w:w="3877" w:type="dxa"/>
            <w:gridSpan w:val="5"/>
            <w:tcBorders>
              <w:top w:val="single" w:sz="2" w:space="0" w:color="000000"/>
              <w:left w:val="single" w:sz="2" w:space="0" w:color="000000"/>
              <w:bottom w:val="single" w:sz="2" w:space="0" w:color="000000"/>
              <w:right w:val="single" w:sz="2" w:space="0" w:color="000000"/>
            </w:tcBorders>
          </w:tcPr>
          <w:p w14:paraId="4D9C7381" w14:textId="77777777" w:rsidR="004D4A28" w:rsidRDefault="004D4A28" w:rsidP="00361368">
            <w:pPr>
              <w:spacing w:line="259" w:lineRule="auto"/>
              <w:ind w:left="75"/>
              <w:jc w:val="center"/>
              <w:rPr>
                <w:b/>
                <w:color w:val="6D2A78"/>
                <w:sz w:val="18"/>
              </w:rPr>
            </w:pPr>
            <w:r>
              <w:rPr>
                <w:b/>
                <w:color w:val="6D2A78"/>
                <w:sz w:val="18"/>
              </w:rPr>
              <w:t>Projeté</w:t>
            </w:r>
          </w:p>
        </w:tc>
      </w:tr>
      <w:tr w:rsidR="004D4A28" w14:paraId="23F86DBC"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7D580A4E" w14:textId="77777777" w:rsidR="004D4A28" w:rsidRDefault="004D4A28" w:rsidP="00361368">
            <w:pPr>
              <w:spacing w:line="259" w:lineRule="auto"/>
              <w:jc w:val="left"/>
            </w:pPr>
            <w:r>
              <w:rPr>
                <w:sz w:val="18"/>
              </w:rPr>
              <w:t xml:space="preserve">Énergie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59050AA" w14:textId="77777777" w:rsidR="004D4A28" w:rsidRDefault="004D4A28" w:rsidP="00361368">
            <w:pPr>
              <w:spacing w:line="259" w:lineRule="auto"/>
              <w:jc w:val="center"/>
            </w:pPr>
            <w:r>
              <w:rPr>
                <w:sz w:val="18"/>
                <w:szCs w:val="18"/>
              </w:rPr>
              <w:t>367272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C736D2F" w14:textId="77777777" w:rsidR="004D4A28" w:rsidRPr="00AB5735" w:rsidRDefault="004D4A28" w:rsidP="00361368">
            <w:pPr>
              <w:spacing w:line="259" w:lineRule="auto"/>
              <w:ind w:left="56"/>
              <w:jc w:val="center"/>
              <w:rPr>
                <w:sz w:val="18"/>
                <w:szCs w:val="18"/>
              </w:rPr>
            </w:pPr>
            <w:r>
              <w:rPr>
                <w:sz w:val="18"/>
                <w:szCs w:val="18"/>
              </w:rPr>
              <w:t>366079</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330A5B3" w14:textId="77777777" w:rsidR="004D4A28" w:rsidRDefault="004D4A28" w:rsidP="00361368">
            <w:pPr>
              <w:spacing w:line="259" w:lineRule="auto"/>
              <w:ind w:left="56"/>
              <w:jc w:val="center"/>
            </w:pPr>
            <w:r>
              <w:rPr>
                <w:sz w:val="18"/>
                <w:szCs w:val="18"/>
              </w:rPr>
              <w:t>381989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C51A729" w14:textId="77777777" w:rsidR="004D4A28" w:rsidRDefault="004D4A28" w:rsidP="00361368">
            <w:pPr>
              <w:spacing w:line="259" w:lineRule="auto"/>
              <w:ind w:left="55"/>
              <w:jc w:val="center"/>
            </w:pPr>
            <w:r>
              <w:rPr>
                <w:sz w:val="18"/>
                <w:szCs w:val="18"/>
              </w:rPr>
              <w:t>390391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3868F5C" w14:textId="77777777" w:rsidR="004D4A28" w:rsidRDefault="004D4A28" w:rsidP="00361368">
            <w:pPr>
              <w:spacing w:line="259" w:lineRule="auto"/>
              <w:ind w:left="56"/>
              <w:jc w:val="center"/>
            </w:pPr>
            <w:r>
              <w:rPr>
                <w:sz w:val="18"/>
                <w:szCs w:val="18"/>
              </w:rPr>
              <w:t>357711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C36907D" w14:textId="77777777" w:rsidR="004D4A28" w:rsidRDefault="004D4A28" w:rsidP="00361368">
            <w:pPr>
              <w:spacing w:line="259" w:lineRule="auto"/>
              <w:ind w:left="55"/>
              <w:jc w:val="center"/>
            </w:pPr>
            <w:r>
              <w:rPr>
                <w:sz w:val="18"/>
                <w:szCs w:val="18"/>
              </w:rPr>
              <w:t>313634</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045203F9" w14:textId="77777777" w:rsidR="004D4A28" w:rsidRDefault="004D4A28" w:rsidP="00361368">
            <w:pPr>
              <w:spacing w:line="259" w:lineRule="auto"/>
              <w:ind w:left="56"/>
              <w:jc w:val="center"/>
            </w:pPr>
            <w:r>
              <w:rPr>
                <w:sz w:val="18"/>
                <w:szCs w:val="18"/>
              </w:rPr>
              <w:t>297313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6F24F9" w14:textId="77777777" w:rsidR="004D4A28" w:rsidRPr="00921C44" w:rsidRDefault="004D4A28" w:rsidP="00361368">
            <w:pPr>
              <w:spacing w:line="259" w:lineRule="auto"/>
              <w:ind w:left="56"/>
              <w:jc w:val="center"/>
              <w:rPr>
                <w:sz w:val="18"/>
                <w:szCs w:val="18"/>
              </w:rPr>
            </w:pPr>
            <w:r w:rsidRPr="00364545">
              <w:rPr>
                <w:sz w:val="18"/>
              </w:rPr>
              <w:t>264395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EA432B" w14:textId="77777777" w:rsidR="004D4A28" w:rsidRPr="00921C44" w:rsidRDefault="004D4A28" w:rsidP="00361368">
            <w:pPr>
              <w:spacing w:line="259" w:lineRule="auto"/>
              <w:ind w:left="56"/>
              <w:jc w:val="center"/>
              <w:rPr>
                <w:sz w:val="18"/>
                <w:szCs w:val="18"/>
              </w:rPr>
            </w:pPr>
            <w:r w:rsidRPr="00364545">
              <w:rPr>
                <w:sz w:val="18"/>
              </w:rPr>
              <w:t>261598</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1F92E1" w14:textId="77777777" w:rsidR="004D4A28" w:rsidRPr="00921C44" w:rsidRDefault="004D4A28" w:rsidP="00361368">
            <w:pPr>
              <w:spacing w:line="259" w:lineRule="auto"/>
              <w:ind w:left="56"/>
              <w:jc w:val="center"/>
              <w:rPr>
                <w:sz w:val="18"/>
                <w:szCs w:val="18"/>
              </w:rPr>
            </w:pPr>
            <w:r w:rsidRPr="00364545">
              <w:rPr>
                <w:sz w:val="18"/>
              </w:rPr>
              <w:t>240639</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527571" w14:textId="77777777" w:rsidR="004D4A28" w:rsidRPr="00921C44" w:rsidRDefault="004D4A28" w:rsidP="00361368">
            <w:pPr>
              <w:spacing w:line="259" w:lineRule="auto"/>
              <w:ind w:left="56"/>
              <w:jc w:val="center"/>
              <w:rPr>
                <w:sz w:val="18"/>
                <w:szCs w:val="18"/>
              </w:rPr>
            </w:pPr>
            <w:r w:rsidRPr="00364545">
              <w:rPr>
                <w:sz w:val="18"/>
              </w:rPr>
              <w:t>231245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703045" w14:textId="77777777" w:rsidR="004D4A28" w:rsidRPr="00921C44" w:rsidRDefault="004D4A28" w:rsidP="00361368">
            <w:pPr>
              <w:spacing w:line="259" w:lineRule="auto"/>
              <w:ind w:left="56"/>
              <w:jc w:val="center"/>
              <w:rPr>
                <w:sz w:val="18"/>
                <w:szCs w:val="18"/>
              </w:rPr>
            </w:pPr>
            <w:r w:rsidRPr="00364545">
              <w:rPr>
                <w:sz w:val="18"/>
              </w:rPr>
              <w:t>211199</w:t>
            </w:r>
          </w:p>
        </w:tc>
      </w:tr>
      <w:tr w:rsidR="004D4A28" w14:paraId="11200AB5" w14:textId="77777777" w:rsidTr="00361368">
        <w:trPr>
          <w:trHeight w:val="419"/>
        </w:trPr>
        <w:tc>
          <w:tcPr>
            <w:tcW w:w="1405" w:type="dxa"/>
            <w:tcBorders>
              <w:top w:val="single" w:sz="2" w:space="0" w:color="000000"/>
              <w:left w:val="single" w:sz="2" w:space="0" w:color="000000"/>
              <w:bottom w:val="single" w:sz="2" w:space="0" w:color="000000"/>
              <w:right w:val="single" w:sz="2" w:space="0" w:color="000000"/>
            </w:tcBorders>
          </w:tcPr>
          <w:p w14:paraId="0C96854A" w14:textId="77777777" w:rsidR="004D4A28" w:rsidRDefault="004D4A28" w:rsidP="00361368">
            <w:pPr>
              <w:spacing w:line="259" w:lineRule="auto"/>
              <w:jc w:val="left"/>
            </w:pPr>
            <w:r>
              <w:rPr>
                <w:sz w:val="18"/>
              </w:rPr>
              <w:t xml:space="preserve">Procédés industriels, solvants et autres produits </w:t>
            </w:r>
          </w:p>
        </w:tc>
        <w:tc>
          <w:tcPr>
            <w:tcW w:w="775" w:type="dxa"/>
            <w:tcBorders>
              <w:top w:val="single" w:sz="2" w:space="0" w:color="000000"/>
              <w:left w:val="single" w:sz="2" w:space="0" w:color="000000"/>
              <w:bottom w:val="single" w:sz="2" w:space="0" w:color="000000"/>
              <w:right w:val="single" w:sz="2" w:space="0" w:color="000000"/>
            </w:tcBorders>
            <w:vAlign w:val="bottom"/>
          </w:tcPr>
          <w:p w14:paraId="05842002" w14:textId="77777777" w:rsidR="004D4A28" w:rsidRDefault="004D4A28" w:rsidP="00361368">
            <w:pPr>
              <w:spacing w:line="259" w:lineRule="auto"/>
              <w:ind w:left="106"/>
              <w:jc w:val="center"/>
            </w:pPr>
            <w:r>
              <w:rPr>
                <w:sz w:val="18"/>
                <w:szCs w:val="18"/>
              </w:rPr>
              <w:t>78729</w:t>
            </w:r>
          </w:p>
        </w:tc>
        <w:tc>
          <w:tcPr>
            <w:tcW w:w="775" w:type="dxa"/>
            <w:tcBorders>
              <w:top w:val="single" w:sz="2" w:space="0" w:color="000000"/>
              <w:left w:val="single" w:sz="2" w:space="0" w:color="000000"/>
              <w:bottom w:val="single" w:sz="2" w:space="0" w:color="000000"/>
              <w:right w:val="single" w:sz="2" w:space="0" w:color="000000"/>
            </w:tcBorders>
            <w:vAlign w:val="bottom"/>
          </w:tcPr>
          <w:p w14:paraId="38CCA214" w14:textId="77777777" w:rsidR="004D4A28" w:rsidRPr="00AB5735" w:rsidRDefault="004D4A28" w:rsidP="00361368">
            <w:pPr>
              <w:spacing w:line="259" w:lineRule="auto"/>
              <w:ind w:left="56"/>
              <w:jc w:val="center"/>
              <w:rPr>
                <w:sz w:val="18"/>
                <w:szCs w:val="18"/>
              </w:rPr>
            </w:pPr>
            <w:r>
              <w:rPr>
                <w:sz w:val="18"/>
                <w:szCs w:val="18"/>
              </w:rPr>
              <w:t>71997</w:t>
            </w:r>
          </w:p>
        </w:tc>
        <w:tc>
          <w:tcPr>
            <w:tcW w:w="775" w:type="dxa"/>
            <w:tcBorders>
              <w:top w:val="single" w:sz="2" w:space="0" w:color="000000"/>
              <w:left w:val="single" w:sz="2" w:space="0" w:color="000000"/>
              <w:bottom w:val="single" w:sz="2" w:space="0" w:color="000000"/>
              <w:right w:val="single" w:sz="2" w:space="0" w:color="000000"/>
            </w:tcBorders>
            <w:vAlign w:val="bottom"/>
          </w:tcPr>
          <w:p w14:paraId="1D729955" w14:textId="77777777" w:rsidR="004D4A28" w:rsidRDefault="004D4A28" w:rsidP="00361368">
            <w:pPr>
              <w:spacing w:line="259" w:lineRule="auto"/>
              <w:ind w:left="107"/>
              <w:jc w:val="center"/>
            </w:pPr>
            <w:r>
              <w:rPr>
                <w:sz w:val="18"/>
                <w:szCs w:val="18"/>
              </w:rPr>
              <w:t>64668</w:t>
            </w:r>
          </w:p>
        </w:tc>
        <w:tc>
          <w:tcPr>
            <w:tcW w:w="776" w:type="dxa"/>
            <w:tcBorders>
              <w:top w:val="single" w:sz="2" w:space="0" w:color="000000"/>
              <w:left w:val="single" w:sz="2" w:space="0" w:color="000000"/>
              <w:bottom w:val="single" w:sz="2" w:space="0" w:color="000000"/>
              <w:right w:val="single" w:sz="2" w:space="0" w:color="000000"/>
            </w:tcBorders>
            <w:vAlign w:val="bottom"/>
          </w:tcPr>
          <w:p w14:paraId="507110F8" w14:textId="77777777" w:rsidR="004D4A28" w:rsidRDefault="004D4A28" w:rsidP="00361368">
            <w:pPr>
              <w:spacing w:line="259" w:lineRule="auto"/>
              <w:ind w:left="106"/>
              <w:jc w:val="center"/>
            </w:pPr>
            <w:r>
              <w:rPr>
                <w:sz w:val="18"/>
                <w:szCs w:val="18"/>
              </w:rPr>
              <w:t>63620</w:t>
            </w:r>
          </w:p>
        </w:tc>
        <w:tc>
          <w:tcPr>
            <w:tcW w:w="775" w:type="dxa"/>
            <w:tcBorders>
              <w:top w:val="single" w:sz="2" w:space="0" w:color="000000"/>
              <w:left w:val="single" w:sz="2" w:space="0" w:color="000000"/>
              <w:bottom w:val="single" w:sz="2" w:space="0" w:color="000000"/>
              <w:right w:val="single" w:sz="2" w:space="0" w:color="000000"/>
            </w:tcBorders>
            <w:vAlign w:val="bottom"/>
          </w:tcPr>
          <w:p w14:paraId="1CA4D1B0" w14:textId="77777777" w:rsidR="004D4A28" w:rsidRDefault="004D4A28" w:rsidP="00361368">
            <w:pPr>
              <w:spacing w:line="259" w:lineRule="auto"/>
              <w:ind w:left="107"/>
              <w:jc w:val="center"/>
            </w:pPr>
            <w:r>
              <w:rPr>
                <w:sz w:val="18"/>
                <w:szCs w:val="18"/>
              </w:rPr>
              <w:t>53798</w:t>
            </w:r>
          </w:p>
        </w:tc>
        <w:tc>
          <w:tcPr>
            <w:tcW w:w="775" w:type="dxa"/>
            <w:tcBorders>
              <w:top w:val="single" w:sz="2" w:space="0" w:color="000000"/>
              <w:left w:val="single" w:sz="2" w:space="0" w:color="000000"/>
              <w:bottom w:val="single" w:sz="2" w:space="0" w:color="000000"/>
              <w:right w:val="single" w:sz="2" w:space="0" w:color="000000"/>
            </w:tcBorders>
            <w:vAlign w:val="bottom"/>
          </w:tcPr>
          <w:p w14:paraId="7A0D0D5F" w14:textId="77777777" w:rsidR="004D4A28" w:rsidRDefault="004D4A28" w:rsidP="00361368">
            <w:pPr>
              <w:spacing w:line="259" w:lineRule="auto"/>
              <w:ind w:left="105"/>
              <w:jc w:val="center"/>
            </w:pPr>
            <w:r>
              <w:rPr>
                <w:sz w:val="18"/>
                <w:szCs w:val="18"/>
              </w:rPr>
              <w:t>50664</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61C6FDCE" w14:textId="77777777" w:rsidR="004D4A28" w:rsidRDefault="004D4A28" w:rsidP="00361368">
            <w:pPr>
              <w:spacing w:line="259" w:lineRule="auto"/>
              <w:ind w:left="107"/>
              <w:jc w:val="center"/>
            </w:pPr>
            <w:r>
              <w:rPr>
                <w:sz w:val="18"/>
                <w:szCs w:val="18"/>
              </w:rPr>
              <w:t>46564</w:t>
            </w:r>
          </w:p>
        </w:tc>
        <w:tc>
          <w:tcPr>
            <w:tcW w:w="775" w:type="dxa"/>
            <w:tcBorders>
              <w:top w:val="single" w:sz="2" w:space="0" w:color="000000"/>
              <w:left w:val="single" w:sz="2" w:space="0" w:color="000000"/>
              <w:bottom w:val="single" w:sz="2" w:space="0" w:color="000000"/>
              <w:right w:val="single" w:sz="2" w:space="0" w:color="000000"/>
            </w:tcBorders>
            <w:vAlign w:val="center"/>
          </w:tcPr>
          <w:p w14:paraId="2A03B143" w14:textId="77777777" w:rsidR="004D4A28" w:rsidRPr="00921C44" w:rsidRDefault="004D4A28" w:rsidP="00361368">
            <w:pPr>
              <w:spacing w:line="259" w:lineRule="auto"/>
              <w:ind w:left="56"/>
              <w:jc w:val="center"/>
              <w:rPr>
                <w:sz w:val="18"/>
                <w:szCs w:val="18"/>
              </w:rPr>
            </w:pPr>
            <w:r w:rsidRPr="00364545">
              <w:rPr>
                <w:sz w:val="18"/>
              </w:rPr>
              <w:t>43717</w:t>
            </w:r>
          </w:p>
        </w:tc>
        <w:tc>
          <w:tcPr>
            <w:tcW w:w="775" w:type="dxa"/>
            <w:tcBorders>
              <w:top w:val="single" w:sz="2" w:space="0" w:color="000000"/>
              <w:left w:val="single" w:sz="2" w:space="0" w:color="000000"/>
              <w:bottom w:val="single" w:sz="2" w:space="0" w:color="000000"/>
              <w:right w:val="single" w:sz="2" w:space="0" w:color="000000"/>
            </w:tcBorders>
            <w:vAlign w:val="center"/>
          </w:tcPr>
          <w:p w14:paraId="6AB4209E" w14:textId="77777777" w:rsidR="004D4A28" w:rsidRPr="00921C44" w:rsidRDefault="004D4A28" w:rsidP="00361368">
            <w:pPr>
              <w:spacing w:line="259" w:lineRule="auto"/>
              <w:ind w:left="56"/>
              <w:jc w:val="center"/>
              <w:rPr>
                <w:sz w:val="18"/>
                <w:szCs w:val="18"/>
              </w:rPr>
            </w:pPr>
            <w:r w:rsidRPr="00364545">
              <w:rPr>
                <w:sz w:val="18"/>
              </w:rPr>
              <w:t>41701</w:t>
            </w:r>
          </w:p>
        </w:tc>
        <w:tc>
          <w:tcPr>
            <w:tcW w:w="776" w:type="dxa"/>
            <w:tcBorders>
              <w:top w:val="single" w:sz="2" w:space="0" w:color="000000"/>
              <w:left w:val="single" w:sz="2" w:space="0" w:color="000000"/>
              <w:bottom w:val="single" w:sz="2" w:space="0" w:color="000000"/>
              <w:right w:val="single" w:sz="2" w:space="0" w:color="000000"/>
            </w:tcBorders>
            <w:vAlign w:val="center"/>
          </w:tcPr>
          <w:p w14:paraId="1B543FF7" w14:textId="77777777" w:rsidR="004D4A28" w:rsidRPr="00921C44" w:rsidRDefault="004D4A28" w:rsidP="00361368">
            <w:pPr>
              <w:spacing w:line="259" w:lineRule="auto"/>
              <w:ind w:left="56"/>
              <w:jc w:val="center"/>
              <w:rPr>
                <w:sz w:val="18"/>
                <w:szCs w:val="18"/>
              </w:rPr>
            </w:pPr>
            <w:r w:rsidRPr="00364545">
              <w:rPr>
                <w:sz w:val="18"/>
              </w:rPr>
              <w:t>39058</w:t>
            </w:r>
          </w:p>
        </w:tc>
        <w:tc>
          <w:tcPr>
            <w:tcW w:w="775" w:type="dxa"/>
            <w:tcBorders>
              <w:top w:val="single" w:sz="2" w:space="0" w:color="000000"/>
              <w:left w:val="single" w:sz="2" w:space="0" w:color="000000"/>
              <w:bottom w:val="single" w:sz="2" w:space="0" w:color="000000"/>
              <w:right w:val="single" w:sz="2" w:space="0" w:color="000000"/>
            </w:tcBorders>
            <w:vAlign w:val="center"/>
          </w:tcPr>
          <w:p w14:paraId="0A26B628" w14:textId="77777777" w:rsidR="004D4A28" w:rsidRPr="00921C44" w:rsidRDefault="004D4A28" w:rsidP="00361368">
            <w:pPr>
              <w:spacing w:line="259" w:lineRule="auto"/>
              <w:ind w:left="56"/>
              <w:jc w:val="center"/>
              <w:rPr>
                <w:sz w:val="18"/>
                <w:szCs w:val="18"/>
              </w:rPr>
            </w:pPr>
            <w:r w:rsidRPr="00364545">
              <w:rPr>
                <w:sz w:val="18"/>
              </w:rPr>
              <w:t>36794</w:t>
            </w:r>
          </w:p>
        </w:tc>
        <w:tc>
          <w:tcPr>
            <w:tcW w:w="776" w:type="dxa"/>
            <w:tcBorders>
              <w:top w:val="single" w:sz="2" w:space="0" w:color="000000"/>
              <w:left w:val="single" w:sz="2" w:space="0" w:color="000000"/>
              <w:bottom w:val="single" w:sz="2" w:space="0" w:color="000000"/>
              <w:right w:val="single" w:sz="2" w:space="0" w:color="000000"/>
            </w:tcBorders>
            <w:vAlign w:val="center"/>
          </w:tcPr>
          <w:p w14:paraId="0A26E4B1" w14:textId="77777777" w:rsidR="004D4A28" w:rsidRPr="00921C44" w:rsidRDefault="004D4A28" w:rsidP="00361368">
            <w:pPr>
              <w:spacing w:line="259" w:lineRule="auto"/>
              <w:ind w:left="56"/>
              <w:jc w:val="center"/>
              <w:rPr>
                <w:sz w:val="18"/>
                <w:szCs w:val="18"/>
              </w:rPr>
            </w:pPr>
            <w:r w:rsidRPr="00364545">
              <w:rPr>
                <w:sz w:val="18"/>
              </w:rPr>
              <w:t>33455</w:t>
            </w:r>
          </w:p>
        </w:tc>
      </w:tr>
      <w:tr w:rsidR="004D4A28" w14:paraId="0EB0D0A3"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15478245" w14:textId="77777777" w:rsidR="004D4A28" w:rsidRDefault="004D4A28" w:rsidP="00361368">
            <w:pPr>
              <w:spacing w:line="259" w:lineRule="auto"/>
              <w:jc w:val="left"/>
            </w:pPr>
            <w:r>
              <w:rPr>
                <w:sz w:val="18"/>
              </w:rPr>
              <w:t xml:space="preserve">Agriculture (hors énergie)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35D539A" w14:textId="77777777" w:rsidR="004D4A28" w:rsidRDefault="004D4A28" w:rsidP="00361368">
            <w:pPr>
              <w:spacing w:line="259" w:lineRule="auto"/>
              <w:ind w:left="106"/>
              <w:jc w:val="center"/>
            </w:pPr>
            <w:r>
              <w:rPr>
                <w:sz w:val="18"/>
                <w:szCs w:val="18"/>
              </w:rPr>
              <w:t>80803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E5D202C" w14:textId="77777777" w:rsidR="004D4A28" w:rsidRPr="00AB5735" w:rsidRDefault="004D4A28" w:rsidP="00361368">
            <w:pPr>
              <w:spacing w:line="259" w:lineRule="auto"/>
              <w:ind w:left="56"/>
              <w:jc w:val="center"/>
              <w:rPr>
                <w:sz w:val="18"/>
                <w:szCs w:val="18"/>
              </w:rPr>
            </w:pPr>
            <w:r>
              <w:rPr>
                <w:sz w:val="18"/>
                <w:szCs w:val="18"/>
              </w:rPr>
              <w:t>78281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5A8211C" w14:textId="77777777" w:rsidR="004D4A28" w:rsidRDefault="004D4A28" w:rsidP="00361368">
            <w:pPr>
              <w:spacing w:line="259" w:lineRule="auto"/>
              <w:ind w:left="107"/>
              <w:jc w:val="center"/>
            </w:pPr>
            <w:r>
              <w:rPr>
                <w:sz w:val="18"/>
                <w:szCs w:val="18"/>
              </w:rPr>
              <w:t>81292</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E0B02F2" w14:textId="77777777" w:rsidR="004D4A28" w:rsidRDefault="004D4A28" w:rsidP="00361368">
            <w:pPr>
              <w:spacing w:line="259" w:lineRule="auto"/>
              <w:ind w:left="106"/>
              <w:jc w:val="center"/>
            </w:pPr>
            <w:r>
              <w:rPr>
                <w:sz w:val="18"/>
                <w:szCs w:val="18"/>
              </w:rPr>
              <w:t>76018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77CB43C" w14:textId="77777777" w:rsidR="004D4A28" w:rsidRDefault="004D4A28" w:rsidP="00361368">
            <w:pPr>
              <w:spacing w:line="259" w:lineRule="auto"/>
              <w:ind w:left="107"/>
              <w:jc w:val="center"/>
            </w:pPr>
            <w:r>
              <w:rPr>
                <w:sz w:val="18"/>
                <w:szCs w:val="18"/>
              </w:rPr>
              <w:t>75203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61B5615" w14:textId="77777777" w:rsidR="004D4A28" w:rsidRDefault="004D4A28" w:rsidP="00361368">
            <w:pPr>
              <w:spacing w:line="259" w:lineRule="auto"/>
              <w:ind w:left="106"/>
              <w:jc w:val="center"/>
            </w:pPr>
            <w:r>
              <w:rPr>
                <w:sz w:val="18"/>
                <w:szCs w:val="18"/>
              </w:rPr>
              <w:t>75720</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41C2603C" w14:textId="77777777" w:rsidR="004D4A28" w:rsidRDefault="004D4A28" w:rsidP="00361368">
            <w:pPr>
              <w:spacing w:line="259" w:lineRule="auto"/>
              <w:ind w:left="107"/>
              <w:jc w:val="center"/>
            </w:pPr>
            <w:r>
              <w:rPr>
                <w:sz w:val="18"/>
                <w:szCs w:val="18"/>
              </w:rPr>
              <w:t>72498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F2BA42" w14:textId="77777777" w:rsidR="004D4A28" w:rsidRPr="00921C44" w:rsidRDefault="004D4A28" w:rsidP="00361368">
            <w:pPr>
              <w:spacing w:line="259" w:lineRule="auto"/>
              <w:ind w:left="56"/>
              <w:jc w:val="center"/>
              <w:rPr>
                <w:sz w:val="18"/>
                <w:szCs w:val="18"/>
              </w:rPr>
            </w:pPr>
            <w:r w:rsidRPr="00364545">
              <w:rPr>
                <w:sz w:val="18"/>
              </w:rPr>
              <w:t>73050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E0555C" w14:textId="77777777" w:rsidR="004D4A28" w:rsidRPr="00921C44" w:rsidRDefault="004D4A28" w:rsidP="00361368">
            <w:pPr>
              <w:spacing w:line="259" w:lineRule="auto"/>
              <w:ind w:left="56"/>
              <w:jc w:val="center"/>
              <w:rPr>
                <w:sz w:val="18"/>
                <w:szCs w:val="18"/>
              </w:rPr>
            </w:pPr>
            <w:r w:rsidRPr="00364545">
              <w:rPr>
                <w:sz w:val="18"/>
              </w:rPr>
              <w:t>72080</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378D08" w14:textId="77777777" w:rsidR="004D4A28" w:rsidRPr="00921C44" w:rsidRDefault="004D4A28" w:rsidP="00361368">
            <w:pPr>
              <w:spacing w:line="259" w:lineRule="auto"/>
              <w:ind w:left="56"/>
              <w:jc w:val="center"/>
              <w:rPr>
                <w:sz w:val="18"/>
                <w:szCs w:val="18"/>
              </w:rPr>
            </w:pPr>
            <w:r w:rsidRPr="00364545">
              <w:rPr>
                <w:sz w:val="18"/>
              </w:rPr>
              <w:t>71043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2A20E2" w14:textId="77777777" w:rsidR="004D4A28" w:rsidRPr="00921C44" w:rsidRDefault="004D4A28" w:rsidP="00361368">
            <w:pPr>
              <w:spacing w:line="259" w:lineRule="auto"/>
              <w:ind w:left="56"/>
              <w:jc w:val="center"/>
              <w:rPr>
                <w:sz w:val="18"/>
                <w:szCs w:val="18"/>
              </w:rPr>
            </w:pPr>
            <w:r w:rsidRPr="00364545">
              <w:rPr>
                <w:sz w:val="18"/>
              </w:rPr>
              <w:t>70093</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C3C41AF" w14:textId="77777777" w:rsidR="004D4A28" w:rsidRPr="00921C44" w:rsidRDefault="004D4A28" w:rsidP="00361368">
            <w:pPr>
              <w:spacing w:line="259" w:lineRule="auto"/>
              <w:ind w:left="56"/>
              <w:jc w:val="center"/>
              <w:rPr>
                <w:sz w:val="18"/>
                <w:szCs w:val="18"/>
              </w:rPr>
            </w:pPr>
            <w:r w:rsidRPr="00364545">
              <w:rPr>
                <w:sz w:val="18"/>
              </w:rPr>
              <w:t>68253</w:t>
            </w:r>
          </w:p>
        </w:tc>
      </w:tr>
      <w:tr w:rsidR="004D4A28" w14:paraId="58FB2D6A" w14:textId="77777777" w:rsidTr="00361368">
        <w:trPr>
          <w:trHeight w:val="347"/>
        </w:trPr>
        <w:tc>
          <w:tcPr>
            <w:tcW w:w="1405" w:type="dxa"/>
            <w:tcBorders>
              <w:top w:val="single" w:sz="2" w:space="0" w:color="000000"/>
              <w:left w:val="single" w:sz="2" w:space="0" w:color="000000"/>
              <w:bottom w:val="single" w:sz="2" w:space="0" w:color="000000"/>
              <w:right w:val="single" w:sz="2" w:space="0" w:color="000000"/>
            </w:tcBorders>
          </w:tcPr>
          <w:p w14:paraId="3040AC92" w14:textId="77777777" w:rsidR="004D4A28" w:rsidRDefault="004D4A28" w:rsidP="00361368">
            <w:pPr>
              <w:spacing w:line="259" w:lineRule="auto"/>
              <w:jc w:val="left"/>
            </w:pPr>
            <w:r>
              <w:rPr>
                <w:sz w:val="18"/>
              </w:rPr>
              <w:t xml:space="preserve">UTCATF </w:t>
            </w:r>
          </w:p>
        </w:tc>
        <w:tc>
          <w:tcPr>
            <w:tcW w:w="775" w:type="dxa"/>
            <w:tcBorders>
              <w:top w:val="single" w:sz="2" w:space="0" w:color="000000"/>
              <w:left w:val="single" w:sz="2" w:space="0" w:color="000000"/>
              <w:bottom w:val="single" w:sz="2" w:space="0" w:color="000000"/>
              <w:right w:val="single" w:sz="2" w:space="0" w:color="000000"/>
            </w:tcBorders>
            <w:vAlign w:val="bottom"/>
          </w:tcPr>
          <w:p w14:paraId="3C292F16" w14:textId="77777777" w:rsidR="004D4A28" w:rsidRDefault="004D4A28" w:rsidP="00361368">
            <w:pPr>
              <w:spacing w:line="259" w:lineRule="auto"/>
              <w:ind w:left="50"/>
              <w:jc w:val="center"/>
            </w:pPr>
            <w:r>
              <w:rPr>
                <w:sz w:val="18"/>
                <w:szCs w:val="18"/>
              </w:rPr>
              <w:t>-23986</w:t>
            </w:r>
          </w:p>
        </w:tc>
        <w:tc>
          <w:tcPr>
            <w:tcW w:w="775" w:type="dxa"/>
            <w:tcBorders>
              <w:top w:val="single" w:sz="2" w:space="0" w:color="000000"/>
              <w:left w:val="single" w:sz="2" w:space="0" w:color="000000"/>
              <w:bottom w:val="single" w:sz="2" w:space="0" w:color="000000"/>
              <w:right w:val="single" w:sz="2" w:space="0" w:color="000000"/>
            </w:tcBorders>
            <w:vAlign w:val="bottom"/>
          </w:tcPr>
          <w:p w14:paraId="130034DD" w14:textId="77777777" w:rsidR="004D4A28" w:rsidRPr="00AB5735" w:rsidRDefault="004D4A28" w:rsidP="00361368">
            <w:pPr>
              <w:spacing w:line="259" w:lineRule="auto"/>
              <w:ind w:left="56"/>
              <w:jc w:val="center"/>
              <w:rPr>
                <w:sz w:val="18"/>
                <w:szCs w:val="18"/>
              </w:rPr>
            </w:pPr>
            <w:r>
              <w:rPr>
                <w:sz w:val="18"/>
                <w:szCs w:val="18"/>
              </w:rPr>
              <w:t>-24879</w:t>
            </w:r>
          </w:p>
        </w:tc>
        <w:tc>
          <w:tcPr>
            <w:tcW w:w="775" w:type="dxa"/>
            <w:tcBorders>
              <w:top w:val="single" w:sz="2" w:space="0" w:color="000000"/>
              <w:left w:val="single" w:sz="2" w:space="0" w:color="000000"/>
              <w:bottom w:val="single" w:sz="2" w:space="0" w:color="000000"/>
              <w:right w:val="single" w:sz="2" w:space="0" w:color="000000"/>
            </w:tcBorders>
            <w:vAlign w:val="bottom"/>
          </w:tcPr>
          <w:p w14:paraId="09F8BBE9" w14:textId="77777777" w:rsidR="004D4A28" w:rsidRDefault="004D4A28" w:rsidP="00361368">
            <w:pPr>
              <w:spacing w:line="259" w:lineRule="auto"/>
              <w:ind w:left="52"/>
              <w:jc w:val="center"/>
            </w:pPr>
            <w:r>
              <w:rPr>
                <w:sz w:val="18"/>
                <w:szCs w:val="18"/>
              </w:rPr>
              <w:t>-19709</w:t>
            </w:r>
          </w:p>
        </w:tc>
        <w:tc>
          <w:tcPr>
            <w:tcW w:w="776" w:type="dxa"/>
            <w:tcBorders>
              <w:top w:val="single" w:sz="2" w:space="0" w:color="000000"/>
              <w:left w:val="single" w:sz="2" w:space="0" w:color="000000"/>
              <w:bottom w:val="single" w:sz="2" w:space="0" w:color="000000"/>
              <w:right w:val="single" w:sz="2" w:space="0" w:color="000000"/>
            </w:tcBorders>
            <w:vAlign w:val="bottom"/>
          </w:tcPr>
          <w:p w14:paraId="264D80E9" w14:textId="77777777" w:rsidR="004D4A28" w:rsidRDefault="004D4A28" w:rsidP="00361368">
            <w:pPr>
              <w:spacing w:line="259" w:lineRule="auto"/>
              <w:ind w:left="50"/>
              <w:jc w:val="center"/>
            </w:pPr>
            <w:r>
              <w:rPr>
                <w:sz w:val="18"/>
                <w:szCs w:val="18"/>
              </w:rPr>
              <w:t>-47311</w:t>
            </w:r>
          </w:p>
        </w:tc>
        <w:tc>
          <w:tcPr>
            <w:tcW w:w="775" w:type="dxa"/>
            <w:tcBorders>
              <w:top w:val="single" w:sz="2" w:space="0" w:color="000000"/>
              <w:left w:val="single" w:sz="2" w:space="0" w:color="000000"/>
              <w:bottom w:val="single" w:sz="2" w:space="0" w:color="000000"/>
              <w:right w:val="single" w:sz="2" w:space="0" w:color="000000"/>
            </w:tcBorders>
            <w:vAlign w:val="bottom"/>
          </w:tcPr>
          <w:p w14:paraId="06572504" w14:textId="77777777" w:rsidR="004D4A28" w:rsidRDefault="004D4A28" w:rsidP="00361368">
            <w:pPr>
              <w:spacing w:line="259" w:lineRule="auto"/>
              <w:ind w:left="52"/>
              <w:jc w:val="center"/>
            </w:pPr>
            <w:r>
              <w:rPr>
                <w:sz w:val="18"/>
                <w:szCs w:val="18"/>
              </w:rPr>
              <w:t>-38355</w:t>
            </w:r>
          </w:p>
        </w:tc>
        <w:tc>
          <w:tcPr>
            <w:tcW w:w="775" w:type="dxa"/>
            <w:tcBorders>
              <w:top w:val="single" w:sz="2" w:space="0" w:color="000000"/>
              <w:left w:val="single" w:sz="2" w:space="0" w:color="000000"/>
              <w:bottom w:val="single" w:sz="2" w:space="0" w:color="000000"/>
              <w:right w:val="single" w:sz="2" w:space="0" w:color="000000"/>
            </w:tcBorders>
            <w:vAlign w:val="bottom"/>
          </w:tcPr>
          <w:p w14:paraId="5833D109" w14:textId="77777777" w:rsidR="004D4A28" w:rsidRDefault="004D4A28" w:rsidP="00361368">
            <w:pPr>
              <w:spacing w:line="259" w:lineRule="auto"/>
              <w:ind w:left="50"/>
              <w:jc w:val="center"/>
            </w:pPr>
            <w:r>
              <w:rPr>
                <w:sz w:val="18"/>
                <w:szCs w:val="18"/>
              </w:rPr>
              <w:t>-34577</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56E72427" w14:textId="77777777" w:rsidR="004D4A28" w:rsidRDefault="004D4A28" w:rsidP="00361368">
            <w:pPr>
              <w:spacing w:line="259" w:lineRule="auto"/>
              <w:ind w:left="51"/>
              <w:jc w:val="center"/>
            </w:pPr>
            <w:r>
              <w:rPr>
                <w:sz w:val="18"/>
                <w:szCs w:val="18"/>
              </w:rPr>
              <w:t>-12288</w:t>
            </w:r>
          </w:p>
        </w:tc>
        <w:tc>
          <w:tcPr>
            <w:tcW w:w="775" w:type="dxa"/>
            <w:tcBorders>
              <w:top w:val="single" w:sz="2" w:space="0" w:color="000000"/>
              <w:left w:val="single" w:sz="2" w:space="0" w:color="000000"/>
              <w:bottom w:val="single" w:sz="2" w:space="0" w:color="000000"/>
              <w:right w:val="single" w:sz="2" w:space="0" w:color="000000"/>
            </w:tcBorders>
            <w:vAlign w:val="center"/>
          </w:tcPr>
          <w:p w14:paraId="7C62DCDB" w14:textId="77777777" w:rsidR="004D4A28" w:rsidRPr="00921C44" w:rsidRDefault="004D4A28" w:rsidP="00361368">
            <w:pPr>
              <w:spacing w:line="259" w:lineRule="auto"/>
              <w:ind w:left="56"/>
              <w:jc w:val="center"/>
              <w:rPr>
                <w:sz w:val="18"/>
                <w:szCs w:val="18"/>
              </w:rPr>
            </w:pPr>
            <w:r w:rsidRPr="00364545">
              <w:rPr>
                <w:sz w:val="18"/>
              </w:rPr>
              <w:t>-32838</w:t>
            </w:r>
          </w:p>
        </w:tc>
        <w:tc>
          <w:tcPr>
            <w:tcW w:w="775" w:type="dxa"/>
            <w:tcBorders>
              <w:top w:val="single" w:sz="2" w:space="0" w:color="000000"/>
              <w:left w:val="single" w:sz="2" w:space="0" w:color="000000"/>
              <w:bottom w:val="single" w:sz="2" w:space="0" w:color="000000"/>
              <w:right w:val="single" w:sz="2" w:space="0" w:color="000000"/>
            </w:tcBorders>
            <w:vAlign w:val="center"/>
          </w:tcPr>
          <w:p w14:paraId="77BFC4F3" w14:textId="77777777" w:rsidR="004D4A28" w:rsidRPr="00921C44" w:rsidRDefault="004D4A28" w:rsidP="00361368">
            <w:pPr>
              <w:spacing w:line="259" w:lineRule="auto"/>
              <w:ind w:left="56"/>
              <w:jc w:val="center"/>
              <w:rPr>
                <w:sz w:val="18"/>
                <w:szCs w:val="18"/>
              </w:rPr>
            </w:pPr>
            <w:r>
              <w:rPr>
                <w:sz w:val="18"/>
              </w:rPr>
              <w:t>- 28</w:t>
            </w:r>
            <w:r w:rsidRPr="00364545">
              <w:rPr>
                <w:sz w:val="18"/>
              </w:rPr>
              <w:t>746</w:t>
            </w:r>
          </w:p>
        </w:tc>
        <w:tc>
          <w:tcPr>
            <w:tcW w:w="776" w:type="dxa"/>
            <w:tcBorders>
              <w:top w:val="single" w:sz="2" w:space="0" w:color="000000"/>
              <w:left w:val="single" w:sz="2" w:space="0" w:color="000000"/>
              <w:bottom w:val="single" w:sz="2" w:space="0" w:color="000000"/>
              <w:right w:val="single" w:sz="2" w:space="0" w:color="000000"/>
            </w:tcBorders>
            <w:vAlign w:val="center"/>
          </w:tcPr>
          <w:p w14:paraId="12F3A72D" w14:textId="77777777" w:rsidR="004D4A28" w:rsidRPr="00921C44" w:rsidRDefault="004D4A28" w:rsidP="00361368">
            <w:pPr>
              <w:spacing w:line="259" w:lineRule="auto"/>
              <w:ind w:left="56"/>
              <w:jc w:val="center"/>
              <w:rPr>
                <w:sz w:val="18"/>
                <w:szCs w:val="18"/>
              </w:rPr>
            </w:pPr>
            <w:r>
              <w:rPr>
                <w:sz w:val="18"/>
              </w:rPr>
              <w:t>- 26</w:t>
            </w:r>
            <w:r w:rsidRPr="00364545">
              <w:rPr>
                <w:sz w:val="18"/>
              </w:rPr>
              <w:t>431</w:t>
            </w:r>
          </w:p>
        </w:tc>
        <w:tc>
          <w:tcPr>
            <w:tcW w:w="775" w:type="dxa"/>
            <w:tcBorders>
              <w:top w:val="single" w:sz="2" w:space="0" w:color="000000"/>
              <w:left w:val="single" w:sz="2" w:space="0" w:color="000000"/>
              <w:bottom w:val="single" w:sz="2" w:space="0" w:color="000000"/>
              <w:right w:val="single" w:sz="2" w:space="0" w:color="000000"/>
            </w:tcBorders>
            <w:vAlign w:val="center"/>
          </w:tcPr>
          <w:p w14:paraId="2861176E" w14:textId="77777777" w:rsidR="004D4A28" w:rsidRPr="00921C44" w:rsidRDefault="004D4A28" w:rsidP="00361368">
            <w:pPr>
              <w:spacing w:line="259" w:lineRule="auto"/>
              <w:ind w:left="56"/>
              <w:jc w:val="center"/>
              <w:rPr>
                <w:sz w:val="18"/>
                <w:szCs w:val="18"/>
              </w:rPr>
            </w:pPr>
            <w:r>
              <w:rPr>
                <w:sz w:val="18"/>
              </w:rPr>
              <w:t>- 21</w:t>
            </w:r>
            <w:r w:rsidRPr="00364545">
              <w:rPr>
                <w:sz w:val="18"/>
              </w:rPr>
              <w:t>560</w:t>
            </w:r>
          </w:p>
        </w:tc>
        <w:tc>
          <w:tcPr>
            <w:tcW w:w="776" w:type="dxa"/>
            <w:tcBorders>
              <w:top w:val="single" w:sz="2" w:space="0" w:color="000000"/>
              <w:left w:val="single" w:sz="2" w:space="0" w:color="000000"/>
              <w:bottom w:val="single" w:sz="2" w:space="0" w:color="000000"/>
              <w:right w:val="single" w:sz="2" w:space="0" w:color="000000"/>
            </w:tcBorders>
            <w:vAlign w:val="center"/>
          </w:tcPr>
          <w:p w14:paraId="2FCCA5A3" w14:textId="77777777" w:rsidR="004D4A28" w:rsidRPr="00921C44" w:rsidRDefault="004D4A28" w:rsidP="00361368">
            <w:pPr>
              <w:spacing w:line="259" w:lineRule="auto"/>
              <w:ind w:left="56"/>
              <w:jc w:val="center"/>
              <w:rPr>
                <w:sz w:val="18"/>
                <w:szCs w:val="18"/>
              </w:rPr>
            </w:pPr>
            <w:r>
              <w:rPr>
                <w:sz w:val="18"/>
              </w:rPr>
              <w:t>-12</w:t>
            </w:r>
            <w:r w:rsidRPr="00364545">
              <w:rPr>
                <w:sz w:val="18"/>
              </w:rPr>
              <w:t>627</w:t>
            </w:r>
          </w:p>
        </w:tc>
      </w:tr>
      <w:tr w:rsidR="004D4A28" w14:paraId="46C97386"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370A151F" w14:textId="77777777" w:rsidR="004D4A28" w:rsidRDefault="004D4A28" w:rsidP="00361368">
            <w:pPr>
              <w:spacing w:line="259" w:lineRule="auto"/>
              <w:jc w:val="left"/>
            </w:pPr>
            <w:r>
              <w:rPr>
                <w:sz w:val="18"/>
              </w:rPr>
              <w:t xml:space="preserve">Déchets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8D92965" w14:textId="77777777" w:rsidR="004D4A28" w:rsidRDefault="004D4A28" w:rsidP="00361368">
            <w:pPr>
              <w:spacing w:line="259" w:lineRule="auto"/>
              <w:ind w:left="106"/>
              <w:jc w:val="center"/>
            </w:pPr>
            <w:r>
              <w:rPr>
                <w:sz w:val="18"/>
                <w:szCs w:val="18"/>
              </w:rPr>
              <w:t>17283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E15C714" w14:textId="77777777" w:rsidR="004D4A28" w:rsidRPr="00AB5735" w:rsidRDefault="004D4A28" w:rsidP="00361368">
            <w:pPr>
              <w:spacing w:line="259" w:lineRule="auto"/>
              <w:ind w:left="56"/>
              <w:jc w:val="center"/>
              <w:rPr>
                <w:sz w:val="18"/>
                <w:szCs w:val="18"/>
              </w:rPr>
            </w:pPr>
            <w:r>
              <w:rPr>
                <w:sz w:val="18"/>
                <w:szCs w:val="18"/>
              </w:rPr>
              <w:t>20118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4833DBC" w14:textId="77777777" w:rsidR="004D4A28" w:rsidRDefault="004D4A28" w:rsidP="00361368">
            <w:pPr>
              <w:spacing w:line="259" w:lineRule="auto"/>
              <w:ind w:left="107"/>
              <w:jc w:val="center"/>
            </w:pPr>
            <w:r>
              <w:rPr>
                <w:sz w:val="18"/>
                <w:szCs w:val="18"/>
              </w:rPr>
              <w:t>21056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9E40540" w14:textId="77777777" w:rsidR="004D4A28" w:rsidRDefault="004D4A28" w:rsidP="00361368">
            <w:pPr>
              <w:spacing w:line="259" w:lineRule="auto"/>
              <w:ind w:left="106"/>
              <w:jc w:val="center"/>
            </w:pPr>
            <w:r>
              <w:rPr>
                <w:sz w:val="18"/>
                <w:szCs w:val="18"/>
              </w:rPr>
              <w:t>21362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BAA4BAD" w14:textId="77777777" w:rsidR="004D4A28" w:rsidRDefault="004D4A28" w:rsidP="00361368">
            <w:pPr>
              <w:spacing w:line="259" w:lineRule="auto"/>
              <w:ind w:left="107"/>
              <w:jc w:val="center"/>
            </w:pPr>
            <w:r>
              <w:rPr>
                <w:sz w:val="18"/>
                <w:szCs w:val="18"/>
              </w:rPr>
              <w:t>20756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F262D79" w14:textId="77777777" w:rsidR="004D4A28" w:rsidRDefault="004D4A28" w:rsidP="00361368">
            <w:pPr>
              <w:spacing w:line="259" w:lineRule="auto"/>
              <w:ind w:left="106"/>
              <w:jc w:val="center"/>
            </w:pPr>
            <w:r>
              <w:rPr>
                <w:sz w:val="18"/>
                <w:szCs w:val="18"/>
              </w:rPr>
              <w:t>17905</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06AB5E17" w14:textId="77777777" w:rsidR="004D4A28" w:rsidRDefault="004D4A28" w:rsidP="00361368">
            <w:pPr>
              <w:spacing w:line="259" w:lineRule="auto"/>
              <w:ind w:left="107"/>
              <w:jc w:val="center"/>
            </w:pPr>
            <w:r>
              <w:rPr>
                <w:sz w:val="18"/>
                <w:szCs w:val="18"/>
              </w:rPr>
              <w:t>18165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4557BE" w14:textId="77777777" w:rsidR="004D4A28" w:rsidRPr="00921C44" w:rsidRDefault="004D4A28" w:rsidP="00361368">
            <w:pPr>
              <w:spacing w:line="259" w:lineRule="auto"/>
              <w:ind w:left="56"/>
              <w:jc w:val="center"/>
              <w:rPr>
                <w:sz w:val="18"/>
                <w:szCs w:val="18"/>
              </w:rPr>
            </w:pPr>
            <w:r w:rsidRPr="00364545">
              <w:rPr>
                <w:sz w:val="18"/>
              </w:rPr>
              <w:t>17514</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44077D" w14:textId="77777777" w:rsidR="004D4A28" w:rsidRPr="00921C44" w:rsidRDefault="004D4A28" w:rsidP="00361368">
            <w:pPr>
              <w:spacing w:line="259" w:lineRule="auto"/>
              <w:ind w:left="56"/>
              <w:jc w:val="center"/>
              <w:rPr>
                <w:sz w:val="18"/>
                <w:szCs w:val="18"/>
              </w:rPr>
            </w:pPr>
            <w:r w:rsidRPr="00364545">
              <w:rPr>
                <w:sz w:val="18"/>
              </w:rPr>
              <w:t>16717</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E01CCD" w14:textId="77777777" w:rsidR="004D4A28" w:rsidRPr="00921C44" w:rsidRDefault="004D4A28" w:rsidP="00361368">
            <w:pPr>
              <w:spacing w:line="259" w:lineRule="auto"/>
              <w:ind w:left="56"/>
              <w:jc w:val="center"/>
              <w:rPr>
                <w:sz w:val="18"/>
                <w:szCs w:val="18"/>
              </w:rPr>
            </w:pPr>
            <w:r w:rsidRPr="00364545">
              <w:rPr>
                <w:sz w:val="18"/>
              </w:rPr>
              <w:t>16308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BDCEDF" w14:textId="77777777" w:rsidR="004D4A28" w:rsidRPr="00921C44" w:rsidRDefault="004D4A28" w:rsidP="00361368">
            <w:pPr>
              <w:spacing w:line="259" w:lineRule="auto"/>
              <w:ind w:left="56"/>
              <w:jc w:val="center"/>
              <w:rPr>
                <w:sz w:val="18"/>
                <w:szCs w:val="18"/>
              </w:rPr>
            </w:pPr>
            <w:r w:rsidRPr="00364545">
              <w:rPr>
                <w:sz w:val="18"/>
              </w:rPr>
              <w:t>16315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B61827" w14:textId="77777777" w:rsidR="004D4A28" w:rsidRPr="00921C44" w:rsidRDefault="004D4A28" w:rsidP="00361368">
            <w:pPr>
              <w:spacing w:line="259" w:lineRule="auto"/>
              <w:ind w:left="56"/>
              <w:jc w:val="center"/>
              <w:rPr>
                <w:sz w:val="18"/>
                <w:szCs w:val="18"/>
              </w:rPr>
            </w:pPr>
            <w:r w:rsidRPr="00364545">
              <w:rPr>
                <w:sz w:val="18"/>
              </w:rPr>
              <w:t>16746</w:t>
            </w:r>
          </w:p>
        </w:tc>
      </w:tr>
      <w:tr w:rsidR="004D4A28" w14:paraId="7593CA44"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tcPr>
          <w:p w14:paraId="3961AFFA" w14:textId="77777777" w:rsidR="004D4A28" w:rsidRDefault="004D4A28" w:rsidP="00361368">
            <w:pPr>
              <w:spacing w:line="259" w:lineRule="auto"/>
              <w:jc w:val="left"/>
            </w:pPr>
            <w:r>
              <w:rPr>
                <w:b/>
                <w:sz w:val="18"/>
              </w:rPr>
              <w:t xml:space="preserve">Ensemble (hors UTCF) </w:t>
            </w:r>
          </w:p>
        </w:tc>
        <w:tc>
          <w:tcPr>
            <w:tcW w:w="775" w:type="dxa"/>
            <w:tcBorders>
              <w:top w:val="single" w:sz="2" w:space="0" w:color="000000"/>
              <w:left w:val="single" w:sz="2" w:space="0" w:color="000000"/>
              <w:bottom w:val="single" w:sz="2" w:space="0" w:color="000000"/>
              <w:right w:val="single" w:sz="2" w:space="0" w:color="000000"/>
            </w:tcBorders>
            <w:vAlign w:val="center"/>
          </w:tcPr>
          <w:p w14:paraId="73A8CA8E" w14:textId="77777777" w:rsidR="004D4A28" w:rsidRDefault="004D4A28" w:rsidP="00361368">
            <w:pPr>
              <w:spacing w:line="259" w:lineRule="auto"/>
              <w:ind w:left="55"/>
              <w:jc w:val="center"/>
            </w:pPr>
            <w:r w:rsidRPr="0002410C">
              <w:rPr>
                <w:rFonts w:asciiTheme="majorHAnsi" w:hAnsiTheme="majorHAnsi"/>
                <w:b/>
                <w:sz w:val="18"/>
                <w:szCs w:val="18"/>
              </w:rPr>
              <w:t>544086</w:t>
            </w:r>
          </w:p>
        </w:tc>
        <w:tc>
          <w:tcPr>
            <w:tcW w:w="775" w:type="dxa"/>
            <w:tcBorders>
              <w:top w:val="single" w:sz="2" w:space="0" w:color="000000"/>
              <w:left w:val="single" w:sz="2" w:space="0" w:color="000000"/>
              <w:bottom w:val="single" w:sz="2" w:space="0" w:color="000000"/>
              <w:right w:val="single" w:sz="2" w:space="0" w:color="000000"/>
            </w:tcBorders>
            <w:vAlign w:val="center"/>
          </w:tcPr>
          <w:p w14:paraId="2D6FA764" w14:textId="77777777" w:rsidR="004D4A28" w:rsidRPr="00AB5735" w:rsidRDefault="004D4A28" w:rsidP="00361368">
            <w:pPr>
              <w:spacing w:line="259" w:lineRule="auto"/>
              <w:ind w:left="56"/>
              <w:jc w:val="center"/>
              <w:rPr>
                <w:sz w:val="18"/>
                <w:szCs w:val="18"/>
              </w:rPr>
            </w:pPr>
            <w:r w:rsidRPr="0002410C">
              <w:rPr>
                <w:rFonts w:asciiTheme="majorHAnsi" w:hAnsiTheme="majorHAnsi"/>
                <w:b/>
                <w:sz w:val="18"/>
                <w:szCs w:val="18"/>
              </w:rPr>
              <w:t>536475</w:t>
            </w:r>
          </w:p>
        </w:tc>
        <w:tc>
          <w:tcPr>
            <w:tcW w:w="775" w:type="dxa"/>
            <w:tcBorders>
              <w:top w:val="single" w:sz="2" w:space="0" w:color="000000"/>
              <w:left w:val="single" w:sz="2" w:space="0" w:color="000000"/>
              <w:bottom w:val="single" w:sz="2" w:space="0" w:color="000000"/>
              <w:right w:val="single" w:sz="2" w:space="0" w:color="000000"/>
            </w:tcBorders>
            <w:vAlign w:val="center"/>
          </w:tcPr>
          <w:p w14:paraId="2F758045" w14:textId="77777777" w:rsidR="004D4A28" w:rsidRDefault="004D4A28" w:rsidP="00361368">
            <w:pPr>
              <w:spacing w:line="259" w:lineRule="auto"/>
              <w:ind w:left="56"/>
              <w:jc w:val="center"/>
            </w:pPr>
            <w:r w:rsidRPr="0002410C">
              <w:rPr>
                <w:rFonts w:asciiTheme="majorHAnsi" w:hAnsiTheme="majorHAnsi" w:cs="Calibri"/>
                <w:b/>
                <w:sz w:val="18"/>
                <w:szCs w:val="18"/>
              </w:rPr>
              <w:t>549005</w:t>
            </w:r>
          </w:p>
        </w:tc>
        <w:tc>
          <w:tcPr>
            <w:tcW w:w="776" w:type="dxa"/>
            <w:tcBorders>
              <w:top w:val="single" w:sz="2" w:space="0" w:color="000000"/>
              <w:left w:val="single" w:sz="2" w:space="0" w:color="000000"/>
              <w:bottom w:val="single" w:sz="2" w:space="0" w:color="000000"/>
              <w:right w:val="single" w:sz="2" w:space="0" w:color="000000"/>
            </w:tcBorders>
            <w:vAlign w:val="center"/>
          </w:tcPr>
          <w:p w14:paraId="49C6A1D8" w14:textId="77777777" w:rsidR="004D4A28" w:rsidRDefault="004D4A28" w:rsidP="00361368">
            <w:pPr>
              <w:spacing w:line="259" w:lineRule="auto"/>
              <w:ind w:left="55"/>
              <w:jc w:val="center"/>
            </w:pPr>
            <w:r w:rsidRPr="0002410C">
              <w:rPr>
                <w:rFonts w:asciiTheme="majorHAnsi" w:hAnsiTheme="majorHAnsi" w:cs="Calibri"/>
                <w:b/>
                <w:sz w:val="18"/>
                <w:szCs w:val="18"/>
              </w:rPr>
              <w:t>551391</w:t>
            </w:r>
          </w:p>
        </w:tc>
        <w:tc>
          <w:tcPr>
            <w:tcW w:w="775" w:type="dxa"/>
            <w:tcBorders>
              <w:top w:val="single" w:sz="2" w:space="0" w:color="000000"/>
              <w:left w:val="single" w:sz="2" w:space="0" w:color="000000"/>
              <w:bottom w:val="single" w:sz="2" w:space="0" w:color="000000"/>
              <w:right w:val="single" w:sz="2" w:space="0" w:color="000000"/>
            </w:tcBorders>
            <w:vAlign w:val="center"/>
          </w:tcPr>
          <w:p w14:paraId="643BBFF2" w14:textId="77777777" w:rsidR="004D4A28" w:rsidRDefault="004D4A28" w:rsidP="00361368">
            <w:pPr>
              <w:spacing w:line="259" w:lineRule="auto"/>
              <w:ind w:left="61"/>
              <w:jc w:val="center"/>
            </w:pPr>
            <w:r w:rsidRPr="0002410C">
              <w:rPr>
                <w:rFonts w:asciiTheme="majorHAnsi" w:hAnsiTheme="majorHAnsi" w:cs="Calibri"/>
                <w:b/>
                <w:sz w:val="18"/>
                <w:szCs w:val="18"/>
              </w:rPr>
              <w:t>507468</w:t>
            </w:r>
          </w:p>
        </w:tc>
        <w:tc>
          <w:tcPr>
            <w:tcW w:w="775" w:type="dxa"/>
            <w:tcBorders>
              <w:top w:val="single" w:sz="2" w:space="0" w:color="000000"/>
              <w:left w:val="single" w:sz="2" w:space="0" w:color="000000"/>
              <w:bottom w:val="single" w:sz="2" w:space="0" w:color="000000"/>
              <w:right w:val="single" w:sz="2" w:space="0" w:color="000000"/>
            </w:tcBorders>
            <w:vAlign w:val="center"/>
          </w:tcPr>
          <w:p w14:paraId="633F9701" w14:textId="77777777" w:rsidR="004D4A28" w:rsidRDefault="004D4A28" w:rsidP="00361368">
            <w:pPr>
              <w:spacing w:line="259" w:lineRule="auto"/>
              <w:ind w:left="55"/>
              <w:jc w:val="center"/>
            </w:pPr>
            <w:r w:rsidRPr="0002410C">
              <w:rPr>
                <w:rFonts w:asciiTheme="majorHAnsi" w:hAnsiTheme="majorHAnsi" w:cs="Calibri"/>
                <w:b/>
                <w:sz w:val="18"/>
                <w:szCs w:val="18"/>
              </w:rPr>
              <w:t>457923</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990F761" w14:textId="77777777" w:rsidR="004D4A28" w:rsidRDefault="004D4A28" w:rsidP="00361368">
            <w:pPr>
              <w:spacing w:line="259" w:lineRule="auto"/>
              <w:ind w:left="56"/>
              <w:jc w:val="center"/>
            </w:pPr>
            <w:r w:rsidRPr="0002410C">
              <w:rPr>
                <w:rFonts w:asciiTheme="majorHAnsi" w:hAnsiTheme="majorHAnsi" w:cs="Calibri"/>
                <w:b/>
                <w:sz w:val="18"/>
                <w:szCs w:val="18"/>
              </w:rPr>
              <w:t>434539</w:t>
            </w:r>
          </w:p>
        </w:tc>
        <w:tc>
          <w:tcPr>
            <w:tcW w:w="775" w:type="dxa"/>
            <w:tcBorders>
              <w:top w:val="single" w:sz="2" w:space="0" w:color="000000"/>
              <w:left w:val="single" w:sz="2" w:space="0" w:color="000000"/>
              <w:bottom w:val="single" w:sz="2" w:space="0" w:color="000000"/>
              <w:right w:val="single" w:sz="2" w:space="0" w:color="000000"/>
            </w:tcBorders>
            <w:vAlign w:val="center"/>
          </w:tcPr>
          <w:p w14:paraId="696EFAEF" w14:textId="77777777" w:rsidR="004D4A28" w:rsidRPr="00921C44" w:rsidRDefault="004D4A28" w:rsidP="00361368">
            <w:pPr>
              <w:spacing w:line="259" w:lineRule="auto"/>
              <w:ind w:left="56"/>
              <w:jc w:val="center"/>
              <w:rPr>
                <w:sz w:val="18"/>
                <w:szCs w:val="18"/>
              </w:rPr>
            </w:pPr>
            <w:r w:rsidRPr="00364545">
              <w:rPr>
                <w:sz w:val="18"/>
              </w:rPr>
              <w:t>398676</w:t>
            </w:r>
          </w:p>
        </w:tc>
        <w:tc>
          <w:tcPr>
            <w:tcW w:w="775" w:type="dxa"/>
            <w:tcBorders>
              <w:top w:val="single" w:sz="2" w:space="0" w:color="000000"/>
              <w:left w:val="single" w:sz="2" w:space="0" w:color="000000"/>
              <w:bottom w:val="single" w:sz="2" w:space="0" w:color="000000"/>
              <w:right w:val="single" w:sz="2" w:space="0" w:color="000000"/>
            </w:tcBorders>
            <w:vAlign w:val="center"/>
          </w:tcPr>
          <w:p w14:paraId="619D9397" w14:textId="77777777" w:rsidR="004D4A28" w:rsidRPr="00921C44" w:rsidRDefault="004D4A28" w:rsidP="00361368">
            <w:pPr>
              <w:spacing w:line="259" w:lineRule="auto"/>
              <w:ind w:left="56"/>
              <w:jc w:val="center"/>
              <w:rPr>
                <w:sz w:val="18"/>
                <w:szCs w:val="18"/>
              </w:rPr>
            </w:pPr>
            <w:r w:rsidRPr="00364545">
              <w:rPr>
                <w:sz w:val="18"/>
              </w:rPr>
              <w:t>392095</w:t>
            </w:r>
          </w:p>
        </w:tc>
        <w:tc>
          <w:tcPr>
            <w:tcW w:w="776" w:type="dxa"/>
            <w:tcBorders>
              <w:top w:val="single" w:sz="2" w:space="0" w:color="000000"/>
              <w:left w:val="single" w:sz="2" w:space="0" w:color="000000"/>
              <w:bottom w:val="single" w:sz="2" w:space="0" w:color="000000"/>
              <w:right w:val="single" w:sz="2" w:space="0" w:color="000000"/>
            </w:tcBorders>
            <w:vAlign w:val="center"/>
          </w:tcPr>
          <w:p w14:paraId="7533EFDA" w14:textId="77777777" w:rsidR="004D4A28" w:rsidRPr="00921C44" w:rsidRDefault="004D4A28" w:rsidP="00361368">
            <w:pPr>
              <w:spacing w:line="259" w:lineRule="auto"/>
              <w:ind w:left="56"/>
              <w:jc w:val="center"/>
              <w:rPr>
                <w:sz w:val="18"/>
                <w:szCs w:val="18"/>
              </w:rPr>
            </w:pPr>
            <w:r w:rsidRPr="00364545">
              <w:rPr>
                <w:sz w:val="18"/>
              </w:rPr>
              <w:t>367049</w:t>
            </w:r>
          </w:p>
        </w:tc>
        <w:tc>
          <w:tcPr>
            <w:tcW w:w="775" w:type="dxa"/>
            <w:tcBorders>
              <w:top w:val="single" w:sz="2" w:space="0" w:color="000000"/>
              <w:left w:val="single" w:sz="2" w:space="0" w:color="000000"/>
              <w:bottom w:val="single" w:sz="2" w:space="0" w:color="000000"/>
              <w:right w:val="single" w:sz="2" w:space="0" w:color="000000"/>
            </w:tcBorders>
            <w:vAlign w:val="center"/>
          </w:tcPr>
          <w:p w14:paraId="648582E4" w14:textId="77777777" w:rsidR="004D4A28" w:rsidRPr="00921C44" w:rsidRDefault="004D4A28" w:rsidP="00361368">
            <w:pPr>
              <w:spacing w:line="259" w:lineRule="auto"/>
              <w:ind w:left="56"/>
              <w:jc w:val="center"/>
              <w:rPr>
                <w:sz w:val="18"/>
                <w:szCs w:val="18"/>
              </w:rPr>
            </w:pPr>
            <w:r w:rsidRPr="00364545">
              <w:rPr>
                <w:sz w:val="18"/>
              </w:rPr>
              <w:t>354446</w:t>
            </w:r>
          </w:p>
        </w:tc>
        <w:tc>
          <w:tcPr>
            <w:tcW w:w="776" w:type="dxa"/>
            <w:tcBorders>
              <w:top w:val="single" w:sz="2" w:space="0" w:color="000000"/>
              <w:left w:val="single" w:sz="2" w:space="0" w:color="000000"/>
              <w:bottom w:val="single" w:sz="2" w:space="0" w:color="000000"/>
              <w:right w:val="single" w:sz="2" w:space="0" w:color="000000"/>
            </w:tcBorders>
            <w:vAlign w:val="center"/>
          </w:tcPr>
          <w:p w14:paraId="70FB590A" w14:textId="77777777" w:rsidR="004D4A28" w:rsidRPr="00921C44" w:rsidRDefault="004D4A28" w:rsidP="00361368">
            <w:pPr>
              <w:spacing w:line="259" w:lineRule="auto"/>
              <w:ind w:left="56"/>
              <w:jc w:val="center"/>
              <w:rPr>
                <w:sz w:val="18"/>
                <w:szCs w:val="18"/>
              </w:rPr>
            </w:pPr>
            <w:r w:rsidRPr="00364545">
              <w:rPr>
                <w:sz w:val="18"/>
              </w:rPr>
              <w:t>329653</w:t>
            </w:r>
          </w:p>
        </w:tc>
      </w:tr>
      <w:tr w:rsidR="004D4A28" w14:paraId="03C3B78F" w14:textId="77777777" w:rsidTr="00361368">
        <w:trPr>
          <w:trHeight w:val="345"/>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41C399CD" w14:textId="77777777" w:rsidR="004D4A28" w:rsidRDefault="004D4A28" w:rsidP="00361368">
            <w:pPr>
              <w:spacing w:line="259" w:lineRule="auto"/>
              <w:jc w:val="left"/>
            </w:pPr>
            <w:r>
              <w:rPr>
                <w:b/>
                <w:sz w:val="18"/>
              </w:rPr>
              <w:t xml:space="preserve">Ensemble (avec UTCF)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7F01422" w14:textId="77777777" w:rsidR="004D4A28" w:rsidRDefault="004D4A28" w:rsidP="00361368">
            <w:pPr>
              <w:spacing w:line="259" w:lineRule="auto"/>
              <w:ind w:left="55"/>
              <w:jc w:val="center"/>
            </w:pPr>
            <w:r>
              <w:rPr>
                <w:sz w:val="18"/>
                <w:szCs w:val="18"/>
              </w:rPr>
              <w:t>520100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0411AD8" w14:textId="77777777" w:rsidR="004D4A28" w:rsidRPr="00AB5735" w:rsidRDefault="004D4A28" w:rsidP="00361368">
            <w:pPr>
              <w:spacing w:line="259" w:lineRule="auto"/>
              <w:ind w:left="56"/>
              <w:jc w:val="center"/>
              <w:rPr>
                <w:sz w:val="18"/>
                <w:szCs w:val="18"/>
              </w:rPr>
            </w:pPr>
            <w:r>
              <w:rPr>
                <w:sz w:val="18"/>
                <w:szCs w:val="18"/>
              </w:rPr>
              <w:t>511596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CAF96AC" w14:textId="77777777" w:rsidR="004D4A28" w:rsidRDefault="004D4A28" w:rsidP="00361368">
            <w:pPr>
              <w:spacing w:line="259" w:lineRule="auto"/>
              <w:ind w:left="56"/>
              <w:jc w:val="center"/>
            </w:pPr>
            <w:r>
              <w:rPr>
                <w:sz w:val="18"/>
                <w:szCs w:val="18"/>
              </w:rPr>
              <w:t>529296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7344C40" w14:textId="77777777" w:rsidR="004D4A28" w:rsidRDefault="004D4A28" w:rsidP="00361368">
            <w:pPr>
              <w:spacing w:line="259" w:lineRule="auto"/>
              <w:ind w:left="55"/>
              <w:jc w:val="center"/>
            </w:pPr>
            <w:r>
              <w:rPr>
                <w:sz w:val="18"/>
                <w:szCs w:val="18"/>
              </w:rPr>
              <w:t>504080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C5E388D" w14:textId="77777777" w:rsidR="004D4A28" w:rsidRDefault="004D4A28" w:rsidP="00361368">
            <w:pPr>
              <w:spacing w:line="259" w:lineRule="auto"/>
              <w:ind w:left="56"/>
              <w:jc w:val="center"/>
            </w:pPr>
            <w:r>
              <w:rPr>
                <w:sz w:val="18"/>
                <w:szCs w:val="18"/>
              </w:rPr>
              <w:t>469113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5AC3218" w14:textId="77777777" w:rsidR="004D4A28" w:rsidRDefault="004D4A28" w:rsidP="00361368">
            <w:pPr>
              <w:spacing w:line="259" w:lineRule="auto"/>
              <w:ind w:left="55"/>
              <w:jc w:val="center"/>
            </w:pPr>
            <w:r>
              <w:rPr>
                <w:sz w:val="18"/>
                <w:szCs w:val="18"/>
              </w:rPr>
              <w:t>423346</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2A0A9764" w14:textId="77777777" w:rsidR="004D4A28" w:rsidRDefault="004D4A28" w:rsidP="00361368">
            <w:pPr>
              <w:spacing w:line="259" w:lineRule="auto"/>
              <w:ind w:left="56"/>
              <w:jc w:val="center"/>
            </w:pPr>
            <w:r>
              <w:rPr>
                <w:sz w:val="18"/>
                <w:szCs w:val="18"/>
              </w:rPr>
              <w:t>422252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35E948B" w14:textId="77777777" w:rsidR="004D4A28" w:rsidRPr="00921C44" w:rsidRDefault="004D4A28" w:rsidP="00361368">
            <w:pPr>
              <w:spacing w:line="259" w:lineRule="auto"/>
              <w:ind w:left="56"/>
              <w:jc w:val="center"/>
              <w:rPr>
                <w:sz w:val="18"/>
                <w:szCs w:val="18"/>
              </w:rPr>
            </w:pPr>
            <w:r w:rsidRPr="00364545">
              <w:rPr>
                <w:sz w:val="18"/>
              </w:rPr>
              <w:t>365838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E7581B3" w14:textId="77777777" w:rsidR="004D4A28" w:rsidRPr="00921C44" w:rsidRDefault="004D4A28" w:rsidP="00361368">
            <w:pPr>
              <w:spacing w:line="259" w:lineRule="auto"/>
              <w:ind w:left="56"/>
              <w:jc w:val="center"/>
              <w:rPr>
                <w:sz w:val="18"/>
                <w:szCs w:val="18"/>
              </w:rPr>
            </w:pPr>
            <w:r w:rsidRPr="00364545">
              <w:rPr>
                <w:sz w:val="18"/>
              </w:rPr>
              <w:t>363349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FD6467" w14:textId="77777777" w:rsidR="004D4A28" w:rsidRPr="00921C44" w:rsidRDefault="004D4A28" w:rsidP="00361368">
            <w:pPr>
              <w:spacing w:line="259" w:lineRule="auto"/>
              <w:ind w:left="56"/>
              <w:jc w:val="center"/>
              <w:rPr>
                <w:sz w:val="18"/>
                <w:szCs w:val="18"/>
              </w:rPr>
            </w:pPr>
            <w:r w:rsidRPr="00364545">
              <w:rPr>
                <w:sz w:val="18"/>
              </w:rPr>
              <w:t>340618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019BFC" w14:textId="77777777" w:rsidR="004D4A28" w:rsidRPr="00921C44" w:rsidRDefault="004D4A28" w:rsidP="00361368">
            <w:pPr>
              <w:spacing w:line="259" w:lineRule="auto"/>
              <w:ind w:left="56"/>
              <w:jc w:val="center"/>
              <w:rPr>
                <w:sz w:val="18"/>
                <w:szCs w:val="18"/>
              </w:rPr>
            </w:pPr>
            <w:r w:rsidRPr="00364545">
              <w:rPr>
                <w:sz w:val="18"/>
              </w:rPr>
              <w:t>332886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C9E0D9" w14:textId="77777777" w:rsidR="004D4A28" w:rsidRPr="00921C44" w:rsidRDefault="004D4A28" w:rsidP="00361368">
            <w:pPr>
              <w:spacing w:line="259" w:lineRule="auto"/>
              <w:ind w:left="56"/>
              <w:jc w:val="center"/>
              <w:rPr>
                <w:sz w:val="18"/>
                <w:szCs w:val="18"/>
              </w:rPr>
            </w:pPr>
            <w:r w:rsidRPr="00364545">
              <w:rPr>
                <w:sz w:val="18"/>
              </w:rPr>
              <w:t>317026</w:t>
            </w:r>
          </w:p>
        </w:tc>
      </w:tr>
      <w:tr w:rsidR="004D4A28" w14:paraId="44A110FC" w14:textId="77777777" w:rsidTr="00361368">
        <w:trPr>
          <w:trHeight w:val="346"/>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06658A72" w14:textId="77777777" w:rsidR="004D4A28" w:rsidRDefault="004D4A28" w:rsidP="00361368">
            <w:pPr>
              <w:spacing w:line="259" w:lineRule="auto"/>
              <w:jc w:val="left"/>
            </w:pPr>
            <w:r>
              <w:rPr>
                <w:i/>
                <w:sz w:val="18"/>
              </w:rPr>
              <w:t xml:space="preserve">Pour mémoire :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07CF250" w14:textId="77777777" w:rsidR="004D4A28" w:rsidRDefault="004D4A28" w:rsidP="003613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46891B2" w14:textId="77777777" w:rsidR="004D4A28" w:rsidRPr="00AB5735" w:rsidRDefault="004D4A28" w:rsidP="00361368">
            <w:pPr>
              <w:spacing w:line="259" w:lineRule="auto"/>
              <w:ind w:left="20"/>
              <w:jc w:val="center"/>
              <w:rPr>
                <w:i/>
                <w:sz w:val="18"/>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AAA4111" w14:textId="77777777" w:rsidR="004D4A28" w:rsidRDefault="004D4A28" w:rsidP="00361368">
            <w:pPr>
              <w:spacing w:line="259" w:lineRule="auto"/>
              <w:ind w:left="20"/>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08F0198" w14:textId="77777777" w:rsidR="004D4A28" w:rsidRDefault="004D4A28" w:rsidP="003613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93CE496" w14:textId="77777777" w:rsidR="004D4A28" w:rsidRDefault="004D4A28" w:rsidP="00361368">
            <w:pPr>
              <w:spacing w:line="259" w:lineRule="auto"/>
              <w:ind w:left="20"/>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01A0319" w14:textId="77777777" w:rsidR="004D4A28" w:rsidRDefault="004D4A28" w:rsidP="00361368">
            <w:pPr>
              <w:spacing w:line="259" w:lineRule="auto"/>
              <w:ind w:left="18"/>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0F58255" w14:textId="77777777" w:rsidR="004D4A28" w:rsidRDefault="004D4A28" w:rsidP="00361368">
            <w:pPr>
              <w:spacing w:line="259" w:lineRule="auto"/>
              <w:ind w:left="20"/>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595A11A" w14:textId="77777777" w:rsidR="004D4A28" w:rsidRDefault="004D4A28" w:rsidP="003613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8524514" w14:textId="77777777" w:rsidR="004D4A28" w:rsidRDefault="004D4A28" w:rsidP="00361368">
            <w:pPr>
              <w:spacing w:line="259" w:lineRule="auto"/>
              <w:ind w:left="20"/>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730D08E" w14:textId="77777777" w:rsidR="004D4A28" w:rsidRDefault="004D4A28" w:rsidP="00361368">
            <w:pPr>
              <w:spacing w:line="259" w:lineRule="auto"/>
              <w:ind w:left="19"/>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6BDAB95" w14:textId="77777777" w:rsidR="004D4A28" w:rsidRDefault="004D4A28" w:rsidP="00361368">
            <w:pPr>
              <w:spacing w:line="259" w:lineRule="auto"/>
              <w:ind w:left="19"/>
              <w:jc w:val="center"/>
              <w:rPr>
                <w:i/>
                <w:sz w:val="18"/>
              </w:rP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56C3E5C" w14:textId="77777777" w:rsidR="004D4A28" w:rsidRDefault="004D4A28" w:rsidP="00361368">
            <w:pPr>
              <w:spacing w:line="259" w:lineRule="auto"/>
              <w:ind w:left="19"/>
              <w:jc w:val="center"/>
              <w:rPr>
                <w:i/>
                <w:sz w:val="18"/>
              </w:rPr>
            </w:pPr>
          </w:p>
        </w:tc>
      </w:tr>
      <w:tr w:rsidR="004D4A28" w14:paraId="2EDFECB1" w14:textId="77777777" w:rsidTr="00361368">
        <w:trPr>
          <w:trHeight w:val="346"/>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72156AE9" w14:textId="77777777" w:rsidR="004D4A28" w:rsidRDefault="004D4A28" w:rsidP="00361368">
            <w:pPr>
              <w:spacing w:line="259" w:lineRule="auto"/>
              <w:jc w:val="left"/>
            </w:pPr>
            <w:r>
              <w:rPr>
                <w:i/>
                <w:sz w:val="18"/>
              </w:rPr>
              <w:t xml:space="preserve">Soutes internationales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AB364E8" w14:textId="77777777" w:rsidR="004D4A28" w:rsidRPr="00921C44" w:rsidRDefault="004D4A28" w:rsidP="00361368">
            <w:pPr>
              <w:spacing w:line="259" w:lineRule="auto"/>
              <w:ind w:left="56"/>
              <w:jc w:val="center"/>
              <w:rPr>
                <w:i/>
                <w:sz w:val="18"/>
                <w:szCs w:val="18"/>
              </w:rPr>
            </w:pPr>
            <w:r>
              <w:rPr>
                <w:sz w:val="18"/>
                <w:szCs w:val="18"/>
              </w:rPr>
              <w:t>16921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F32E04A" w14:textId="77777777" w:rsidR="004D4A28" w:rsidRPr="00AB5735" w:rsidRDefault="004D4A28" w:rsidP="00361368">
            <w:pPr>
              <w:spacing w:line="259" w:lineRule="auto"/>
              <w:ind w:left="56"/>
              <w:jc w:val="center"/>
              <w:rPr>
                <w:i/>
                <w:sz w:val="18"/>
                <w:szCs w:val="18"/>
              </w:rPr>
            </w:pPr>
            <w:r>
              <w:rPr>
                <w:sz w:val="18"/>
                <w:szCs w:val="18"/>
              </w:rPr>
              <w:t>17908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DD33FB7" w14:textId="77777777" w:rsidR="004D4A28" w:rsidRPr="00921C44" w:rsidRDefault="004D4A28" w:rsidP="00361368">
            <w:pPr>
              <w:spacing w:line="259" w:lineRule="auto"/>
              <w:ind w:left="56"/>
              <w:jc w:val="center"/>
              <w:rPr>
                <w:i/>
                <w:sz w:val="18"/>
                <w:szCs w:val="18"/>
              </w:rPr>
            </w:pPr>
            <w:r>
              <w:rPr>
                <w:sz w:val="18"/>
                <w:szCs w:val="18"/>
              </w:rPr>
              <w:t>23807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C40183D" w14:textId="77777777" w:rsidR="004D4A28" w:rsidRPr="00921C44" w:rsidRDefault="004D4A28" w:rsidP="00361368">
            <w:pPr>
              <w:spacing w:line="259" w:lineRule="auto"/>
              <w:ind w:left="56"/>
              <w:jc w:val="center"/>
              <w:rPr>
                <w:i/>
                <w:sz w:val="18"/>
                <w:szCs w:val="18"/>
              </w:rPr>
            </w:pPr>
            <w:r>
              <w:rPr>
                <w:sz w:val="18"/>
                <w:szCs w:val="18"/>
              </w:rPr>
              <w:t>24733</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1EE9DF2" w14:textId="77777777" w:rsidR="004D4A28" w:rsidRPr="00921C44" w:rsidRDefault="004D4A28" w:rsidP="00361368">
            <w:pPr>
              <w:spacing w:line="259" w:lineRule="auto"/>
              <w:ind w:left="56"/>
              <w:jc w:val="center"/>
              <w:rPr>
                <w:i/>
                <w:sz w:val="18"/>
                <w:szCs w:val="18"/>
              </w:rPr>
            </w:pPr>
            <w:r w:rsidRPr="00634E4C">
              <w:rPr>
                <w:sz w:val="18"/>
              </w:rPr>
              <w:t>24227</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A2E3930" w14:textId="77777777" w:rsidR="004D4A28" w:rsidRPr="00921C44" w:rsidRDefault="004D4A28" w:rsidP="00361368">
            <w:pPr>
              <w:spacing w:line="259" w:lineRule="auto"/>
              <w:ind w:left="56"/>
              <w:jc w:val="center"/>
              <w:rPr>
                <w:i/>
                <w:sz w:val="18"/>
                <w:szCs w:val="18"/>
              </w:rPr>
            </w:pPr>
            <w:r w:rsidRPr="00634E4C">
              <w:rPr>
                <w:sz w:val="18"/>
              </w:rPr>
              <w:t>23316</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A54ABF8" w14:textId="77777777" w:rsidR="004D4A28" w:rsidRPr="00921C44" w:rsidRDefault="004D4A28" w:rsidP="00361368">
            <w:pPr>
              <w:spacing w:line="259" w:lineRule="auto"/>
              <w:ind w:left="56"/>
              <w:jc w:val="center"/>
              <w:rPr>
                <w:i/>
                <w:sz w:val="18"/>
                <w:szCs w:val="18"/>
              </w:rPr>
            </w:pPr>
            <w:r w:rsidRPr="00634E4C">
              <w:rPr>
                <w:sz w:val="18"/>
              </w:rPr>
              <w:t>24791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D563884" w14:textId="77777777" w:rsidR="004D4A28" w:rsidRPr="00921C44" w:rsidRDefault="004D4A28" w:rsidP="00361368">
            <w:pPr>
              <w:spacing w:line="259" w:lineRule="auto"/>
              <w:ind w:left="56"/>
              <w:jc w:val="center"/>
              <w:rPr>
                <w:i/>
                <w:sz w:val="18"/>
                <w:szCs w:val="18"/>
              </w:rPr>
            </w:pPr>
            <w:r w:rsidRPr="00364545">
              <w:rPr>
                <w:i/>
                <w:sz w:val="18"/>
              </w:rPr>
              <w:t>9647</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FC2D754" w14:textId="77777777" w:rsidR="004D4A28" w:rsidRPr="00921C44" w:rsidRDefault="004D4A28" w:rsidP="00361368">
            <w:pPr>
              <w:spacing w:line="259" w:lineRule="auto"/>
              <w:ind w:left="56"/>
              <w:jc w:val="center"/>
              <w:rPr>
                <w:i/>
                <w:sz w:val="18"/>
                <w:szCs w:val="18"/>
              </w:rPr>
            </w:pPr>
            <w:r w:rsidRPr="00364545">
              <w:rPr>
                <w:i/>
                <w:sz w:val="18"/>
              </w:rPr>
              <w:t>23890</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0CB6DE8" w14:textId="77777777" w:rsidR="004D4A28" w:rsidRPr="00921C44" w:rsidRDefault="004D4A28" w:rsidP="00361368">
            <w:pPr>
              <w:spacing w:line="259" w:lineRule="auto"/>
              <w:ind w:left="56"/>
              <w:jc w:val="center"/>
              <w:rPr>
                <w:i/>
                <w:sz w:val="18"/>
                <w:szCs w:val="18"/>
              </w:rPr>
            </w:pPr>
            <w:r w:rsidRPr="00364545">
              <w:rPr>
                <w:i/>
                <w:sz w:val="18"/>
              </w:rPr>
              <w:t>24424</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744468E" w14:textId="77777777" w:rsidR="004D4A28" w:rsidRPr="00921C44" w:rsidRDefault="004D4A28" w:rsidP="00361368">
            <w:pPr>
              <w:spacing w:line="259" w:lineRule="auto"/>
              <w:ind w:left="56"/>
              <w:jc w:val="center"/>
              <w:rPr>
                <w:i/>
                <w:sz w:val="18"/>
                <w:szCs w:val="18"/>
              </w:rPr>
            </w:pPr>
            <w:r w:rsidRPr="00364545">
              <w:rPr>
                <w:i/>
                <w:sz w:val="18"/>
              </w:rPr>
              <w:t>24881</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153974A" w14:textId="77777777" w:rsidR="004D4A28" w:rsidRPr="00921C44" w:rsidRDefault="004D4A28" w:rsidP="00361368">
            <w:pPr>
              <w:spacing w:line="259" w:lineRule="auto"/>
              <w:ind w:left="56"/>
              <w:jc w:val="center"/>
              <w:rPr>
                <w:i/>
                <w:sz w:val="18"/>
                <w:szCs w:val="18"/>
              </w:rPr>
            </w:pPr>
            <w:r w:rsidRPr="00364545">
              <w:rPr>
                <w:i/>
                <w:sz w:val="18"/>
              </w:rPr>
              <w:t>26319</w:t>
            </w:r>
          </w:p>
        </w:tc>
      </w:tr>
      <w:tr w:rsidR="004D4A28" w14:paraId="48A4E4D9" w14:textId="77777777" w:rsidTr="00361368">
        <w:trPr>
          <w:trHeight w:val="343"/>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5F88110C" w14:textId="77777777" w:rsidR="004D4A28" w:rsidRDefault="004D4A28" w:rsidP="00361368">
            <w:pPr>
              <w:spacing w:line="259" w:lineRule="auto"/>
              <w:jc w:val="left"/>
            </w:pPr>
            <w:r>
              <w:rPr>
                <w:i/>
                <w:sz w:val="18"/>
              </w:rPr>
              <w:t xml:space="preserve">Soutes aviation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202F5E5" w14:textId="77777777" w:rsidR="004D4A28" w:rsidRPr="00921C44" w:rsidRDefault="004D4A28" w:rsidP="00361368">
            <w:pPr>
              <w:spacing w:line="259" w:lineRule="auto"/>
              <w:ind w:left="56"/>
              <w:jc w:val="center"/>
              <w:rPr>
                <w:i/>
                <w:sz w:val="18"/>
                <w:szCs w:val="18"/>
              </w:rPr>
            </w:pPr>
            <w:r>
              <w:rPr>
                <w:sz w:val="18"/>
                <w:szCs w:val="18"/>
              </w:rPr>
              <w:t>8880</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6A00152" w14:textId="77777777" w:rsidR="004D4A28" w:rsidRPr="00AB5735" w:rsidRDefault="004D4A28" w:rsidP="00361368">
            <w:pPr>
              <w:spacing w:line="259" w:lineRule="auto"/>
              <w:ind w:left="56"/>
              <w:jc w:val="center"/>
              <w:rPr>
                <w:i/>
                <w:sz w:val="18"/>
                <w:szCs w:val="18"/>
              </w:rPr>
            </w:pPr>
            <w:r>
              <w:rPr>
                <w:sz w:val="18"/>
                <w:szCs w:val="18"/>
              </w:rPr>
              <w:t>10709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35F8A4D" w14:textId="77777777" w:rsidR="004D4A28" w:rsidRPr="00921C44" w:rsidRDefault="004D4A28" w:rsidP="00361368">
            <w:pPr>
              <w:spacing w:line="259" w:lineRule="auto"/>
              <w:ind w:left="56"/>
              <w:jc w:val="center"/>
              <w:rPr>
                <w:i/>
                <w:sz w:val="18"/>
                <w:szCs w:val="18"/>
              </w:rPr>
            </w:pPr>
            <w:r>
              <w:rPr>
                <w:sz w:val="18"/>
                <w:szCs w:val="18"/>
              </w:rPr>
              <w:t>14243</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349587C" w14:textId="77777777" w:rsidR="004D4A28" w:rsidRPr="00921C44" w:rsidRDefault="004D4A28" w:rsidP="00361368">
            <w:pPr>
              <w:spacing w:line="259" w:lineRule="auto"/>
              <w:ind w:left="56"/>
              <w:jc w:val="center"/>
              <w:rPr>
                <w:i/>
                <w:sz w:val="18"/>
                <w:szCs w:val="18"/>
              </w:rPr>
            </w:pPr>
            <w:r>
              <w:rPr>
                <w:sz w:val="18"/>
                <w:szCs w:val="18"/>
              </w:rPr>
              <w:t>15862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FD43C7A" w14:textId="77777777" w:rsidR="004D4A28" w:rsidRPr="00921C44" w:rsidRDefault="004D4A28" w:rsidP="00361368">
            <w:pPr>
              <w:spacing w:line="259" w:lineRule="auto"/>
              <w:ind w:left="56"/>
              <w:jc w:val="center"/>
              <w:rPr>
                <w:i/>
                <w:sz w:val="18"/>
                <w:szCs w:val="18"/>
              </w:rPr>
            </w:pPr>
            <w:r w:rsidRPr="00634E4C">
              <w:rPr>
                <w:sz w:val="18"/>
              </w:rPr>
              <w:t>16227</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C20ED56" w14:textId="77777777" w:rsidR="004D4A28" w:rsidRPr="00921C44" w:rsidRDefault="004D4A28" w:rsidP="00361368">
            <w:pPr>
              <w:spacing w:line="259" w:lineRule="auto"/>
              <w:ind w:left="56"/>
              <w:jc w:val="center"/>
              <w:rPr>
                <w:i/>
                <w:sz w:val="18"/>
                <w:szCs w:val="18"/>
              </w:rPr>
            </w:pPr>
            <w:r w:rsidRPr="00634E4C">
              <w:rPr>
                <w:sz w:val="18"/>
              </w:rPr>
              <w:t>17705</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63DE4FF" w14:textId="77777777" w:rsidR="004D4A28" w:rsidRPr="00921C44" w:rsidRDefault="004D4A28" w:rsidP="00361368">
            <w:pPr>
              <w:spacing w:line="259" w:lineRule="auto"/>
              <w:ind w:left="56"/>
              <w:jc w:val="center"/>
              <w:rPr>
                <w:i/>
                <w:sz w:val="18"/>
                <w:szCs w:val="18"/>
              </w:rPr>
            </w:pPr>
            <w:r w:rsidRPr="00634E4C">
              <w:rPr>
                <w:sz w:val="18"/>
              </w:rPr>
              <w:t>19202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F86BBB7" w14:textId="77777777" w:rsidR="004D4A28" w:rsidRPr="00921C44" w:rsidRDefault="004D4A28" w:rsidP="00361368">
            <w:pPr>
              <w:spacing w:line="259" w:lineRule="auto"/>
              <w:ind w:left="56"/>
              <w:jc w:val="center"/>
              <w:rPr>
                <w:i/>
                <w:sz w:val="18"/>
                <w:szCs w:val="18"/>
              </w:rPr>
            </w:pPr>
            <w:r w:rsidRPr="00364545">
              <w:rPr>
                <w:i/>
                <w:sz w:val="18"/>
              </w:rPr>
              <w:t>4898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EDC3458" w14:textId="77777777" w:rsidR="004D4A28" w:rsidRPr="00921C44" w:rsidRDefault="004D4A28" w:rsidP="00361368">
            <w:pPr>
              <w:spacing w:line="259" w:lineRule="auto"/>
              <w:ind w:left="56"/>
              <w:jc w:val="center"/>
              <w:rPr>
                <w:i/>
                <w:sz w:val="18"/>
                <w:szCs w:val="18"/>
              </w:rPr>
            </w:pPr>
            <w:r w:rsidRPr="00364545">
              <w:rPr>
                <w:i/>
                <w:sz w:val="18"/>
              </w:rPr>
              <w:t>19148</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0D0FE24" w14:textId="77777777" w:rsidR="004D4A28" w:rsidRPr="00921C44" w:rsidRDefault="004D4A28" w:rsidP="00361368">
            <w:pPr>
              <w:spacing w:line="259" w:lineRule="auto"/>
              <w:ind w:left="56"/>
              <w:jc w:val="center"/>
              <w:rPr>
                <w:i/>
                <w:sz w:val="18"/>
                <w:szCs w:val="18"/>
              </w:rPr>
            </w:pPr>
            <w:r w:rsidRPr="00364545">
              <w:rPr>
                <w:i/>
                <w:sz w:val="18"/>
              </w:rPr>
              <w:t>19698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CB293AE" w14:textId="77777777" w:rsidR="004D4A28" w:rsidRPr="00921C44" w:rsidRDefault="004D4A28" w:rsidP="00361368">
            <w:pPr>
              <w:spacing w:line="259" w:lineRule="auto"/>
              <w:ind w:left="56"/>
              <w:jc w:val="center"/>
              <w:rPr>
                <w:i/>
                <w:sz w:val="18"/>
                <w:szCs w:val="18"/>
              </w:rPr>
            </w:pPr>
            <w:r w:rsidRPr="00364545">
              <w:rPr>
                <w:i/>
                <w:sz w:val="18"/>
              </w:rPr>
              <w:t>20165</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9D84392" w14:textId="77777777" w:rsidR="004D4A28" w:rsidRPr="00921C44" w:rsidRDefault="004D4A28" w:rsidP="00361368">
            <w:pPr>
              <w:spacing w:line="259" w:lineRule="auto"/>
              <w:ind w:left="56"/>
              <w:jc w:val="center"/>
              <w:rPr>
                <w:i/>
                <w:sz w:val="18"/>
                <w:szCs w:val="18"/>
              </w:rPr>
            </w:pPr>
            <w:r w:rsidRPr="00364545">
              <w:rPr>
                <w:i/>
                <w:sz w:val="18"/>
              </w:rPr>
              <w:t>21635</w:t>
            </w:r>
          </w:p>
        </w:tc>
      </w:tr>
      <w:tr w:rsidR="004D4A28" w14:paraId="7E452298" w14:textId="77777777" w:rsidTr="00361368">
        <w:trPr>
          <w:trHeight w:val="345"/>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78EC2422" w14:textId="77777777" w:rsidR="004D4A28" w:rsidRDefault="004D4A28" w:rsidP="00361368">
            <w:pPr>
              <w:spacing w:line="259" w:lineRule="auto"/>
              <w:jc w:val="left"/>
            </w:pPr>
            <w:r>
              <w:rPr>
                <w:i/>
                <w:sz w:val="18"/>
              </w:rPr>
              <w:t xml:space="preserve">Soutes maritimes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6331B40" w14:textId="77777777" w:rsidR="004D4A28" w:rsidRPr="00921C44" w:rsidRDefault="004D4A28" w:rsidP="00361368">
            <w:pPr>
              <w:spacing w:line="259" w:lineRule="auto"/>
              <w:ind w:left="56"/>
              <w:jc w:val="center"/>
              <w:rPr>
                <w:i/>
                <w:sz w:val="18"/>
                <w:szCs w:val="18"/>
              </w:rPr>
            </w:pPr>
            <w:r>
              <w:rPr>
                <w:sz w:val="18"/>
                <w:szCs w:val="18"/>
              </w:rPr>
              <w:t>8041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1A91322" w14:textId="77777777" w:rsidR="004D4A28" w:rsidRPr="00AB5735" w:rsidRDefault="004D4A28" w:rsidP="00361368">
            <w:pPr>
              <w:spacing w:line="259" w:lineRule="auto"/>
              <w:ind w:left="56"/>
              <w:jc w:val="center"/>
              <w:rPr>
                <w:i/>
                <w:sz w:val="18"/>
                <w:szCs w:val="18"/>
              </w:rPr>
            </w:pPr>
            <w:r>
              <w:rPr>
                <w:sz w:val="18"/>
                <w:szCs w:val="18"/>
              </w:rPr>
              <w:t>7199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E4FD1A0" w14:textId="77777777" w:rsidR="004D4A28" w:rsidRPr="00921C44" w:rsidRDefault="004D4A28" w:rsidP="00361368">
            <w:pPr>
              <w:spacing w:line="259" w:lineRule="auto"/>
              <w:ind w:left="56"/>
              <w:jc w:val="center"/>
              <w:rPr>
                <w:i/>
                <w:sz w:val="18"/>
                <w:szCs w:val="18"/>
              </w:rPr>
            </w:pPr>
            <w:r>
              <w:rPr>
                <w:sz w:val="18"/>
                <w:szCs w:val="18"/>
              </w:rPr>
              <w:t>9564</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729AB89" w14:textId="77777777" w:rsidR="004D4A28" w:rsidRPr="00921C44" w:rsidRDefault="004D4A28" w:rsidP="00361368">
            <w:pPr>
              <w:spacing w:line="259" w:lineRule="auto"/>
              <w:ind w:left="56"/>
              <w:jc w:val="center"/>
              <w:rPr>
                <w:i/>
                <w:sz w:val="18"/>
                <w:szCs w:val="18"/>
              </w:rPr>
            </w:pPr>
            <w:r w:rsidRPr="00634E4C">
              <w:rPr>
                <w:sz w:val="18"/>
              </w:rPr>
              <w:t>8871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4A67A65" w14:textId="77777777" w:rsidR="004D4A28" w:rsidRPr="00921C44" w:rsidRDefault="004D4A28" w:rsidP="00361368">
            <w:pPr>
              <w:spacing w:line="259" w:lineRule="auto"/>
              <w:ind w:left="56"/>
              <w:jc w:val="center"/>
              <w:rPr>
                <w:i/>
                <w:sz w:val="18"/>
                <w:szCs w:val="18"/>
              </w:rPr>
            </w:pPr>
            <w:r w:rsidRPr="00634E4C">
              <w:rPr>
                <w:sz w:val="18"/>
              </w:rPr>
              <w:t>8001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1B21D15" w14:textId="77777777" w:rsidR="004D4A28" w:rsidRPr="00921C44" w:rsidRDefault="004D4A28" w:rsidP="00361368">
            <w:pPr>
              <w:spacing w:line="259" w:lineRule="auto"/>
              <w:ind w:left="56"/>
              <w:jc w:val="center"/>
              <w:rPr>
                <w:i/>
                <w:sz w:val="18"/>
                <w:szCs w:val="18"/>
              </w:rPr>
            </w:pPr>
            <w:r w:rsidRPr="00634E4C">
              <w:rPr>
                <w:sz w:val="18"/>
              </w:rPr>
              <w:t>5611</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9125E6F" w14:textId="77777777" w:rsidR="004D4A28" w:rsidRPr="00921C44" w:rsidRDefault="004D4A28" w:rsidP="00361368">
            <w:pPr>
              <w:spacing w:line="259" w:lineRule="auto"/>
              <w:ind w:left="56"/>
              <w:jc w:val="center"/>
              <w:rPr>
                <w:i/>
                <w:sz w:val="18"/>
                <w:szCs w:val="18"/>
              </w:rPr>
            </w:pPr>
            <w:r w:rsidRPr="00634E4C">
              <w:rPr>
                <w:sz w:val="18"/>
              </w:rPr>
              <w:t>5589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0BD9DD2" w14:textId="77777777" w:rsidR="004D4A28" w:rsidRPr="00921C44" w:rsidRDefault="004D4A28" w:rsidP="00361368">
            <w:pPr>
              <w:spacing w:line="259" w:lineRule="auto"/>
              <w:ind w:left="56"/>
              <w:jc w:val="center"/>
              <w:rPr>
                <w:i/>
                <w:sz w:val="18"/>
                <w:szCs w:val="18"/>
              </w:rPr>
            </w:pPr>
            <w:r w:rsidRPr="00364545">
              <w:rPr>
                <w:i/>
                <w:sz w:val="18"/>
              </w:rPr>
              <w:t>4750</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55C556F" w14:textId="77777777" w:rsidR="004D4A28" w:rsidRPr="00921C44" w:rsidRDefault="004D4A28" w:rsidP="00361368">
            <w:pPr>
              <w:spacing w:line="259" w:lineRule="auto"/>
              <w:ind w:left="56"/>
              <w:jc w:val="center"/>
              <w:rPr>
                <w:i/>
                <w:sz w:val="18"/>
                <w:szCs w:val="18"/>
              </w:rPr>
            </w:pPr>
            <w:r w:rsidRPr="00364545">
              <w:rPr>
                <w:i/>
                <w:sz w:val="18"/>
              </w:rPr>
              <w:t>4742</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2465C7E" w14:textId="77777777" w:rsidR="004D4A28" w:rsidRPr="00921C44" w:rsidRDefault="004D4A28" w:rsidP="00361368">
            <w:pPr>
              <w:spacing w:line="259" w:lineRule="auto"/>
              <w:ind w:left="56"/>
              <w:jc w:val="center"/>
              <w:rPr>
                <w:i/>
                <w:sz w:val="18"/>
                <w:szCs w:val="18"/>
              </w:rPr>
            </w:pPr>
            <w:r w:rsidRPr="00364545">
              <w:rPr>
                <w:i/>
                <w:sz w:val="18"/>
              </w:rPr>
              <w:t>4726</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0570718" w14:textId="77777777" w:rsidR="004D4A28" w:rsidRPr="00921C44" w:rsidRDefault="004D4A28" w:rsidP="00361368">
            <w:pPr>
              <w:spacing w:line="259" w:lineRule="auto"/>
              <w:ind w:left="56"/>
              <w:jc w:val="center"/>
              <w:rPr>
                <w:i/>
                <w:sz w:val="18"/>
                <w:szCs w:val="18"/>
              </w:rPr>
            </w:pPr>
            <w:r w:rsidRPr="00364545">
              <w:rPr>
                <w:i/>
                <w:sz w:val="18"/>
              </w:rPr>
              <w:t>4716</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5B7FBD7" w14:textId="77777777" w:rsidR="004D4A28" w:rsidRPr="00921C44" w:rsidRDefault="004D4A28" w:rsidP="00361368">
            <w:pPr>
              <w:spacing w:line="259" w:lineRule="auto"/>
              <w:ind w:left="56"/>
              <w:jc w:val="center"/>
              <w:rPr>
                <w:i/>
                <w:sz w:val="18"/>
                <w:szCs w:val="18"/>
              </w:rPr>
            </w:pPr>
            <w:r w:rsidRPr="00364545">
              <w:rPr>
                <w:i/>
                <w:sz w:val="18"/>
              </w:rPr>
              <w:t>4685</w:t>
            </w:r>
          </w:p>
        </w:tc>
      </w:tr>
    </w:tbl>
    <w:p w14:paraId="3D4D29F7" w14:textId="77777777" w:rsidR="004D4A28" w:rsidRDefault="004D4A28" w:rsidP="004D4A28">
      <w:pPr>
        <w:pStyle w:val="Default"/>
        <w:rPr>
          <w:sz w:val="16"/>
          <w:szCs w:val="16"/>
        </w:rPr>
      </w:pPr>
      <w:r>
        <w:rPr>
          <w:i/>
          <w:iCs/>
          <w:sz w:val="16"/>
          <w:szCs w:val="16"/>
        </w:rPr>
        <w:t xml:space="preserve">Lecture du tableau : Énergie = catégorie CRF1 ; procédés industriels et solvants = catégorie CRF2 et 3 ; agriculture (hors énergie) = catégorie CRF4 ; traitements des déchets = catégorie CRF 6. </w:t>
      </w:r>
    </w:p>
    <w:p w14:paraId="544FAF3D" w14:textId="77777777" w:rsidR="004D4A28" w:rsidRDefault="004D4A28" w:rsidP="004D4A28">
      <w:pPr>
        <w:pStyle w:val="Caption"/>
      </w:pPr>
      <w:bookmarkStart w:id="137" w:name="_Toc123916505"/>
      <w:r>
        <w:t xml:space="preserve">Tableau </w:t>
      </w:r>
      <w:r w:rsidR="00757301">
        <w:fldChar w:fldCharType="begin"/>
      </w:r>
      <w:r w:rsidR="00757301">
        <w:instrText xml:space="preserve"> SEQ Tableau \* ARABIC </w:instrText>
      </w:r>
      <w:r w:rsidR="00757301">
        <w:fldChar w:fldCharType="separate"/>
      </w:r>
      <w:r>
        <w:rPr>
          <w:noProof/>
        </w:rPr>
        <w:t>13</w:t>
      </w:r>
      <w:r w:rsidR="00757301">
        <w:rPr>
          <w:noProof/>
        </w:rPr>
        <w:fldChar w:fldCharType="end"/>
      </w:r>
      <w:r>
        <w:t xml:space="preserve"> : </w:t>
      </w:r>
      <w:r w:rsidRPr="00BA4A6C">
        <w:t>Projections d’émissions de GES par secteur d’activité (en kt</w:t>
      </w:r>
      <w:r>
        <w:t>CO</w:t>
      </w:r>
      <w:r w:rsidRPr="007F09F7">
        <w:rPr>
          <w:vertAlign w:val="subscript"/>
        </w:rPr>
        <w:t>2</w:t>
      </w:r>
      <w:r w:rsidRPr="004F1EC8">
        <w:rPr>
          <w:vertAlign w:val="subscript"/>
        </w:rPr>
        <w:t>e</w:t>
      </w:r>
      <w:r w:rsidRPr="00BA4A6C">
        <w:t>) au périmètre Kyoto dans le scénario AME (avec mesures existantes)</w:t>
      </w:r>
      <w:bookmarkEnd w:id="137"/>
    </w:p>
    <w:p w14:paraId="10028E15" w14:textId="77777777" w:rsidR="004D4A28" w:rsidRPr="00BA4A6C" w:rsidRDefault="004D4A28" w:rsidP="004D4A28">
      <w:pPr>
        <w:pStyle w:val="Caption"/>
      </w:pPr>
      <w:r>
        <w:t xml:space="preserve">Source : </w:t>
      </w:r>
      <w:r w:rsidRPr="00BA4A6C">
        <w:t>Inventaire CCNUCC, Citepa/MTE, soumission 20</w:t>
      </w:r>
      <w:r>
        <w:t xml:space="preserve">22 </w:t>
      </w:r>
      <w:r w:rsidRPr="00BA4A6C">
        <w:t>et projections d’émis</w:t>
      </w:r>
      <w:r>
        <w:t>sions MTE, 2021</w:t>
      </w:r>
    </w:p>
    <w:p w14:paraId="4D1163B7" w14:textId="77777777" w:rsidR="004D4A28" w:rsidRDefault="004D4A28" w:rsidP="004D4A28">
      <w:pPr>
        <w:rPr>
          <w:sz w:val="18"/>
          <w:szCs w:val="18"/>
        </w:rPr>
      </w:pPr>
    </w:p>
    <w:p w14:paraId="2F2B4424" w14:textId="77777777" w:rsidR="004D4A28" w:rsidRPr="00D2565E" w:rsidRDefault="004D4A28" w:rsidP="004D4A28">
      <w:pPr>
        <w:rPr>
          <w:i/>
          <w:iCs/>
          <w:sz w:val="16"/>
          <w:szCs w:val="16"/>
        </w:rPr>
      </w:pPr>
    </w:p>
    <w:p w14:paraId="29E1D8B2" w14:textId="77777777" w:rsidR="004D4A28" w:rsidRDefault="004D4A28" w:rsidP="004D4A28">
      <w:pPr>
        <w:rPr>
          <w:sz w:val="18"/>
          <w:szCs w:val="18"/>
        </w:rPr>
      </w:pPr>
    </w:p>
    <w:p w14:paraId="5842E04E" w14:textId="77777777" w:rsidR="004D4A28" w:rsidRDefault="004D4A28" w:rsidP="004D4A28">
      <w:pPr>
        <w:rPr>
          <w:sz w:val="18"/>
          <w:szCs w:val="18"/>
        </w:rPr>
      </w:pPr>
    </w:p>
    <w:p w14:paraId="18A400A8" w14:textId="77777777" w:rsidR="004D4A28" w:rsidRDefault="004D4A28" w:rsidP="004D4A28">
      <w:pPr>
        <w:rPr>
          <w:sz w:val="18"/>
          <w:szCs w:val="18"/>
        </w:rPr>
      </w:pPr>
    </w:p>
    <w:p w14:paraId="66B9EB38" w14:textId="77777777" w:rsidR="004D4A28" w:rsidRDefault="004D4A28" w:rsidP="004D4A28">
      <w:pPr>
        <w:jc w:val="center"/>
        <w:rPr>
          <w:sz w:val="18"/>
          <w:szCs w:val="18"/>
        </w:rPr>
      </w:pPr>
    </w:p>
    <w:p w14:paraId="0581BA69" w14:textId="77777777" w:rsidR="004D4A28" w:rsidRDefault="004D4A28" w:rsidP="004D4A28">
      <w:pPr>
        <w:pStyle w:val="Caption"/>
        <w:jc w:val="center"/>
      </w:pPr>
      <w:bookmarkStart w:id="138" w:name="_Toc123916465"/>
      <w:r>
        <w:rPr>
          <w:noProof/>
        </w:rPr>
        <w:drawing>
          <wp:inline distT="0" distB="0" distL="0" distR="0" wp14:anchorId="2557CF2B" wp14:editId="34B372D9">
            <wp:extent cx="5886450" cy="2667000"/>
            <wp:effectExtent l="0" t="0" r="0" b="0"/>
            <wp:docPr id="28712" name="Graphique 28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D8F34F"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54</w:t>
      </w:r>
      <w:r w:rsidR="00757301">
        <w:rPr>
          <w:noProof/>
        </w:rPr>
        <w:fldChar w:fldCharType="end"/>
      </w:r>
      <w:r>
        <w:t xml:space="preserve"> : </w:t>
      </w:r>
      <w:r w:rsidRPr="00BA4A6C">
        <w:t>Projection par secteur en kt</w:t>
      </w:r>
      <w:r>
        <w:t>CO</w:t>
      </w:r>
      <w:r w:rsidRPr="007F09F7">
        <w:rPr>
          <w:vertAlign w:val="subscript"/>
        </w:rPr>
        <w:t>2</w:t>
      </w:r>
      <w:r w:rsidRPr="004F1EC8">
        <w:rPr>
          <w:color w:val="auto"/>
          <w:sz w:val="21"/>
          <w:szCs w:val="24"/>
          <w:vertAlign w:val="subscript"/>
        </w:rPr>
        <w:t>e</w:t>
      </w:r>
      <w:r w:rsidRPr="00BA4A6C">
        <w:t>, au format Kyoto, scénario AME</w:t>
      </w:r>
      <w:bookmarkEnd w:id="138"/>
      <w:r w:rsidRPr="00BA4A6C">
        <w:t xml:space="preserve"> </w:t>
      </w:r>
    </w:p>
    <w:p w14:paraId="09FAFB23" w14:textId="77777777" w:rsidR="004D4A28" w:rsidRPr="00BA4A6C" w:rsidRDefault="004D4A28" w:rsidP="004D4A28">
      <w:pPr>
        <w:pStyle w:val="Caption"/>
      </w:pPr>
      <w:r w:rsidRPr="00BA4A6C">
        <w:t>Source : Inventaire CCNUCC, Citepa/MTES, soumission 20</w:t>
      </w:r>
      <w:r>
        <w:t>22</w:t>
      </w:r>
      <w:r w:rsidRPr="00BA4A6C">
        <w:t xml:space="preserve"> et projections d’émissions MTES, 2017</w:t>
      </w:r>
    </w:p>
    <w:p w14:paraId="7C813498" w14:textId="77777777" w:rsidR="004D4A28" w:rsidRDefault="004D4A28" w:rsidP="004D4A28">
      <w:pPr>
        <w:rPr>
          <w:sz w:val="18"/>
          <w:szCs w:val="18"/>
        </w:rPr>
      </w:pPr>
    </w:p>
    <w:p w14:paraId="03CBA4FB" w14:textId="77777777" w:rsidR="004D4A28" w:rsidRDefault="004D4A28" w:rsidP="00573042">
      <w:pPr>
        <w:pStyle w:val="titreencadre"/>
        <w:numPr>
          <w:ilvl w:val="3"/>
          <w:numId w:val="59"/>
        </w:numPr>
        <w:spacing w:before="120" w:after="60" w:line="240" w:lineRule="auto"/>
      </w:pPr>
      <w:r>
        <w:t>AMS 2018</w:t>
      </w:r>
    </w:p>
    <w:tbl>
      <w:tblPr>
        <w:tblStyle w:val="TableGrid0"/>
        <w:tblW w:w="10708" w:type="dxa"/>
        <w:tblInd w:w="10" w:type="dxa"/>
        <w:tblLayout w:type="fixed"/>
        <w:tblCellMar>
          <w:top w:w="40" w:type="dxa"/>
          <w:left w:w="28" w:type="dxa"/>
          <w:right w:w="3" w:type="dxa"/>
        </w:tblCellMar>
        <w:tblLook w:val="04A0" w:firstRow="1" w:lastRow="0" w:firstColumn="1" w:lastColumn="0" w:noHBand="0" w:noVBand="1"/>
      </w:tblPr>
      <w:tblGrid>
        <w:gridCol w:w="1404"/>
        <w:gridCol w:w="775"/>
        <w:gridCol w:w="775"/>
        <w:gridCol w:w="775"/>
        <w:gridCol w:w="776"/>
        <w:gridCol w:w="775"/>
        <w:gridCol w:w="776"/>
        <w:gridCol w:w="775"/>
        <w:gridCol w:w="775"/>
        <w:gridCol w:w="775"/>
        <w:gridCol w:w="776"/>
        <w:gridCol w:w="775"/>
        <w:gridCol w:w="776"/>
      </w:tblGrid>
      <w:tr w:rsidR="004D4A28" w14:paraId="3F4DBF35" w14:textId="77777777" w:rsidTr="00361368">
        <w:trPr>
          <w:trHeight w:val="400"/>
        </w:trPr>
        <w:tc>
          <w:tcPr>
            <w:tcW w:w="1404" w:type="dxa"/>
            <w:tcBorders>
              <w:top w:val="single" w:sz="2" w:space="0" w:color="000000"/>
              <w:left w:val="single" w:sz="2" w:space="0" w:color="000000"/>
              <w:bottom w:val="single" w:sz="2" w:space="0" w:color="000000"/>
              <w:right w:val="single" w:sz="2" w:space="0" w:color="000000"/>
            </w:tcBorders>
            <w:shd w:val="clear" w:color="auto" w:fill="6D2A78"/>
          </w:tcPr>
          <w:p w14:paraId="3684EB1B" w14:textId="77777777" w:rsidR="004D4A28" w:rsidRPr="00921C44" w:rsidRDefault="004D4A28" w:rsidP="00361368">
            <w:pPr>
              <w:spacing w:line="259" w:lineRule="auto"/>
              <w:rPr>
                <w:b/>
              </w:rPr>
            </w:pPr>
            <w:r>
              <w:rPr>
                <w:b/>
                <w:color w:val="FFFFFF" w:themeColor="background1"/>
              </w:rPr>
              <w:t>AMS 2018</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243C2DF2" w14:textId="77777777" w:rsidR="004D4A28" w:rsidRDefault="004D4A28" w:rsidP="00361368">
            <w:pPr>
              <w:spacing w:line="259" w:lineRule="auto"/>
              <w:ind w:right="28"/>
              <w:jc w:val="center"/>
            </w:pPr>
            <w:r>
              <w:rPr>
                <w:b/>
                <w:color w:val="FFFFFF"/>
                <w:sz w:val="18"/>
              </w:rPr>
              <w:t xml:space="preserve">1990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3BB6D2A" w14:textId="77777777" w:rsidR="004D4A28" w:rsidRDefault="004D4A28" w:rsidP="00361368">
            <w:pPr>
              <w:spacing w:line="259" w:lineRule="auto"/>
              <w:ind w:right="26"/>
              <w:jc w:val="center"/>
              <w:rPr>
                <w:b/>
                <w:color w:val="FFFFFF"/>
                <w:sz w:val="18"/>
              </w:rPr>
            </w:pPr>
            <w:r>
              <w:rPr>
                <w:b/>
                <w:color w:val="FFFFFF"/>
                <w:sz w:val="18"/>
              </w:rPr>
              <w:t>1995</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857AC57" w14:textId="77777777" w:rsidR="004D4A28" w:rsidRDefault="004D4A28" w:rsidP="00361368">
            <w:pPr>
              <w:spacing w:line="259" w:lineRule="auto"/>
              <w:ind w:right="26"/>
              <w:jc w:val="center"/>
            </w:pPr>
            <w:r>
              <w:rPr>
                <w:b/>
                <w:color w:val="FFFFFF"/>
                <w:sz w:val="18"/>
              </w:rPr>
              <w:t xml:space="preserve">2000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167B5568" w14:textId="77777777" w:rsidR="004D4A28" w:rsidRDefault="004D4A28" w:rsidP="00361368">
            <w:pPr>
              <w:spacing w:line="259" w:lineRule="auto"/>
              <w:ind w:right="28"/>
              <w:jc w:val="center"/>
            </w:pPr>
            <w:r>
              <w:rPr>
                <w:b/>
                <w:color w:val="FFFFFF"/>
                <w:sz w:val="18"/>
              </w:rPr>
              <w:t xml:space="preserve">2005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14883B6B" w14:textId="77777777" w:rsidR="004D4A28" w:rsidRDefault="004D4A28" w:rsidP="00361368">
            <w:pPr>
              <w:spacing w:line="259" w:lineRule="auto"/>
              <w:ind w:right="26"/>
              <w:jc w:val="center"/>
            </w:pPr>
            <w:r>
              <w:rPr>
                <w:b/>
                <w:color w:val="FFFFFF"/>
                <w:sz w:val="18"/>
              </w:rPr>
              <w:t xml:space="preserve">2010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495C3A08" w14:textId="77777777" w:rsidR="004D4A28" w:rsidRDefault="004D4A28" w:rsidP="00361368">
            <w:pPr>
              <w:spacing w:line="259" w:lineRule="auto"/>
              <w:ind w:right="28"/>
              <w:jc w:val="center"/>
            </w:pPr>
            <w:r>
              <w:rPr>
                <w:b/>
                <w:color w:val="FFFFFF"/>
                <w:sz w:val="18"/>
              </w:rPr>
              <w:t xml:space="preserve">2015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722B2DA7" w14:textId="77777777" w:rsidR="004D4A28" w:rsidRDefault="004D4A28" w:rsidP="00361368">
            <w:pPr>
              <w:spacing w:line="259" w:lineRule="auto"/>
              <w:ind w:right="28"/>
              <w:jc w:val="center"/>
              <w:rPr>
                <w:b/>
                <w:color w:val="FFFFFF"/>
                <w:sz w:val="18"/>
              </w:rPr>
            </w:pPr>
            <w:r>
              <w:rPr>
                <w:b/>
                <w:color w:val="FFFFFF"/>
                <w:sz w:val="18"/>
              </w:rPr>
              <w:t>2019</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7D835D52" w14:textId="77777777" w:rsidR="004D4A28" w:rsidRDefault="004D4A28" w:rsidP="00361368">
            <w:pPr>
              <w:spacing w:line="259" w:lineRule="auto"/>
              <w:ind w:right="28"/>
              <w:jc w:val="center"/>
            </w:pPr>
            <w:r>
              <w:rPr>
                <w:b/>
                <w:color w:val="FFFFFF"/>
                <w:sz w:val="18"/>
              </w:rPr>
              <w:t xml:space="preserve">2020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3A00428" w14:textId="77777777" w:rsidR="004D4A28" w:rsidRDefault="004D4A28" w:rsidP="00361368">
            <w:pPr>
              <w:spacing w:line="259" w:lineRule="auto"/>
              <w:ind w:right="26"/>
              <w:jc w:val="center"/>
            </w:pPr>
            <w:r>
              <w:rPr>
                <w:b/>
                <w:color w:val="FFFFFF"/>
                <w:sz w:val="18"/>
              </w:rPr>
              <w:t>2025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1CCC45A1" w14:textId="77777777" w:rsidR="004D4A28" w:rsidRDefault="004D4A28" w:rsidP="00361368">
            <w:pPr>
              <w:spacing w:line="259" w:lineRule="auto"/>
              <w:ind w:right="27"/>
              <w:jc w:val="center"/>
            </w:pPr>
            <w:r>
              <w:rPr>
                <w:b/>
                <w:color w:val="FFFFFF"/>
                <w:sz w:val="18"/>
              </w:rPr>
              <w:t xml:space="preserve">2030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6397F5D2" w14:textId="77777777" w:rsidR="004D4A28" w:rsidRDefault="004D4A28" w:rsidP="00361368">
            <w:pPr>
              <w:spacing w:line="259" w:lineRule="auto"/>
              <w:ind w:right="27"/>
              <w:jc w:val="center"/>
              <w:rPr>
                <w:b/>
                <w:color w:val="FFFFFF"/>
                <w:sz w:val="18"/>
              </w:rPr>
            </w:pPr>
            <w:r>
              <w:rPr>
                <w:b/>
                <w:color w:val="FFFFFF"/>
                <w:sz w:val="18"/>
              </w:rPr>
              <w:t>2035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57BE6C4E" w14:textId="77777777" w:rsidR="004D4A28" w:rsidRDefault="004D4A28" w:rsidP="00361368">
            <w:pPr>
              <w:spacing w:line="259" w:lineRule="auto"/>
              <w:ind w:right="27"/>
              <w:jc w:val="center"/>
              <w:rPr>
                <w:b/>
                <w:color w:val="FFFFFF"/>
                <w:sz w:val="18"/>
              </w:rPr>
            </w:pPr>
            <w:r>
              <w:rPr>
                <w:b/>
                <w:color w:val="FFFFFF"/>
                <w:sz w:val="18"/>
              </w:rPr>
              <w:t>2050</w:t>
            </w:r>
          </w:p>
        </w:tc>
      </w:tr>
      <w:tr w:rsidR="004D4A28" w14:paraId="4540F71F" w14:textId="77777777" w:rsidTr="00361368">
        <w:trPr>
          <w:trHeight w:val="347"/>
        </w:trPr>
        <w:tc>
          <w:tcPr>
            <w:tcW w:w="1404" w:type="dxa"/>
            <w:tcBorders>
              <w:top w:val="single" w:sz="2" w:space="0" w:color="000000"/>
              <w:left w:val="single" w:sz="2" w:space="0" w:color="000000"/>
              <w:bottom w:val="single" w:sz="2" w:space="0" w:color="000000"/>
              <w:right w:val="single" w:sz="2" w:space="0" w:color="000000"/>
            </w:tcBorders>
          </w:tcPr>
          <w:p w14:paraId="24AD2A0C" w14:textId="77777777" w:rsidR="004D4A28" w:rsidRDefault="004D4A28" w:rsidP="00361368">
            <w:pPr>
              <w:spacing w:line="259" w:lineRule="auto"/>
            </w:pPr>
            <w:r>
              <w:rPr>
                <w:sz w:val="18"/>
              </w:rPr>
              <w:t xml:space="preserve"> </w:t>
            </w:r>
          </w:p>
        </w:tc>
        <w:tc>
          <w:tcPr>
            <w:tcW w:w="5427" w:type="dxa"/>
            <w:gridSpan w:val="7"/>
            <w:tcBorders>
              <w:top w:val="single" w:sz="2" w:space="0" w:color="000000"/>
              <w:left w:val="single" w:sz="2" w:space="0" w:color="000000"/>
              <w:bottom w:val="single" w:sz="2" w:space="0" w:color="000000"/>
              <w:right w:val="single" w:sz="2" w:space="0" w:color="000000"/>
            </w:tcBorders>
            <w:shd w:val="clear" w:color="auto" w:fill="auto"/>
          </w:tcPr>
          <w:p w14:paraId="2232E760" w14:textId="77777777" w:rsidR="004D4A28" w:rsidRDefault="004D4A28" w:rsidP="00361368">
            <w:pPr>
              <w:spacing w:line="259" w:lineRule="auto"/>
              <w:ind w:left="75"/>
              <w:jc w:val="center"/>
              <w:rPr>
                <w:b/>
                <w:color w:val="6D2A78"/>
                <w:sz w:val="18"/>
              </w:rPr>
            </w:pPr>
            <w:r>
              <w:rPr>
                <w:b/>
                <w:color w:val="6D2A78"/>
                <w:sz w:val="18"/>
              </w:rPr>
              <w:t>Observé</w:t>
            </w:r>
          </w:p>
        </w:tc>
        <w:tc>
          <w:tcPr>
            <w:tcW w:w="3877" w:type="dxa"/>
            <w:gridSpan w:val="5"/>
            <w:tcBorders>
              <w:top w:val="single" w:sz="2" w:space="0" w:color="000000"/>
              <w:left w:val="single" w:sz="2" w:space="0" w:color="000000"/>
              <w:bottom w:val="single" w:sz="2" w:space="0" w:color="000000"/>
              <w:right w:val="single" w:sz="2" w:space="0" w:color="000000"/>
            </w:tcBorders>
          </w:tcPr>
          <w:p w14:paraId="15E31FA0" w14:textId="77777777" w:rsidR="004D4A28" w:rsidRDefault="004D4A28" w:rsidP="00361368">
            <w:pPr>
              <w:spacing w:line="259" w:lineRule="auto"/>
              <w:ind w:left="75"/>
              <w:jc w:val="center"/>
              <w:rPr>
                <w:b/>
                <w:color w:val="6D2A78"/>
                <w:sz w:val="18"/>
              </w:rPr>
            </w:pPr>
            <w:r>
              <w:rPr>
                <w:b/>
                <w:color w:val="6D2A78"/>
                <w:sz w:val="18"/>
              </w:rPr>
              <w:t>Projeté</w:t>
            </w:r>
          </w:p>
        </w:tc>
      </w:tr>
      <w:tr w:rsidR="004D4A28" w14:paraId="2065D3E7" w14:textId="77777777" w:rsidTr="00361368">
        <w:trPr>
          <w:trHeight w:val="344"/>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68552A5D" w14:textId="77777777" w:rsidR="004D4A28" w:rsidRDefault="004D4A28" w:rsidP="00361368">
            <w:pPr>
              <w:spacing w:line="259" w:lineRule="auto"/>
            </w:pPr>
            <w:r>
              <w:rPr>
                <w:sz w:val="18"/>
              </w:rPr>
              <w:t xml:space="preserve">Énergie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472447" w14:textId="77777777" w:rsidR="004D4A28" w:rsidRPr="00AB5735" w:rsidRDefault="004D4A28" w:rsidP="00361368">
            <w:pPr>
              <w:spacing w:line="259" w:lineRule="auto"/>
              <w:ind w:left="55"/>
              <w:jc w:val="center"/>
            </w:pPr>
            <w:r>
              <w:rPr>
                <w:sz w:val="18"/>
                <w:szCs w:val="18"/>
              </w:rPr>
              <w:t>367272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478040" w14:textId="77777777" w:rsidR="004D4A28" w:rsidRPr="00C14DCA" w:rsidRDefault="004D4A28" w:rsidP="00361368">
            <w:pPr>
              <w:spacing w:line="259" w:lineRule="auto"/>
              <w:ind w:left="56"/>
              <w:jc w:val="center"/>
              <w:rPr>
                <w:highlight w:val="yellow"/>
              </w:rPr>
            </w:pPr>
            <w:r>
              <w:rPr>
                <w:sz w:val="18"/>
                <w:szCs w:val="18"/>
              </w:rPr>
              <w:t>366079</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C0FE387" w14:textId="77777777" w:rsidR="004D4A28" w:rsidRPr="00C14DCA" w:rsidRDefault="004D4A28" w:rsidP="00361368">
            <w:pPr>
              <w:spacing w:line="259" w:lineRule="auto"/>
              <w:ind w:left="56"/>
              <w:jc w:val="center"/>
              <w:rPr>
                <w:highlight w:val="yellow"/>
              </w:rPr>
            </w:pPr>
            <w:r>
              <w:rPr>
                <w:sz w:val="18"/>
                <w:szCs w:val="18"/>
              </w:rPr>
              <w:t>381989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98886F" w14:textId="77777777" w:rsidR="004D4A28" w:rsidRPr="00C14DCA" w:rsidRDefault="004D4A28" w:rsidP="00361368">
            <w:pPr>
              <w:spacing w:line="259" w:lineRule="auto"/>
              <w:ind w:left="55"/>
              <w:jc w:val="center"/>
              <w:rPr>
                <w:highlight w:val="yellow"/>
              </w:rPr>
            </w:pPr>
            <w:r>
              <w:rPr>
                <w:sz w:val="18"/>
                <w:szCs w:val="18"/>
              </w:rPr>
              <w:t>390391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B6F4B9" w14:textId="77777777" w:rsidR="004D4A28" w:rsidRPr="00AB5735" w:rsidRDefault="004D4A28" w:rsidP="00361368">
            <w:pPr>
              <w:spacing w:line="259" w:lineRule="auto"/>
              <w:ind w:left="56"/>
              <w:jc w:val="center"/>
            </w:pPr>
            <w:r>
              <w:rPr>
                <w:sz w:val="18"/>
                <w:szCs w:val="18"/>
              </w:rPr>
              <w:t>357711</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D7345A" w14:textId="77777777" w:rsidR="004D4A28" w:rsidRPr="00AB5735" w:rsidRDefault="004D4A28" w:rsidP="00361368">
            <w:pPr>
              <w:spacing w:line="259" w:lineRule="auto"/>
              <w:ind w:left="55"/>
              <w:jc w:val="center"/>
            </w:pPr>
            <w:r>
              <w:rPr>
                <w:sz w:val="18"/>
                <w:szCs w:val="18"/>
              </w:rPr>
              <w:t>313634</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001DB0" w14:textId="77777777" w:rsidR="004D4A28" w:rsidRDefault="004D4A28" w:rsidP="00361368">
            <w:pPr>
              <w:spacing w:line="259" w:lineRule="auto"/>
              <w:ind w:left="56"/>
              <w:jc w:val="center"/>
              <w:rPr>
                <w:rFonts w:ascii="Calibri" w:hAnsi="Calibri"/>
                <w:color w:val="000000"/>
                <w:sz w:val="20"/>
                <w:szCs w:val="20"/>
              </w:rPr>
            </w:pPr>
            <w:r>
              <w:rPr>
                <w:sz w:val="18"/>
                <w:szCs w:val="18"/>
              </w:rPr>
              <w:t>297313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7FBD3B"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305017</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8B6789"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253350</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B0FCA35"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203515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CD527C"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151385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E22303"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-5007</w:t>
            </w:r>
          </w:p>
        </w:tc>
      </w:tr>
      <w:tr w:rsidR="004D4A28" w14:paraId="0DF2D2A2" w14:textId="77777777" w:rsidTr="00361368">
        <w:trPr>
          <w:trHeight w:val="419"/>
        </w:trPr>
        <w:tc>
          <w:tcPr>
            <w:tcW w:w="1404" w:type="dxa"/>
            <w:tcBorders>
              <w:top w:val="single" w:sz="2" w:space="0" w:color="000000"/>
              <w:left w:val="single" w:sz="2" w:space="0" w:color="000000"/>
              <w:bottom w:val="single" w:sz="2" w:space="0" w:color="000000"/>
              <w:right w:val="single" w:sz="2" w:space="0" w:color="000000"/>
            </w:tcBorders>
          </w:tcPr>
          <w:p w14:paraId="7D7F0607" w14:textId="77777777" w:rsidR="004D4A28" w:rsidRDefault="004D4A28" w:rsidP="00361368">
            <w:pPr>
              <w:spacing w:line="259" w:lineRule="auto"/>
            </w:pPr>
            <w:r>
              <w:rPr>
                <w:sz w:val="18"/>
              </w:rPr>
              <w:t xml:space="preserve">Procédés industriels, solvants et autres produits </w:t>
            </w:r>
          </w:p>
        </w:tc>
        <w:tc>
          <w:tcPr>
            <w:tcW w:w="775" w:type="dxa"/>
            <w:tcBorders>
              <w:top w:val="single" w:sz="2" w:space="0" w:color="000000"/>
              <w:left w:val="single" w:sz="2" w:space="0" w:color="000000"/>
              <w:bottom w:val="single" w:sz="2" w:space="0" w:color="000000"/>
              <w:right w:val="single" w:sz="2" w:space="0" w:color="000000"/>
            </w:tcBorders>
            <w:vAlign w:val="center"/>
          </w:tcPr>
          <w:p w14:paraId="0D1734D4" w14:textId="77777777" w:rsidR="004D4A28" w:rsidRPr="00AB5735" w:rsidRDefault="004D4A28" w:rsidP="00361368">
            <w:pPr>
              <w:spacing w:line="259" w:lineRule="auto"/>
              <w:ind w:left="106"/>
              <w:jc w:val="center"/>
            </w:pPr>
            <w:r>
              <w:rPr>
                <w:sz w:val="18"/>
                <w:szCs w:val="18"/>
              </w:rPr>
              <w:t>78729</w:t>
            </w:r>
          </w:p>
        </w:tc>
        <w:tc>
          <w:tcPr>
            <w:tcW w:w="775" w:type="dxa"/>
            <w:tcBorders>
              <w:top w:val="single" w:sz="2" w:space="0" w:color="000000"/>
              <w:left w:val="single" w:sz="2" w:space="0" w:color="000000"/>
              <w:bottom w:val="single" w:sz="2" w:space="0" w:color="000000"/>
              <w:right w:val="single" w:sz="2" w:space="0" w:color="000000"/>
            </w:tcBorders>
            <w:vAlign w:val="center"/>
          </w:tcPr>
          <w:p w14:paraId="4E526D46" w14:textId="77777777" w:rsidR="004D4A28" w:rsidRPr="00C14DCA" w:rsidRDefault="004D4A28" w:rsidP="00361368">
            <w:pPr>
              <w:spacing w:line="259" w:lineRule="auto"/>
              <w:ind w:left="107"/>
              <w:jc w:val="center"/>
              <w:rPr>
                <w:highlight w:val="yellow"/>
              </w:rPr>
            </w:pPr>
            <w:r>
              <w:rPr>
                <w:sz w:val="18"/>
                <w:szCs w:val="18"/>
              </w:rPr>
              <w:t>71997</w:t>
            </w:r>
          </w:p>
        </w:tc>
        <w:tc>
          <w:tcPr>
            <w:tcW w:w="775" w:type="dxa"/>
            <w:tcBorders>
              <w:top w:val="single" w:sz="2" w:space="0" w:color="000000"/>
              <w:left w:val="single" w:sz="2" w:space="0" w:color="000000"/>
              <w:bottom w:val="single" w:sz="2" w:space="0" w:color="000000"/>
              <w:right w:val="single" w:sz="2" w:space="0" w:color="000000"/>
            </w:tcBorders>
            <w:vAlign w:val="center"/>
          </w:tcPr>
          <w:p w14:paraId="4B37027A" w14:textId="77777777" w:rsidR="004D4A28" w:rsidRPr="00C14DCA" w:rsidRDefault="004D4A28" w:rsidP="00361368">
            <w:pPr>
              <w:spacing w:line="259" w:lineRule="auto"/>
              <w:ind w:left="107"/>
              <w:jc w:val="center"/>
              <w:rPr>
                <w:highlight w:val="yellow"/>
              </w:rPr>
            </w:pPr>
            <w:r>
              <w:rPr>
                <w:sz w:val="18"/>
                <w:szCs w:val="18"/>
              </w:rPr>
              <w:t>64668</w:t>
            </w:r>
          </w:p>
        </w:tc>
        <w:tc>
          <w:tcPr>
            <w:tcW w:w="776" w:type="dxa"/>
            <w:tcBorders>
              <w:top w:val="single" w:sz="2" w:space="0" w:color="000000"/>
              <w:left w:val="single" w:sz="2" w:space="0" w:color="000000"/>
              <w:bottom w:val="single" w:sz="2" w:space="0" w:color="000000"/>
              <w:right w:val="single" w:sz="2" w:space="0" w:color="000000"/>
            </w:tcBorders>
            <w:vAlign w:val="center"/>
          </w:tcPr>
          <w:p w14:paraId="1866D951" w14:textId="77777777" w:rsidR="004D4A28" w:rsidRPr="00C14DCA" w:rsidRDefault="004D4A28" w:rsidP="00361368">
            <w:pPr>
              <w:spacing w:line="259" w:lineRule="auto"/>
              <w:ind w:left="106"/>
              <w:jc w:val="center"/>
              <w:rPr>
                <w:highlight w:val="yellow"/>
              </w:rPr>
            </w:pPr>
            <w:r>
              <w:rPr>
                <w:sz w:val="18"/>
                <w:szCs w:val="18"/>
              </w:rPr>
              <w:t>63620</w:t>
            </w:r>
          </w:p>
        </w:tc>
        <w:tc>
          <w:tcPr>
            <w:tcW w:w="775" w:type="dxa"/>
            <w:tcBorders>
              <w:top w:val="single" w:sz="2" w:space="0" w:color="000000"/>
              <w:left w:val="single" w:sz="2" w:space="0" w:color="000000"/>
              <w:bottom w:val="single" w:sz="2" w:space="0" w:color="000000"/>
              <w:right w:val="single" w:sz="2" w:space="0" w:color="000000"/>
            </w:tcBorders>
            <w:vAlign w:val="center"/>
          </w:tcPr>
          <w:p w14:paraId="3CABA77B" w14:textId="77777777" w:rsidR="004D4A28" w:rsidRPr="00AB5735" w:rsidRDefault="004D4A28" w:rsidP="00361368">
            <w:pPr>
              <w:spacing w:line="259" w:lineRule="auto"/>
              <w:ind w:left="107"/>
              <w:jc w:val="center"/>
            </w:pPr>
            <w:r>
              <w:rPr>
                <w:sz w:val="18"/>
                <w:szCs w:val="18"/>
              </w:rPr>
              <w:t>53798</w:t>
            </w:r>
          </w:p>
        </w:tc>
        <w:tc>
          <w:tcPr>
            <w:tcW w:w="776" w:type="dxa"/>
            <w:tcBorders>
              <w:top w:val="single" w:sz="2" w:space="0" w:color="000000"/>
              <w:left w:val="single" w:sz="2" w:space="0" w:color="000000"/>
              <w:bottom w:val="single" w:sz="2" w:space="0" w:color="000000"/>
              <w:right w:val="single" w:sz="2" w:space="0" w:color="000000"/>
            </w:tcBorders>
            <w:vAlign w:val="center"/>
          </w:tcPr>
          <w:p w14:paraId="2044F639" w14:textId="77777777" w:rsidR="004D4A28" w:rsidRPr="00AB5735" w:rsidRDefault="004D4A28" w:rsidP="00361368">
            <w:pPr>
              <w:spacing w:line="259" w:lineRule="auto"/>
              <w:ind w:left="105"/>
              <w:jc w:val="center"/>
            </w:pPr>
            <w:r>
              <w:rPr>
                <w:sz w:val="18"/>
                <w:szCs w:val="18"/>
              </w:rPr>
              <w:t>50664</w:t>
            </w:r>
          </w:p>
        </w:tc>
        <w:tc>
          <w:tcPr>
            <w:tcW w:w="775" w:type="dxa"/>
            <w:tcBorders>
              <w:top w:val="single" w:sz="2" w:space="0" w:color="000000"/>
              <w:left w:val="single" w:sz="2" w:space="0" w:color="000000"/>
              <w:bottom w:val="single" w:sz="2" w:space="0" w:color="000000"/>
              <w:right w:val="single" w:sz="2" w:space="0" w:color="000000"/>
            </w:tcBorders>
            <w:vAlign w:val="center"/>
          </w:tcPr>
          <w:p w14:paraId="10A6A8B3" w14:textId="77777777" w:rsidR="004D4A28" w:rsidRDefault="004D4A28" w:rsidP="00361368">
            <w:pPr>
              <w:spacing w:line="259" w:lineRule="auto"/>
              <w:ind w:left="56"/>
              <w:jc w:val="center"/>
              <w:rPr>
                <w:rFonts w:ascii="Calibri" w:hAnsi="Calibri"/>
                <w:color w:val="000000"/>
                <w:sz w:val="20"/>
                <w:szCs w:val="20"/>
              </w:rPr>
            </w:pPr>
            <w:r>
              <w:rPr>
                <w:sz w:val="18"/>
                <w:szCs w:val="18"/>
              </w:rPr>
              <w:t>46564</w:t>
            </w:r>
          </w:p>
        </w:tc>
        <w:tc>
          <w:tcPr>
            <w:tcW w:w="775" w:type="dxa"/>
            <w:tcBorders>
              <w:top w:val="single" w:sz="2" w:space="0" w:color="000000"/>
              <w:left w:val="single" w:sz="2" w:space="0" w:color="000000"/>
              <w:bottom w:val="single" w:sz="2" w:space="0" w:color="000000"/>
              <w:right w:val="single" w:sz="2" w:space="0" w:color="000000"/>
            </w:tcBorders>
            <w:vAlign w:val="center"/>
          </w:tcPr>
          <w:p w14:paraId="64A29326"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41371</w:t>
            </w:r>
          </w:p>
        </w:tc>
        <w:tc>
          <w:tcPr>
            <w:tcW w:w="775" w:type="dxa"/>
            <w:tcBorders>
              <w:top w:val="single" w:sz="2" w:space="0" w:color="000000"/>
              <w:left w:val="single" w:sz="2" w:space="0" w:color="000000"/>
              <w:bottom w:val="single" w:sz="2" w:space="0" w:color="000000"/>
              <w:right w:val="single" w:sz="2" w:space="0" w:color="000000"/>
            </w:tcBorders>
            <w:vAlign w:val="center"/>
          </w:tcPr>
          <w:p w14:paraId="4BF3F484"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32979</w:t>
            </w:r>
          </w:p>
        </w:tc>
        <w:tc>
          <w:tcPr>
            <w:tcW w:w="776" w:type="dxa"/>
            <w:tcBorders>
              <w:top w:val="single" w:sz="2" w:space="0" w:color="000000"/>
              <w:left w:val="single" w:sz="2" w:space="0" w:color="000000"/>
              <w:bottom w:val="single" w:sz="2" w:space="0" w:color="000000"/>
              <w:right w:val="single" w:sz="2" w:space="0" w:color="000000"/>
            </w:tcBorders>
            <w:vAlign w:val="center"/>
          </w:tcPr>
          <w:p w14:paraId="68F85261"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27368</w:t>
            </w:r>
          </w:p>
        </w:tc>
        <w:tc>
          <w:tcPr>
            <w:tcW w:w="775" w:type="dxa"/>
            <w:tcBorders>
              <w:top w:val="single" w:sz="2" w:space="0" w:color="000000"/>
              <w:left w:val="single" w:sz="2" w:space="0" w:color="000000"/>
              <w:bottom w:val="single" w:sz="2" w:space="0" w:color="000000"/>
              <w:right w:val="single" w:sz="2" w:space="0" w:color="000000"/>
            </w:tcBorders>
            <w:vAlign w:val="center"/>
          </w:tcPr>
          <w:p w14:paraId="197D38B2"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24409</w:t>
            </w:r>
          </w:p>
        </w:tc>
        <w:tc>
          <w:tcPr>
            <w:tcW w:w="776" w:type="dxa"/>
            <w:tcBorders>
              <w:top w:val="single" w:sz="2" w:space="0" w:color="000000"/>
              <w:left w:val="single" w:sz="2" w:space="0" w:color="000000"/>
              <w:bottom w:val="single" w:sz="2" w:space="0" w:color="000000"/>
              <w:right w:val="single" w:sz="2" w:space="0" w:color="000000"/>
            </w:tcBorders>
            <w:vAlign w:val="center"/>
          </w:tcPr>
          <w:p w14:paraId="73F4B5E4"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15534</w:t>
            </w:r>
          </w:p>
        </w:tc>
      </w:tr>
      <w:tr w:rsidR="004D4A28" w14:paraId="73DE301D" w14:textId="77777777" w:rsidTr="00361368">
        <w:trPr>
          <w:trHeight w:val="344"/>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37874C6C" w14:textId="77777777" w:rsidR="004D4A28" w:rsidRDefault="004D4A28" w:rsidP="00361368">
            <w:pPr>
              <w:spacing w:line="259" w:lineRule="auto"/>
            </w:pPr>
            <w:r>
              <w:rPr>
                <w:sz w:val="18"/>
              </w:rPr>
              <w:t xml:space="preserve">Agriculture (hors énergie)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C8B8E38" w14:textId="77777777" w:rsidR="004D4A28" w:rsidRPr="00AB5735" w:rsidRDefault="004D4A28" w:rsidP="00361368">
            <w:pPr>
              <w:spacing w:line="259" w:lineRule="auto"/>
              <w:ind w:left="106"/>
              <w:jc w:val="center"/>
            </w:pPr>
            <w:r>
              <w:rPr>
                <w:sz w:val="18"/>
                <w:szCs w:val="18"/>
              </w:rPr>
              <w:t>80803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DBE304" w14:textId="77777777" w:rsidR="004D4A28" w:rsidRPr="00C14DCA" w:rsidRDefault="004D4A28" w:rsidP="00361368">
            <w:pPr>
              <w:spacing w:line="259" w:lineRule="auto"/>
              <w:ind w:left="107"/>
              <w:jc w:val="center"/>
              <w:rPr>
                <w:highlight w:val="yellow"/>
              </w:rPr>
            </w:pPr>
            <w:r>
              <w:rPr>
                <w:sz w:val="18"/>
                <w:szCs w:val="18"/>
              </w:rPr>
              <w:t>78281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A10724" w14:textId="77777777" w:rsidR="004D4A28" w:rsidRPr="00C14DCA" w:rsidRDefault="004D4A28" w:rsidP="00361368">
            <w:pPr>
              <w:spacing w:line="259" w:lineRule="auto"/>
              <w:ind w:left="107"/>
              <w:jc w:val="center"/>
              <w:rPr>
                <w:highlight w:val="yellow"/>
              </w:rPr>
            </w:pPr>
            <w:r>
              <w:rPr>
                <w:sz w:val="18"/>
                <w:szCs w:val="18"/>
              </w:rPr>
              <w:t>81292</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9BBF21" w14:textId="77777777" w:rsidR="004D4A28" w:rsidRPr="00C14DCA" w:rsidRDefault="004D4A28" w:rsidP="00361368">
            <w:pPr>
              <w:spacing w:line="259" w:lineRule="auto"/>
              <w:ind w:left="106"/>
              <w:jc w:val="center"/>
              <w:rPr>
                <w:highlight w:val="yellow"/>
              </w:rPr>
            </w:pPr>
            <w:r>
              <w:rPr>
                <w:sz w:val="18"/>
                <w:szCs w:val="18"/>
              </w:rPr>
              <w:t>76018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0020AA" w14:textId="77777777" w:rsidR="004D4A28" w:rsidRPr="00AB5735" w:rsidRDefault="004D4A28" w:rsidP="00361368">
            <w:pPr>
              <w:spacing w:line="259" w:lineRule="auto"/>
              <w:ind w:left="107"/>
              <w:jc w:val="center"/>
            </w:pPr>
            <w:r>
              <w:rPr>
                <w:sz w:val="18"/>
                <w:szCs w:val="18"/>
              </w:rPr>
              <w:t>75203</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F20521" w14:textId="77777777" w:rsidR="004D4A28" w:rsidRPr="00AB5735" w:rsidRDefault="004D4A28" w:rsidP="00361368">
            <w:pPr>
              <w:spacing w:line="259" w:lineRule="auto"/>
              <w:ind w:left="106"/>
              <w:jc w:val="center"/>
            </w:pPr>
            <w:r>
              <w:rPr>
                <w:sz w:val="18"/>
                <w:szCs w:val="18"/>
              </w:rPr>
              <w:t>75720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BBA810" w14:textId="77777777" w:rsidR="004D4A28" w:rsidRDefault="004D4A28" w:rsidP="00361368">
            <w:pPr>
              <w:spacing w:line="259" w:lineRule="auto"/>
              <w:ind w:left="56"/>
              <w:jc w:val="center"/>
              <w:rPr>
                <w:rFonts w:ascii="Calibri" w:hAnsi="Calibri"/>
                <w:color w:val="000000"/>
                <w:sz w:val="20"/>
                <w:szCs w:val="20"/>
              </w:rPr>
            </w:pPr>
            <w:r>
              <w:rPr>
                <w:sz w:val="18"/>
                <w:szCs w:val="18"/>
              </w:rPr>
              <w:t>72498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2B6F4A"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73646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593EEE"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69007</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CFEA28"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65227</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56D520"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62117</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3B093E"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47831</w:t>
            </w:r>
          </w:p>
        </w:tc>
      </w:tr>
      <w:tr w:rsidR="004D4A28" w14:paraId="6E49C30F" w14:textId="77777777" w:rsidTr="00361368">
        <w:trPr>
          <w:trHeight w:val="347"/>
        </w:trPr>
        <w:tc>
          <w:tcPr>
            <w:tcW w:w="1404" w:type="dxa"/>
            <w:tcBorders>
              <w:top w:val="single" w:sz="2" w:space="0" w:color="000000"/>
              <w:left w:val="single" w:sz="2" w:space="0" w:color="000000"/>
              <w:bottom w:val="single" w:sz="2" w:space="0" w:color="000000"/>
              <w:right w:val="single" w:sz="2" w:space="0" w:color="000000"/>
            </w:tcBorders>
          </w:tcPr>
          <w:p w14:paraId="2DE8C944" w14:textId="77777777" w:rsidR="004D4A28" w:rsidRDefault="004D4A28" w:rsidP="00361368">
            <w:pPr>
              <w:spacing w:line="259" w:lineRule="auto"/>
            </w:pPr>
            <w:r>
              <w:rPr>
                <w:sz w:val="18"/>
              </w:rPr>
              <w:t xml:space="preserve">UTCATF </w:t>
            </w:r>
          </w:p>
        </w:tc>
        <w:tc>
          <w:tcPr>
            <w:tcW w:w="775" w:type="dxa"/>
            <w:tcBorders>
              <w:top w:val="single" w:sz="2" w:space="0" w:color="000000"/>
              <w:left w:val="single" w:sz="2" w:space="0" w:color="000000"/>
              <w:bottom w:val="single" w:sz="2" w:space="0" w:color="000000"/>
              <w:right w:val="single" w:sz="2" w:space="0" w:color="000000"/>
            </w:tcBorders>
            <w:vAlign w:val="center"/>
          </w:tcPr>
          <w:p w14:paraId="567DF9D0" w14:textId="77777777" w:rsidR="004D4A28" w:rsidRPr="00AB5735" w:rsidRDefault="004D4A28" w:rsidP="00361368">
            <w:pPr>
              <w:spacing w:line="259" w:lineRule="auto"/>
              <w:ind w:left="50"/>
              <w:jc w:val="center"/>
            </w:pPr>
            <w:r w:rsidRPr="00634E4C">
              <w:rPr>
                <w:sz w:val="18"/>
              </w:rPr>
              <w:t>-</w:t>
            </w:r>
            <w:r>
              <w:rPr>
                <w:sz w:val="18"/>
                <w:szCs w:val="18"/>
              </w:rPr>
              <w:t>23986</w:t>
            </w:r>
          </w:p>
        </w:tc>
        <w:tc>
          <w:tcPr>
            <w:tcW w:w="775" w:type="dxa"/>
            <w:tcBorders>
              <w:top w:val="single" w:sz="2" w:space="0" w:color="000000"/>
              <w:left w:val="single" w:sz="2" w:space="0" w:color="000000"/>
              <w:bottom w:val="single" w:sz="2" w:space="0" w:color="000000"/>
              <w:right w:val="single" w:sz="2" w:space="0" w:color="000000"/>
            </w:tcBorders>
            <w:vAlign w:val="center"/>
          </w:tcPr>
          <w:p w14:paraId="39E57EAC" w14:textId="77777777" w:rsidR="004D4A28" w:rsidRPr="00C14DCA" w:rsidRDefault="004D4A28" w:rsidP="00361368">
            <w:pPr>
              <w:spacing w:line="259" w:lineRule="auto"/>
              <w:ind w:left="52"/>
              <w:jc w:val="center"/>
              <w:rPr>
                <w:highlight w:val="yellow"/>
              </w:rPr>
            </w:pPr>
            <w:r w:rsidRPr="00634E4C">
              <w:rPr>
                <w:sz w:val="18"/>
              </w:rPr>
              <w:t>-</w:t>
            </w:r>
            <w:r>
              <w:rPr>
                <w:sz w:val="18"/>
                <w:szCs w:val="18"/>
              </w:rPr>
              <w:t>24879</w:t>
            </w:r>
          </w:p>
        </w:tc>
        <w:tc>
          <w:tcPr>
            <w:tcW w:w="775" w:type="dxa"/>
            <w:tcBorders>
              <w:top w:val="single" w:sz="2" w:space="0" w:color="000000"/>
              <w:left w:val="single" w:sz="2" w:space="0" w:color="000000"/>
              <w:bottom w:val="single" w:sz="2" w:space="0" w:color="000000"/>
              <w:right w:val="single" w:sz="2" w:space="0" w:color="000000"/>
            </w:tcBorders>
            <w:vAlign w:val="center"/>
          </w:tcPr>
          <w:p w14:paraId="34396BB8" w14:textId="77777777" w:rsidR="004D4A28" w:rsidRPr="00C14DCA" w:rsidRDefault="004D4A28" w:rsidP="00361368">
            <w:pPr>
              <w:spacing w:line="259" w:lineRule="auto"/>
              <w:ind w:left="52"/>
              <w:jc w:val="center"/>
              <w:rPr>
                <w:highlight w:val="yellow"/>
              </w:rPr>
            </w:pPr>
            <w:r w:rsidRPr="00634E4C">
              <w:rPr>
                <w:sz w:val="18"/>
              </w:rPr>
              <w:t>-</w:t>
            </w:r>
            <w:r>
              <w:rPr>
                <w:sz w:val="18"/>
                <w:szCs w:val="18"/>
              </w:rPr>
              <w:t>19709</w:t>
            </w:r>
          </w:p>
        </w:tc>
        <w:tc>
          <w:tcPr>
            <w:tcW w:w="776" w:type="dxa"/>
            <w:tcBorders>
              <w:top w:val="single" w:sz="2" w:space="0" w:color="000000"/>
              <w:left w:val="single" w:sz="2" w:space="0" w:color="000000"/>
              <w:bottom w:val="single" w:sz="2" w:space="0" w:color="000000"/>
              <w:right w:val="single" w:sz="2" w:space="0" w:color="000000"/>
            </w:tcBorders>
            <w:vAlign w:val="center"/>
          </w:tcPr>
          <w:p w14:paraId="19E64684" w14:textId="77777777" w:rsidR="004D4A28" w:rsidRPr="00C14DCA" w:rsidRDefault="004D4A28" w:rsidP="00361368">
            <w:pPr>
              <w:spacing w:line="259" w:lineRule="auto"/>
              <w:ind w:left="50"/>
              <w:jc w:val="center"/>
              <w:rPr>
                <w:highlight w:val="yellow"/>
              </w:rPr>
            </w:pPr>
            <w:r w:rsidRPr="00634E4C">
              <w:rPr>
                <w:sz w:val="18"/>
              </w:rPr>
              <w:t>-</w:t>
            </w:r>
            <w:r>
              <w:rPr>
                <w:sz w:val="18"/>
                <w:szCs w:val="18"/>
              </w:rPr>
              <w:t>47311</w:t>
            </w:r>
          </w:p>
        </w:tc>
        <w:tc>
          <w:tcPr>
            <w:tcW w:w="775" w:type="dxa"/>
            <w:tcBorders>
              <w:top w:val="single" w:sz="2" w:space="0" w:color="000000"/>
              <w:left w:val="single" w:sz="2" w:space="0" w:color="000000"/>
              <w:bottom w:val="single" w:sz="2" w:space="0" w:color="000000"/>
              <w:right w:val="single" w:sz="2" w:space="0" w:color="000000"/>
            </w:tcBorders>
            <w:vAlign w:val="center"/>
          </w:tcPr>
          <w:p w14:paraId="322BF32C" w14:textId="77777777" w:rsidR="004D4A28" w:rsidRPr="00AB5735" w:rsidRDefault="004D4A28" w:rsidP="00361368">
            <w:pPr>
              <w:spacing w:line="259" w:lineRule="auto"/>
              <w:ind w:left="52"/>
              <w:jc w:val="center"/>
            </w:pPr>
            <w:r w:rsidRPr="00634E4C">
              <w:rPr>
                <w:sz w:val="18"/>
              </w:rPr>
              <w:t>-</w:t>
            </w:r>
            <w:r>
              <w:rPr>
                <w:sz w:val="18"/>
                <w:szCs w:val="18"/>
              </w:rPr>
              <w:t>38355</w:t>
            </w:r>
          </w:p>
        </w:tc>
        <w:tc>
          <w:tcPr>
            <w:tcW w:w="776" w:type="dxa"/>
            <w:tcBorders>
              <w:top w:val="single" w:sz="2" w:space="0" w:color="000000"/>
              <w:left w:val="single" w:sz="2" w:space="0" w:color="000000"/>
              <w:bottom w:val="single" w:sz="2" w:space="0" w:color="000000"/>
              <w:right w:val="single" w:sz="2" w:space="0" w:color="000000"/>
            </w:tcBorders>
            <w:vAlign w:val="center"/>
          </w:tcPr>
          <w:p w14:paraId="5B1CA1D2" w14:textId="77777777" w:rsidR="004D4A28" w:rsidRPr="00AB5735" w:rsidRDefault="004D4A28" w:rsidP="00361368">
            <w:pPr>
              <w:spacing w:line="259" w:lineRule="auto"/>
              <w:ind w:left="50"/>
              <w:jc w:val="center"/>
            </w:pPr>
            <w:r w:rsidRPr="00634E4C">
              <w:rPr>
                <w:sz w:val="18"/>
              </w:rPr>
              <w:t>-</w:t>
            </w:r>
            <w:r>
              <w:rPr>
                <w:sz w:val="18"/>
                <w:szCs w:val="18"/>
              </w:rPr>
              <w:t>34577</w:t>
            </w:r>
          </w:p>
        </w:tc>
        <w:tc>
          <w:tcPr>
            <w:tcW w:w="775" w:type="dxa"/>
            <w:tcBorders>
              <w:top w:val="single" w:sz="2" w:space="0" w:color="000000"/>
              <w:left w:val="single" w:sz="2" w:space="0" w:color="000000"/>
              <w:bottom w:val="single" w:sz="2" w:space="0" w:color="000000"/>
              <w:right w:val="single" w:sz="2" w:space="0" w:color="000000"/>
            </w:tcBorders>
            <w:vAlign w:val="center"/>
          </w:tcPr>
          <w:p w14:paraId="7478D006" w14:textId="77777777" w:rsidR="004D4A28" w:rsidRDefault="004D4A28" w:rsidP="00361368">
            <w:pPr>
              <w:spacing w:line="259" w:lineRule="auto"/>
              <w:ind w:left="56"/>
              <w:jc w:val="center"/>
              <w:rPr>
                <w:rFonts w:ascii="Calibri" w:hAnsi="Calibri"/>
                <w:color w:val="000000"/>
                <w:sz w:val="20"/>
                <w:szCs w:val="20"/>
              </w:rPr>
            </w:pPr>
            <w:r>
              <w:rPr>
                <w:sz w:val="18"/>
                <w:szCs w:val="18"/>
              </w:rPr>
              <w:t>-12288</w:t>
            </w:r>
          </w:p>
        </w:tc>
        <w:tc>
          <w:tcPr>
            <w:tcW w:w="775" w:type="dxa"/>
            <w:tcBorders>
              <w:top w:val="single" w:sz="2" w:space="0" w:color="000000"/>
              <w:left w:val="single" w:sz="2" w:space="0" w:color="000000"/>
              <w:bottom w:val="single" w:sz="2" w:space="0" w:color="000000"/>
              <w:right w:val="single" w:sz="2" w:space="0" w:color="000000"/>
            </w:tcBorders>
            <w:vAlign w:val="center"/>
          </w:tcPr>
          <w:p w14:paraId="59D1751B"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-38995</w:t>
            </w:r>
          </w:p>
        </w:tc>
        <w:tc>
          <w:tcPr>
            <w:tcW w:w="775" w:type="dxa"/>
            <w:tcBorders>
              <w:top w:val="single" w:sz="2" w:space="0" w:color="000000"/>
              <w:left w:val="single" w:sz="2" w:space="0" w:color="000000"/>
              <w:bottom w:val="single" w:sz="2" w:space="0" w:color="000000"/>
              <w:right w:val="single" w:sz="2" w:space="0" w:color="000000"/>
            </w:tcBorders>
            <w:vAlign w:val="center"/>
          </w:tcPr>
          <w:p w14:paraId="5386819F"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-37671</w:t>
            </w:r>
          </w:p>
        </w:tc>
        <w:tc>
          <w:tcPr>
            <w:tcW w:w="776" w:type="dxa"/>
            <w:tcBorders>
              <w:top w:val="single" w:sz="2" w:space="0" w:color="000000"/>
              <w:left w:val="single" w:sz="2" w:space="0" w:color="000000"/>
              <w:bottom w:val="single" w:sz="2" w:space="0" w:color="000000"/>
              <w:right w:val="single" w:sz="2" w:space="0" w:color="000000"/>
            </w:tcBorders>
            <w:vAlign w:val="center"/>
          </w:tcPr>
          <w:p w14:paraId="6A27916B"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-40160</w:t>
            </w:r>
          </w:p>
        </w:tc>
        <w:tc>
          <w:tcPr>
            <w:tcW w:w="775" w:type="dxa"/>
            <w:tcBorders>
              <w:top w:val="single" w:sz="2" w:space="0" w:color="000000"/>
              <w:left w:val="single" w:sz="2" w:space="0" w:color="000000"/>
              <w:bottom w:val="single" w:sz="2" w:space="0" w:color="000000"/>
              <w:right w:val="single" w:sz="2" w:space="0" w:color="000000"/>
            </w:tcBorders>
            <w:vAlign w:val="center"/>
          </w:tcPr>
          <w:p w14:paraId="0B029BDA"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-45205</w:t>
            </w:r>
          </w:p>
        </w:tc>
        <w:tc>
          <w:tcPr>
            <w:tcW w:w="776" w:type="dxa"/>
            <w:tcBorders>
              <w:top w:val="single" w:sz="2" w:space="0" w:color="000000"/>
              <w:left w:val="single" w:sz="2" w:space="0" w:color="000000"/>
              <w:bottom w:val="single" w:sz="2" w:space="0" w:color="000000"/>
              <w:right w:val="single" w:sz="2" w:space="0" w:color="000000"/>
            </w:tcBorders>
            <w:vAlign w:val="center"/>
          </w:tcPr>
          <w:p w14:paraId="7E21B5D6"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-67148</w:t>
            </w:r>
          </w:p>
        </w:tc>
      </w:tr>
      <w:tr w:rsidR="004D4A28" w14:paraId="38C2E5C4" w14:textId="77777777" w:rsidTr="00361368">
        <w:trPr>
          <w:trHeight w:val="344"/>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1ECCFB15" w14:textId="77777777" w:rsidR="004D4A28" w:rsidRDefault="004D4A28" w:rsidP="00361368">
            <w:pPr>
              <w:spacing w:line="259" w:lineRule="auto"/>
            </w:pPr>
            <w:r>
              <w:rPr>
                <w:sz w:val="18"/>
              </w:rPr>
              <w:t xml:space="preserve">Déchets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C90602" w14:textId="77777777" w:rsidR="004D4A28" w:rsidRPr="00AB5735" w:rsidRDefault="004D4A28" w:rsidP="00361368">
            <w:pPr>
              <w:spacing w:line="259" w:lineRule="auto"/>
              <w:ind w:left="106"/>
              <w:jc w:val="center"/>
            </w:pPr>
            <w:r>
              <w:rPr>
                <w:sz w:val="18"/>
                <w:szCs w:val="18"/>
              </w:rPr>
              <w:t>17283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F8491B" w14:textId="77777777" w:rsidR="004D4A28" w:rsidRPr="00C14DCA" w:rsidRDefault="004D4A28" w:rsidP="00361368">
            <w:pPr>
              <w:spacing w:line="259" w:lineRule="auto"/>
              <w:ind w:left="107"/>
              <w:jc w:val="center"/>
              <w:rPr>
                <w:highlight w:val="yellow"/>
              </w:rPr>
            </w:pPr>
            <w:r>
              <w:rPr>
                <w:sz w:val="18"/>
                <w:szCs w:val="18"/>
              </w:rPr>
              <w:t>20118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194422" w14:textId="77777777" w:rsidR="004D4A28" w:rsidRPr="00C14DCA" w:rsidRDefault="004D4A28" w:rsidP="00361368">
            <w:pPr>
              <w:spacing w:line="259" w:lineRule="auto"/>
              <w:ind w:left="107"/>
              <w:jc w:val="center"/>
              <w:rPr>
                <w:highlight w:val="yellow"/>
              </w:rPr>
            </w:pPr>
            <w:r>
              <w:rPr>
                <w:sz w:val="18"/>
                <w:szCs w:val="18"/>
              </w:rPr>
              <w:t>21056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57B674" w14:textId="77777777" w:rsidR="004D4A28" w:rsidRPr="00C14DCA" w:rsidRDefault="004D4A28" w:rsidP="00361368">
            <w:pPr>
              <w:spacing w:line="259" w:lineRule="auto"/>
              <w:ind w:left="106"/>
              <w:jc w:val="center"/>
              <w:rPr>
                <w:highlight w:val="yellow"/>
              </w:rPr>
            </w:pPr>
            <w:r>
              <w:rPr>
                <w:sz w:val="18"/>
                <w:szCs w:val="18"/>
              </w:rPr>
              <w:t>21362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FF3B69" w14:textId="77777777" w:rsidR="004D4A28" w:rsidRPr="00AB5735" w:rsidRDefault="004D4A28" w:rsidP="00361368">
            <w:pPr>
              <w:spacing w:line="259" w:lineRule="auto"/>
              <w:ind w:left="107"/>
              <w:jc w:val="center"/>
            </w:pPr>
            <w:r>
              <w:rPr>
                <w:sz w:val="18"/>
                <w:szCs w:val="18"/>
              </w:rPr>
              <w:t>20756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96F8A0" w14:textId="77777777" w:rsidR="004D4A28" w:rsidRPr="00AB5735" w:rsidRDefault="004D4A28" w:rsidP="00361368">
            <w:pPr>
              <w:spacing w:line="259" w:lineRule="auto"/>
              <w:ind w:left="106"/>
              <w:jc w:val="center"/>
            </w:pPr>
            <w:r>
              <w:rPr>
                <w:sz w:val="18"/>
                <w:szCs w:val="18"/>
              </w:rPr>
              <w:t>17905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CCBE8F" w14:textId="77777777" w:rsidR="004D4A28" w:rsidRDefault="004D4A28" w:rsidP="00361368">
            <w:pPr>
              <w:spacing w:line="259" w:lineRule="auto"/>
              <w:ind w:left="56"/>
              <w:jc w:val="center"/>
              <w:rPr>
                <w:rFonts w:ascii="Calibri" w:hAnsi="Calibri"/>
                <w:color w:val="000000"/>
                <w:sz w:val="20"/>
                <w:szCs w:val="20"/>
              </w:rPr>
            </w:pPr>
            <w:r>
              <w:rPr>
                <w:sz w:val="18"/>
                <w:szCs w:val="18"/>
              </w:rPr>
              <w:t>18165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B742C6"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14345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898311"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12325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75F48C"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10983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3382BD"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9786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2B6B5E" w14:textId="77777777" w:rsidR="004D4A28" w:rsidRPr="00921C44" w:rsidRDefault="004D4A28" w:rsidP="00361368">
            <w:pPr>
              <w:spacing w:line="259" w:lineRule="auto"/>
              <w:ind w:left="56"/>
              <w:jc w:val="center"/>
              <w:rPr>
                <w:sz w:val="18"/>
                <w:szCs w:val="18"/>
              </w:rPr>
            </w:pPr>
            <w:r w:rsidRPr="00634E4C">
              <w:rPr>
                <w:rFonts w:asciiTheme="majorHAnsi" w:hAnsiTheme="majorHAnsi"/>
                <w:color w:val="000000"/>
                <w:sz w:val="18"/>
              </w:rPr>
              <w:t>6193</w:t>
            </w:r>
          </w:p>
        </w:tc>
      </w:tr>
      <w:tr w:rsidR="004D4A28" w14:paraId="6B91DBD2" w14:textId="77777777" w:rsidTr="00361368">
        <w:trPr>
          <w:trHeight w:val="344"/>
        </w:trPr>
        <w:tc>
          <w:tcPr>
            <w:tcW w:w="1404" w:type="dxa"/>
            <w:tcBorders>
              <w:top w:val="single" w:sz="2" w:space="0" w:color="000000"/>
              <w:left w:val="single" w:sz="2" w:space="0" w:color="000000"/>
              <w:bottom w:val="single" w:sz="2" w:space="0" w:color="000000"/>
              <w:right w:val="single" w:sz="2" w:space="0" w:color="000000"/>
            </w:tcBorders>
          </w:tcPr>
          <w:p w14:paraId="27F56A45" w14:textId="77777777" w:rsidR="004D4A28" w:rsidRDefault="004D4A28" w:rsidP="00361368">
            <w:pPr>
              <w:spacing w:line="259" w:lineRule="auto"/>
            </w:pPr>
            <w:r>
              <w:rPr>
                <w:b/>
                <w:sz w:val="18"/>
              </w:rPr>
              <w:t xml:space="preserve">Ensemble (hors UTCF) </w:t>
            </w:r>
          </w:p>
        </w:tc>
        <w:tc>
          <w:tcPr>
            <w:tcW w:w="775" w:type="dxa"/>
            <w:tcBorders>
              <w:top w:val="single" w:sz="2" w:space="0" w:color="000000"/>
              <w:left w:val="single" w:sz="2" w:space="0" w:color="000000"/>
              <w:bottom w:val="single" w:sz="2" w:space="0" w:color="000000"/>
              <w:right w:val="single" w:sz="2" w:space="0" w:color="000000"/>
            </w:tcBorders>
            <w:vAlign w:val="center"/>
          </w:tcPr>
          <w:p w14:paraId="0CFA9949" w14:textId="77777777" w:rsidR="004D4A28" w:rsidRPr="000867AD" w:rsidRDefault="004D4A28" w:rsidP="00361368">
            <w:pPr>
              <w:spacing w:line="259" w:lineRule="auto"/>
              <w:ind w:left="55"/>
              <w:jc w:val="center"/>
              <w:rPr>
                <w:b/>
              </w:rPr>
            </w:pPr>
            <w:r w:rsidRPr="0002410C">
              <w:rPr>
                <w:rFonts w:asciiTheme="majorHAnsi" w:hAnsiTheme="majorHAnsi"/>
                <w:b/>
                <w:sz w:val="18"/>
                <w:szCs w:val="18"/>
              </w:rPr>
              <w:t>544086</w:t>
            </w:r>
          </w:p>
        </w:tc>
        <w:tc>
          <w:tcPr>
            <w:tcW w:w="775" w:type="dxa"/>
            <w:tcBorders>
              <w:top w:val="single" w:sz="2" w:space="0" w:color="000000"/>
              <w:left w:val="single" w:sz="2" w:space="0" w:color="000000"/>
              <w:bottom w:val="single" w:sz="2" w:space="0" w:color="000000"/>
              <w:right w:val="single" w:sz="2" w:space="0" w:color="000000"/>
            </w:tcBorders>
            <w:vAlign w:val="center"/>
          </w:tcPr>
          <w:p w14:paraId="04D72C30" w14:textId="77777777" w:rsidR="004D4A28" w:rsidRPr="000867AD" w:rsidRDefault="004D4A28" w:rsidP="00361368">
            <w:pPr>
              <w:spacing w:line="259" w:lineRule="auto"/>
              <w:ind w:left="56"/>
              <w:jc w:val="center"/>
              <w:rPr>
                <w:b/>
                <w:highlight w:val="yellow"/>
              </w:rPr>
            </w:pPr>
            <w:r w:rsidRPr="0002410C">
              <w:rPr>
                <w:rFonts w:asciiTheme="majorHAnsi" w:hAnsiTheme="majorHAnsi"/>
                <w:b/>
                <w:sz w:val="18"/>
                <w:szCs w:val="18"/>
              </w:rPr>
              <w:t>536475</w:t>
            </w:r>
          </w:p>
        </w:tc>
        <w:tc>
          <w:tcPr>
            <w:tcW w:w="775" w:type="dxa"/>
            <w:tcBorders>
              <w:top w:val="single" w:sz="2" w:space="0" w:color="000000"/>
              <w:left w:val="single" w:sz="2" w:space="0" w:color="000000"/>
              <w:bottom w:val="single" w:sz="2" w:space="0" w:color="000000"/>
              <w:right w:val="single" w:sz="2" w:space="0" w:color="000000"/>
            </w:tcBorders>
            <w:vAlign w:val="center"/>
          </w:tcPr>
          <w:p w14:paraId="4DC6D66C" w14:textId="77777777" w:rsidR="004D4A28" w:rsidRPr="000867AD" w:rsidRDefault="004D4A28" w:rsidP="00361368">
            <w:pPr>
              <w:spacing w:line="259" w:lineRule="auto"/>
              <w:ind w:left="56"/>
              <w:jc w:val="center"/>
              <w:rPr>
                <w:b/>
                <w:highlight w:val="yellow"/>
              </w:rPr>
            </w:pPr>
            <w:r w:rsidRPr="0002410C">
              <w:rPr>
                <w:rFonts w:asciiTheme="majorHAnsi" w:hAnsiTheme="majorHAnsi" w:cs="Calibri"/>
                <w:b/>
                <w:sz w:val="18"/>
                <w:szCs w:val="18"/>
              </w:rPr>
              <w:t>549005</w:t>
            </w:r>
          </w:p>
        </w:tc>
        <w:tc>
          <w:tcPr>
            <w:tcW w:w="776" w:type="dxa"/>
            <w:tcBorders>
              <w:top w:val="single" w:sz="2" w:space="0" w:color="000000"/>
              <w:left w:val="single" w:sz="2" w:space="0" w:color="000000"/>
              <w:bottom w:val="single" w:sz="2" w:space="0" w:color="000000"/>
              <w:right w:val="single" w:sz="2" w:space="0" w:color="000000"/>
            </w:tcBorders>
            <w:vAlign w:val="center"/>
          </w:tcPr>
          <w:p w14:paraId="601CD4C9" w14:textId="77777777" w:rsidR="004D4A28" w:rsidRPr="000867AD" w:rsidRDefault="004D4A28" w:rsidP="00361368">
            <w:pPr>
              <w:spacing w:line="259" w:lineRule="auto"/>
              <w:ind w:left="55"/>
              <w:jc w:val="center"/>
              <w:rPr>
                <w:b/>
                <w:highlight w:val="yellow"/>
              </w:rPr>
            </w:pPr>
            <w:r w:rsidRPr="0002410C">
              <w:rPr>
                <w:rFonts w:asciiTheme="majorHAnsi" w:hAnsiTheme="majorHAnsi" w:cs="Calibri"/>
                <w:b/>
                <w:sz w:val="18"/>
                <w:szCs w:val="18"/>
              </w:rPr>
              <w:t>551391</w:t>
            </w:r>
          </w:p>
        </w:tc>
        <w:tc>
          <w:tcPr>
            <w:tcW w:w="775" w:type="dxa"/>
            <w:tcBorders>
              <w:top w:val="single" w:sz="2" w:space="0" w:color="000000"/>
              <w:left w:val="single" w:sz="2" w:space="0" w:color="000000"/>
              <w:bottom w:val="single" w:sz="2" w:space="0" w:color="000000"/>
              <w:right w:val="single" w:sz="2" w:space="0" w:color="000000"/>
            </w:tcBorders>
            <w:vAlign w:val="center"/>
          </w:tcPr>
          <w:p w14:paraId="4D1BFDE8" w14:textId="77777777" w:rsidR="004D4A28" w:rsidRPr="000867AD" w:rsidRDefault="004D4A28" w:rsidP="00361368">
            <w:pPr>
              <w:spacing w:line="259" w:lineRule="auto"/>
              <w:ind w:left="61"/>
              <w:jc w:val="center"/>
              <w:rPr>
                <w:b/>
              </w:rPr>
            </w:pPr>
            <w:r w:rsidRPr="0002410C">
              <w:rPr>
                <w:rFonts w:asciiTheme="majorHAnsi" w:hAnsiTheme="majorHAnsi" w:cs="Calibri"/>
                <w:b/>
                <w:sz w:val="18"/>
                <w:szCs w:val="18"/>
              </w:rPr>
              <w:t>507468</w:t>
            </w:r>
          </w:p>
        </w:tc>
        <w:tc>
          <w:tcPr>
            <w:tcW w:w="776" w:type="dxa"/>
            <w:tcBorders>
              <w:top w:val="single" w:sz="2" w:space="0" w:color="000000"/>
              <w:left w:val="single" w:sz="2" w:space="0" w:color="000000"/>
              <w:bottom w:val="single" w:sz="2" w:space="0" w:color="000000"/>
              <w:right w:val="single" w:sz="2" w:space="0" w:color="000000"/>
            </w:tcBorders>
            <w:vAlign w:val="center"/>
          </w:tcPr>
          <w:p w14:paraId="45E893C8" w14:textId="77777777" w:rsidR="004D4A28" w:rsidRPr="000867AD" w:rsidRDefault="004D4A28" w:rsidP="00361368">
            <w:pPr>
              <w:spacing w:line="259" w:lineRule="auto"/>
              <w:ind w:left="55"/>
              <w:jc w:val="center"/>
              <w:rPr>
                <w:b/>
              </w:rPr>
            </w:pPr>
            <w:r w:rsidRPr="0002410C">
              <w:rPr>
                <w:rFonts w:asciiTheme="majorHAnsi" w:hAnsiTheme="majorHAnsi" w:cs="Calibri"/>
                <w:b/>
                <w:sz w:val="18"/>
                <w:szCs w:val="18"/>
              </w:rPr>
              <w:t>457923</w:t>
            </w:r>
          </w:p>
        </w:tc>
        <w:tc>
          <w:tcPr>
            <w:tcW w:w="775" w:type="dxa"/>
            <w:tcBorders>
              <w:top w:val="single" w:sz="2" w:space="0" w:color="000000"/>
              <w:left w:val="single" w:sz="2" w:space="0" w:color="000000"/>
              <w:bottom w:val="single" w:sz="2" w:space="0" w:color="000000"/>
              <w:right w:val="single" w:sz="2" w:space="0" w:color="000000"/>
            </w:tcBorders>
            <w:vAlign w:val="center"/>
          </w:tcPr>
          <w:p w14:paraId="067A4C15" w14:textId="77777777" w:rsidR="004D4A28" w:rsidRPr="000867AD" w:rsidRDefault="004D4A28" w:rsidP="00361368">
            <w:pPr>
              <w:spacing w:line="259" w:lineRule="auto"/>
              <w:ind w:left="56"/>
              <w:jc w:val="center"/>
              <w:rPr>
                <w:rFonts w:ascii="Calibri" w:hAnsi="Calibri"/>
                <w:b/>
                <w:color w:val="000000"/>
                <w:sz w:val="20"/>
                <w:szCs w:val="20"/>
              </w:rPr>
            </w:pPr>
            <w:r w:rsidRPr="0002410C">
              <w:rPr>
                <w:rFonts w:asciiTheme="majorHAnsi" w:hAnsiTheme="majorHAnsi" w:cs="Calibri"/>
                <w:b/>
                <w:sz w:val="18"/>
                <w:szCs w:val="18"/>
              </w:rPr>
              <w:t>434539</w:t>
            </w:r>
          </w:p>
        </w:tc>
        <w:tc>
          <w:tcPr>
            <w:tcW w:w="775" w:type="dxa"/>
            <w:tcBorders>
              <w:top w:val="single" w:sz="2" w:space="0" w:color="000000"/>
              <w:left w:val="single" w:sz="2" w:space="0" w:color="000000"/>
              <w:bottom w:val="single" w:sz="2" w:space="0" w:color="000000"/>
              <w:right w:val="single" w:sz="2" w:space="0" w:color="000000"/>
            </w:tcBorders>
            <w:vAlign w:val="center"/>
          </w:tcPr>
          <w:p w14:paraId="1CC56EBD"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434378</w:t>
            </w:r>
          </w:p>
        </w:tc>
        <w:tc>
          <w:tcPr>
            <w:tcW w:w="775" w:type="dxa"/>
            <w:tcBorders>
              <w:top w:val="single" w:sz="2" w:space="0" w:color="000000"/>
              <w:left w:val="single" w:sz="2" w:space="0" w:color="000000"/>
              <w:bottom w:val="single" w:sz="2" w:space="0" w:color="000000"/>
              <w:right w:val="single" w:sz="2" w:space="0" w:color="000000"/>
            </w:tcBorders>
            <w:vAlign w:val="center"/>
          </w:tcPr>
          <w:p w14:paraId="5D360979"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367661</w:t>
            </w:r>
          </w:p>
        </w:tc>
        <w:tc>
          <w:tcPr>
            <w:tcW w:w="776" w:type="dxa"/>
            <w:tcBorders>
              <w:top w:val="single" w:sz="2" w:space="0" w:color="000000"/>
              <w:left w:val="single" w:sz="2" w:space="0" w:color="000000"/>
              <w:bottom w:val="single" w:sz="2" w:space="0" w:color="000000"/>
              <w:right w:val="single" w:sz="2" w:space="0" w:color="000000"/>
            </w:tcBorders>
            <w:vAlign w:val="center"/>
          </w:tcPr>
          <w:p w14:paraId="7D16455D"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307094</w:t>
            </w:r>
          </w:p>
        </w:tc>
        <w:tc>
          <w:tcPr>
            <w:tcW w:w="775" w:type="dxa"/>
            <w:tcBorders>
              <w:top w:val="single" w:sz="2" w:space="0" w:color="000000"/>
              <w:left w:val="single" w:sz="2" w:space="0" w:color="000000"/>
              <w:bottom w:val="single" w:sz="2" w:space="0" w:color="000000"/>
              <w:right w:val="single" w:sz="2" w:space="0" w:color="000000"/>
            </w:tcBorders>
            <w:vAlign w:val="center"/>
          </w:tcPr>
          <w:p w14:paraId="5A6FFBE4"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247697</w:t>
            </w:r>
          </w:p>
        </w:tc>
        <w:tc>
          <w:tcPr>
            <w:tcW w:w="776" w:type="dxa"/>
            <w:tcBorders>
              <w:top w:val="single" w:sz="2" w:space="0" w:color="000000"/>
              <w:left w:val="single" w:sz="2" w:space="0" w:color="000000"/>
              <w:bottom w:val="single" w:sz="2" w:space="0" w:color="000000"/>
              <w:right w:val="single" w:sz="2" w:space="0" w:color="000000"/>
            </w:tcBorders>
            <w:vAlign w:val="center"/>
          </w:tcPr>
          <w:p w14:paraId="151F4474"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64551</w:t>
            </w:r>
          </w:p>
        </w:tc>
      </w:tr>
      <w:tr w:rsidR="004D4A28" w14:paraId="4F337F16" w14:textId="77777777" w:rsidTr="00361368">
        <w:trPr>
          <w:trHeight w:val="345"/>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55AB04A5" w14:textId="77777777" w:rsidR="004D4A28" w:rsidRDefault="004D4A28" w:rsidP="00361368">
            <w:pPr>
              <w:spacing w:line="259" w:lineRule="auto"/>
            </w:pPr>
            <w:r>
              <w:rPr>
                <w:b/>
                <w:sz w:val="18"/>
              </w:rPr>
              <w:t xml:space="preserve">Ensemble (avec UTCF)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DE0370" w14:textId="77777777" w:rsidR="004D4A28" w:rsidRPr="000867AD" w:rsidRDefault="004D4A28" w:rsidP="00361368">
            <w:pPr>
              <w:spacing w:line="259" w:lineRule="auto"/>
              <w:ind w:left="55"/>
              <w:jc w:val="center"/>
              <w:rPr>
                <w:b/>
              </w:rPr>
            </w:pPr>
            <w:r w:rsidRPr="0002410C">
              <w:rPr>
                <w:b/>
                <w:sz w:val="18"/>
                <w:szCs w:val="18"/>
              </w:rPr>
              <w:t>520100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369CD5" w14:textId="77777777" w:rsidR="004D4A28" w:rsidRPr="000867AD" w:rsidRDefault="004D4A28" w:rsidP="00361368">
            <w:pPr>
              <w:spacing w:line="259" w:lineRule="auto"/>
              <w:ind w:left="56"/>
              <w:jc w:val="center"/>
              <w:rPr>
                <w:b/>
                <w:highlight w:val="yellow"/>
              </w:rPr>
            </w:pPr>
            <w:r w:rsidRPr="0002410C">
              <w:rPr>
                <w:b/>
                <w:sz w:val="18"/>
                <w:szCs w:val="18"/>
              </w:rPr>
              <w:t>511596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2B5340" w14:textId="77777777" w:rsidR="004D4A28" w:rsidRPr="000867AD" w:rsidRDefault="004D4A28" w:rsidP="00361368">
            <w:pPr>
              <w:spacing w:line="259" w:lineRule="auto"/>
              <w:ind w:left="56"/>
              <w:jc w:val="center"/>
              <w:rPr>
                <w:b/>
                <w:highlight w:val="yellow"/>
              </w:rPr>
            </w:pPr>
            <w:r w:rsidRPr="0002410C">
              <w:rPr>
                <w:b/>
                <w:sz w:val="18"/>
                <w:szCs w:val="18"/>
              </w:rPr>
              <w:t>529296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2576BE" w14:textId="77777777" w:rsidR="004D4A28" w:rsidRPr="000867AD" w:rsidRDefault="004D4A28" w:rsidP="00361368">
            <w:pPr>
              <w:spacing w:line="259" w:lineRule="auto"/>
              <w:ind w:left="55"/>
              <w:jc w:val="center"/>
              <w:rPr>
                <w:b/>
                <w:highlight w:val="yellow"/>
              </w:rPr>
            </w:pPr>
            <w:r w:rsidRPr="0002410C">
              <w:rPr>
                <w:b/>
                <w:sz w:val="18"/>
                <w:szCs w:val="18"/>
              </w:rPr>
              <w:t>504080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495594" w14:textId="77777777" w:rsidR="004D4A28" w:rsidRPr="000867AD" w:rsidRDefault="004D4A28" w:rsidP="00361368">
            <w:pPr>
              <w:spacing w:line="259" w:lineRule="auto"/>
              <w:ind w:left="56"/>
              <w:jc w:val="center"/>
              <w:rPr>
                <w:b/>
              </w:rPr>
            </w:pPr>
            <w:r w:rsidRPr="0002410C">
              <w:rPr>
                <w:b/>
                <w:sz w:val="18"/>
                <w:szCs w:val="18"/>
              </w:rPr>
              <w:t>469113</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64E096" w14:textId="77777777" w:rsidR="004D4A28" w:rsidRPr="000867AD" w:rsidRDefault="004D4A28" w:rsidP="00361368">
            <w:pPr>
              <w:spacing w:line="259" w:lineRule="auto"/>
              <w:ind w:left="55"/>
              <w:jc w:val="center"/>
              <w:rPr>
                <w:b/>
              </w:rPr>
            </w:pPr>
            <w:r w:rsidRPr="0002410C">
              <w:rPr>
                <w:b/>
                <w:sz w:val="18"/>
                <w:szCs w:val="18"/>
              </w:rPr>
              <w:t>423346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08C1D1" w14:textId="77777777" w:rsidR="004D4A28" w:rsidRPr="000867AD" w:rsidRDefault="004D4A28" w:rsidP="00361368">
            <w:pPr>
              <w:spacing w:line="259" w:lineRule="auto"/>
              <w:ind w:left="56"/>
              <w:jc w:val="center"/>
              <w:rPr>
                <w:rFonts w:ascii="Calibri" w:hAnsi="Calibri"/>
                <w:b/>
                <w:color w:val="000000"/>
                <w:sz w:val="20"/>
                <w:szCs w:val="20"/>
              </w:rPr>
            </w:pPr>
            <w:r w:rsidRPr="0002410C">
              <w:rPr>
                <w:b/>
                <w:sz w:val="18"/>
                <w:szCs w:val="18"/>
              </w:rPr>
              <w:t>422252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005B46"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395383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BA5915"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329989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F84D80"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266934</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C1FD4C"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202492</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1EFF42" w14:textId="77777777" w:rsidR="004D4A28" w:rsidRPr="000867AD" w:rsidRDefault="004D4A28" w:rsidP="00361368">
            <w:pPr>
              <w:spacing w:line="259" w:lineRule="auto"/>
              <w:ind w:left="56"/>
              <w:jc w:val="center"/>
              <w:rPr>
                <w:b/>
                <w:sz w:val="18"/>
                <w:szCs w:val="18"/>
              </w:rPr>
            </w:pPr>
            <w:r w:rsidRPr="00634E4C">
              <w:rPr>
                <w:rFonts w:asciiTheme="majorHAnsi" w:hAnsiTheme="majorHAnsi"/>
                <w:b/>
                <w:color w:val="000000"/>
                <w:sz w:val="18"/>
              </w:rPr>
              <w:t>-2597</w:t>
            </w:r>
          </w:p>
        </w:tc>
      </w:tr>
      <w:tr w:rsidR="004D4A28" w14:paraId="0159DFE1" w14:textId="77777777" w:rsidTr="00361368">
        <w:trPr>
          <w:trHeight w:val="346"/>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059F4F5B" w14:textId="77777777" w:rsidR="004D4A28" w:rsidRDefault="004D4A28" w:rsidP="00361368">
            <w:pPr>
              <w:spacing w:line="259" w:lineRule="auto"/>
            </w:pPr>
            <w:r>
              <w:rPr>
                <w:i/>
                <w:sz w:val="18"/>
              </w:rPr>
              <w:t xml:space="preserve">Pour mémoire :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BB3F9CD" w14:textId="77777777" w:rsidR="004D4A28" w:rsidRPr="00AB5735" w:rsidRDefault="004D4A28" w:rsidP="003613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282F999" w14:textId="77777777" w:rsidR="004D4A28" w:rsidRPr="00C14DCA" w:rsidRDefault="004D4A28" w:rsidP="00361368">
            <w:pPr>
              <w:spacing w:line="259" w:lineRule="auto"/>
              <w:ind w:left="20"/>
              <w:jc w:val="center"/>
              <w:rPr>
                <w:highlight w:val="yellow"/>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5AE5168" w14:textId="77777777" w:rsidR="004D4A28" w:rsidRPr="00C14DCA" w:rsidRDefault="004D4A28" w:rsidP="00361368">
            <w:pPr>
              <w:spacing w:line="259" w:lineRule="auto"/>
              <w:ind w:left="20"/>
              <w:jc w:val="center"/>
              <w:rPr>
                <w:highlight w:val="yellow"/>
              </w:rP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B75A8B3" w14:textId="77777777" w:rsidR="004D4A28" w:rsidRPr="00C14DCA" w:rsidRDefault="004D4A28" w:rsidP="00361368">
            <w:pPr>
              <w:spacing w:line="259" w:lineRule="auto"/>
              <w:ind w:left="18"/>
              <w:jc w:val="center"/>
              <w:rPr>
                <w:highlight w:val="yellow"/>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BD58B0F" w14:textId="77777777" w:rsidR="004D4A28" w:rsidRPr="00AB5735" w:rsidRDefault="004D4A28" w:rsidP="00361368">
            <w:pPr>
              <w:spacing w:line="259" w:lineRule="auto"/>
              <w:ind w:left="20"/>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A44827D" w14:textId="77777777" w:rsidR="004D4A28" w:rsidRPr="00AB5735" w:rsidRDefault="004D4A28" w:rsidP="003613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14EA631" w14:textId="77777777" w:rsidR="004D4A28" w:rsidRDefault="004D4A28" w:rsidP="003613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14A62CB" w14:textId="77777777" w:rsidR="004D4A28" w:rsidRDefault="004D4A28" w:rsidP="003613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DBCDA0A" w14:textId="77777777" w:rsidR="004D4A28" w:rsidRDefault="004D4A28" w:rsidP="00361368">
            <w:pPr>
              <w:spacing w:line="259" w:lineRule="auto"/>
              <w:ind w:left="20"/>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105A433" w14:textId="77777777" w:rsidR="004D4A28" w:rsidRDefault="004D4A28" w:rsidP="00361368">
            <w:pPr>
              <w:spacing w:line="259" w:lineRule="auto"/>
              <w:ind w:left="19"/>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07907F4" w14:textId="77777777" w:rsidR="004D4A28" w:rsidRDefault="004D4A28" w:rsidP="00361368">
            <w:pPr>
              <w:spacing w:line="259" w:lineRule="auto"/>
              <w:ind w:left="19"/>
              <w:jc w:val="center"/>
              <w:rPr>
                <w:i/>
                <w:sz w:val="18"/>
              </w:rP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E32E3CB" w14:textId="77777777" w:rsidR="004D4A28" w:rsidRDefault="004D4A28" w:rsidP="00361368">
            <w:pPr>
              <w:spacing w:line="259" w:lineRule="auto"/>
              <w:ind w:left="19"/>
              <w:jc w:val="center"/>
              <w:rPr>
                <w:i/>
                <w:sz w:val="18"/>
              </w:rPr>
            </w:pPr>
          </w:p>
        </w:tc>
      </w:tr>
      <w:tr w:rsidR="004D4A28" w14:paraId="3B3FB70C" w14:textId="77777777" w:rsidTr="00361368">
        <w:trPr>
          <w:trHeight w:val="346"/>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6FEE7B66" w14:textId="77777777" w:rsidR="004D4A28" w:rsidRDefault="004D4A28" w:rsidP="00361368">
            <w:pPr>
              <w:spacing w:line="259" w:lineRule="auto"/>
            </w:pPr>
            <w:r>
              <w:rPr>
                <w:i/>
                <w:sz w:val="18"/>
              </w:rPr>
              <w:t xml:space="preserve">Soutes internationales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B00EEE5" w14:textId="77777777" w:rsidR="004D4A28" w:rsidRPr="00AB5735" w:rsidRDefault="004D4A28" w:rsidP="00361368">
            <w:pPr>
              <w:spacing w:line="259" w:lineRule="auto"/>
              <w:ind w:left="56"/>
              <w:jc w:val="center"/>
              <w:rPr>
                <w:i/>
                <w:sz w:val="18"/>
                <w:szCs w:val="18"/>
              </w:rPr>
            </w:pPr>
            <w:r>
              <w:rPr>
                <w:sz w:val="18"/>
                <w:szCs w:val="18"/>
              </w:rPr>
              <w:t>16921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DD9895A" w14:textId="77777777" w:rsidR="004D4A28" w:rsidRPr="00C14DCA" w:rsidRDefault="004D4A28" w:rsidP="00361368">
            <w:pPr>
              <w:spacing w:line="259" w:lineRule="auto"/>
              <w:ind w:left="56"/>
              <w:jc w:val="center"/>
              <w:rPr>
                <w:i/>
                <w:sz w:val="18"/>
                <w:szCs w:val="18"/>
                <w:highlight w:val="yellow"/>
              </w:rPr>
            </w:pPr>
            <w:r>
              <w:rPr>
                <w:sz w:val="18"/>
                <w:szCs w:val="18"/>
              </w:rPr>
              <w:t>17908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D772A71" w14:textId="77777777" w:rsidR="004D4A28" w:rsidRPr="00C14DCA" w:rsidRDefault="004D4A28" w:rsidP="00361368">
            <w:pPr>
              <w:spacing w:line="259" w:lineRule="auto"/>
              <w:ind w:left="56"/>
              <w:jc w:val="center"/>
              <w:rPr>
                <w:i/>
                <w:sz w:val="18"/>
                <w:szCs w:val="18"/>
                <w:highlight w:val="yellow"/>
              </w:rPr>
            </w:pPr>
            <w:r>
              <w:rPr>
                <w:sz w:val="18"/>
                <w:szCs w:val="18"/>
              </w:rPr>
              <w:t>23807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FA42EB4" w14:textId="77777777" w:rsidR="004D4A28" w:rsidRPr="00C14DCA" w:rsidRDefault="004D4A28" w:rsidP="00361368">
            <w:pPr>
              <w:spacing w:line="259" w:lineRule="auto"/>
              <w:ind w:left="56"/>
              <w:jc w:val="center"/>
              <w:rPr>
                <w:i/>
                <w:sz w:val="18"/>
                <w:szCs w:val="18"/>
                <w:highlight w:val="yellow"/>
              </w:rPr>
            </w:pPr>
            <w:r>
              <w:rPr>
                <w:sz w:val="18"/>
                <w:szCs w:val="18"/>
              </w:rPr>
              <w:t>24733</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8A0A0C2" w14:textId="77777777" w:rsidR="004D4A28" w:rsidRPr="00AB5735" w:rsidRDefault="004D4A28" w:rsidP="00361368">
            <w:pPr>
              <w:spacing w:line="259" w:lineRule="auto"/>
              <w:ind w:left="56"/>
              <w:jc w:val="center"/>
              <w:rPr>
                <w:i/>
                <w:sz w:val="18"/>
                <w:szCs w:val="18"/>
              </w:rPr>
            </w:pPr>
            <w:r>
              <w:rPr>
                <w:sz w:val="18"/>
                <w:szCs w:val="18"/>
              </w:rPr>
              <w:t>24227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5440580" w14:textId="77777777" w:rsidR="004D4A28" w:rsidRPr="00AB5735" w:rsidRDefault="004D4A28" w:rsidP="00361368">
            <w:pPr>
              <w:spacing w:line="259" w:lineRule="auto"/>
              <w:ind w:left="56"/>
              <w:jc w:val="center"/>
              <w:rPr>
                <w:i/>
                <w:sz w:val="18"/>
                <w:szCs w:val="18"/>
              </w:rPr>
            </w:pPr>
            <w:r>
              <w:rPr>
                <w:sz w:val="18"/>
                <w:szCs w:val="18"/>
              </w:rPr>
              <w:t>23316</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D93BCDE" w14:textId="77777777" w:rsidR="004D4A28" w:rsidRDefault="004D4A28" w:rsidP="00361368">
            <w:pPr>
              <w:spacing w:line="259" w:lineRule="auto"/>
              <w:ind w:left="56"/>
              <w:jc w:val="center"/>
              <w:rPr>
                <w:rFonts w:ascii="Calibri" w:hAnsi="Calibri"/>
                <w:color w:val="000000"/>
                <w:sz w:val="20"/>
                <w:szCs w:val="20"/>
              </w:rPr>
            </w:pPr>
            <w:r>
              <w:rPr>
                <w:sz w:val="18"/>
                <w:szCs w:val="18"/>
              </w:rPr>
              <w:t>24791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7C1616C"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24784</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0C33EBB"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26995</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D4A6540"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29299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A1B0F81"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26287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B2EBE1A"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13459</w:t>
            </w:r>
          </w:p>
        </w:tc>
      </w:tr>
      <w:tr w:rsidR="004D4A28" w14:paraId="6C0D6B91" w14:textId="77777777" w:rsidTr="00361368">
        <w:trPr>
          <w:trHeight w:val="343"/>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165E2BC4" w14:textId="77777777" w:rsidR="004D4A28" w:rsidRDefault="004D4A28" w:rsidP="00361368">
            <w:pPr>
              <w:spacing w:line="259" w:lineRule="auto"/>
            </w:pPr>
            <w:r>
              <w:rPr>
                <w:i/>
                <w:sz w:val="18"/>
              </w:rPr>
              <w:t xml:space="preserve">Soutes aviation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5C1C0F7" w14:textId="77777777" w:rsidR="004D4A28" w:rsidRPr="00AB5735" w:rsidRDefault="004D4A28" w:rsidP="00361368">
            <w:pPr>
              <w:spacing w:line="259" w:lineRule="auto"/>
              <w:ind w:left="56"/>
              <w:jc w:val="center"/>
              <w:rPr>
                <w:i/>
                <w:sz w:val="18"/>
                <w:szCs w:val="18"/>
              </w:rPr>
            </w:pPr>
            <w:r>
              <w:rPr>
                <w:sz w:val="18"/>
                <w:szCs w:val="18"/>
              </w:rPr>
              <w:t>8880</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5149780" w14:textId="77777777" w:rsidR="004D4A28" w:rsidRPr="00C14DCA" w:rsidRDefault="004D4A28" w:rsidP="00361368">
            <w:pPr>
              <w:spacing w:line="259" w:lineRule="auto"/>
              <w:ind w:left="56"/>
              <w:jc w:val="center"/>
              <w:rPr>
                <w:i/>
                <w:sz w:val="18"/>
                <w:szCs w:val="18"/>
                <w:highlight w:val="yellow"/>
              </w:rPr>
            </w:pPr>
            <w:r>
              <w:rPr>
                <w:sz w:val="18"/>
                <w:szCs w:val="18"/>
              </w:rPr>
              <w:t>10709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204E62F" w14:textId="77777777" w:rsidR="004D4A28" w:rsidRPr="00C14DCA" w:rsidRDefault="004D4A28" w:rsidP="00361368">
            <w:pPr>
              <w:spacing w:line="259" w:lineRule="auto"/>
              <w:ind w:left="56"/>
              <w:jc w:val="center"/>
              <w:rPr>
                <w:i/>
                <w:sz w:val="18"/>
                <w:szCs w:val="18"/>
                <w:highlight w:val="yellow"/>
              </w:rPr>
            </w:pPr>
            <w:r>
              <w:rPr>
                <w:sz w:val="18"/>
                <w:szCs w:val="18"/>
              </w:rPr>
              <w:t>14243</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0FF8D5C" w14:textId="77777777" w:rsidR="004D4A28" w:rsidRPr="00C14DCA" w:rsidRDefault="004D4A28" w:rsidP="00361368">
            <w:pPr>
              <w:spacing w:line="259" w:lineRule="auto"/>
              <w:ind w:left="56"/>
              <w:jc w:val="center"/>
              <w:rPr>
                <w:i/>
                <w:sz w:val="18"/>
                <w:szCs w:val="18"/>
                <w:highlight w:val="yellow"/>
              </w:rPr>
            </w:pPr>
            <w:r>
              <w:rPr>
                <w:sz w:val="18"/>
                <w:szCs w:val="18"/>
              </w:rPr>
              <w:t>15862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6DEFF08" w14:textId="77777777" w:rsidR="004D4A28" w:rsidRPr="00AB5735" w:rsidRDefault="004D4A28" w:rsidP="00361368">
            <w:pPr>
              <w:spacing w:line="259" w:lineRule="auto"/>
              <w:ind w:left="56"/>
              <w:jc w:val="center"/>
              <w:rPr>
                <w:i/>
                <w:sz w:val="18"/>
                <w:szCs w:val="18"/>
              </w:rPr>
            </w:pPr>
            <w:r>
              <w:rPr>
                <w:sz w:val="18"/>
                <w:szCs w:val="18"/>
              </w:rPr>
              <w:t>16227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3EA8C15" w14:textId="77777777" w:rsidR="004D4A28" w:rsidRPr="00AB5735" w:rsidRDefault="004D4A28" w:rsidP="00361368">
            <w:pPr>
              <w:spacing w:line="259" w:lineRule="auto"/>
              <w:ind w:left="56"/>
              <w:jc w:val="center"/>
              <w:rPr>
                <w:i/>
                <w:sz w:val="18"/>
                <w:szCs w:val="18"/>
              </w:rPr>
            </w:pPr>
            <w:r>
              <w:rPr>
                <w:sz w:val="18"/>
                <w:szCs w:val="18"/>
              </w:rPr>
              <w:t>17705</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80CC19E" w14:textId="77777777" w:rsidR="004D4A28" w:rsidRDefault="004D4A28" w:rsidP="00361368">
            <w:pPr>
              <w:spacing w:line="259" w:lineRule="auto"/>
              <w:ind w:left="56"/>
              <w:jc w:val="center"/>
              <w:rPr>
                <w:rFonts w:ascii="Calibri" w:hAnsi="Calibri"/>
                <w:color w:val="000000"/>
                <w:sz w:val="20"/>
                <w:szCs w:val="20"/>
              </w:rPr>
            </w:pPr>
            <w:r>
              <w:rPr>
                <w:sz w:val="18"/>
                <w:szCs w:val="18"/>
              </w:rPr>
              <w:t>19202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C6CA8E1"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17005</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F97C1D0"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19084</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BF32EFE"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21396</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B5E8571"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18692</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431F83F"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11003</w:t>
            </w:r>
          </w:p>
        </w:tc>
      </w:tr>
      <w:tr w:rsidR="004D4A28" w14:paraId="1C93C53F" w14:textId="77777777" w:rsidTr="00361368">
        <w:trPr>
          <w:trHeight w:val="345"/>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59E47BFB" w14:textId="77777777" w:rsidR="004D4A28" w:rsidRDefault="004D4A28" w:rsidP="00361368">
            <w:pPr>
              <w:spacing w:line="259" w:lineRule="auto"/>
            </w:pPr>
            <w:r>
              <w:rPr>
                <w:i/>
                <w:sz w:val="18"/>
              </w:rPr>
              <w:t xml:space="preserve">Soutes maritimes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D753203" w14:textId="77777777" w:rsidR="004D4A28" w:rsidRPr="00AB5735" w:rsidRDefault="004D4A28" w:rsidP="00361368">
            <w:pPr>
              <w:spacing w:line="259" w:lineRule="auto"/>
              <w:ind w:left="56"/>
              <w:jc w:val="center"/>
              <w:rPr>
                <w:i/>
                <w:sz w:val="18"/>
                <w:szCs w:val="18"/>
              </w:rPr>
            </w:pPr>
            <w:r>
              <w:rPr>
                <w:sz w:val="18"/>
                <w:szCs w:val="18"/>
              </w:rPr>
              <w:t>8041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40C712A" w14:textId="77777777" w:rsidR="004D4A28" w:rsidRPr="00C14DCA" w:rsidRDefault="004D4A28" w:rsidP="00361368">
            <w:pPr>
              <w:spacing w:line="259" w:lineRule="auto"/>
              <w:ind w:left="56"/>
              <w:jc w:val="center"/>
              <w:rPr>
                <w:i/>
                <w:sz w:val="18"/>
                <w:szCs w:val="18"/>
                <w:highlight w:val="yellow"/>
              </w:rPr>
            </w:pPr>
            <w:r>
              <w:rPr>
                <w:sz w:val="18"/>
                <w:szCs w:val="18"/>
              </w:rPr>
              <w:t>7199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C5E0417" w14:textId="77777777" w:rsidR="004D4A28" w:rsidRPr="00C14DCA" w:rsidRDefault="004D4A28" w:rsidP="00361368">
            <w:pPr>
              <w:spacing w:line="259" w:lineRule="auto"/>
              <w:ind w:left="56"/>
              <w:jc w:val="center"/>
              <w:rPr>
                <w:i/>
                <w:sz w:val="18"/>
                <w:szCs w:val="18"/>
                <w:highlight w:val="yellow"/>
              </w:rPr>
            </w:pPr>
            <w:r>
              <w:rPr>
                <w:sz w:val="18"/>
                <w:szCs w:val="18"/>
              </w:rPr>
              <w:t>9564</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DCFCA28" w14:textId="77777777" w:rsidR="004D4A28" w:rsidRPr="00C14DCA" w:rsidRDefault="004D4A28" w:rsidP="00361368">
            <w:pPr>
              <w:spacing w:line="259" w:lineRule="auto"/>
              <w:ind w:left="56"/>
              <w:jc w:val="center"/>
              <w:rPr>
                <w:i/>
                <w:sz w:val="18"/>
                <w:szCs w:val="18"/>
                <w:highlight w:val="yellow"/>
              </w:rPr>
            </w:pPr>
            <w:r>
              <w:rPr>
                <w:sz w:val="18"/>
                <w:szCs w:val="18"/>
              </w:rPr>
              <w:t>8871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78B5EA2" w14:textId="77777777" w:rsidR="004D4A28" w:rsidRPr="00AB5735" w:rsidRDefault="004D4A28" w:rsidP="00361368">
            <w:pPr>
              <w:spacing w:line="259" w:lineRule="auto"/>
              <w:ind w:left="56"/>
              <w:jc w:val="center"/>
              <w:rPr>
                <w:i/>
                <w:sz w:val="18"/>
                <w:szCs w:val="18"/>
              </w:rPr>
            </w:pPr>
            <w:r>
              <w:rPr>
                <w:sz w:val="18"/>
                <w:szCs w:val="18"/>
              </w:rPr>
              <w:t>8001</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8BA61AB" w14:textId="77777777" w:rsidR="004D4A28" w:rsidRPr="00AB5735" w:rsidRDefault="004D4A28" w:rsidP="00361368">
            <w:pPr>
              <w:spacing w:line="259" w:lineRule="auto"/>
              <w:ind w:left="56"/>
              <w:jc w:val="center"/>
              <w:rPr>
                <w:i/>
                <w:sz w:val="18"/>
                <w:szCs w:val="18"/>
              </w:rPr>
            </w:pPr>
            <w:r>
              <w:rPr>
                <w:sz w:val="18"/>
                <w:szCs w:val="18"/>
              </w:rPr>
              <w:t>5611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141976A" w14:textId="77777777" w:rsidR="004D4A28" w:rsidRDefault="004D4A28" w:rsidP="00361368">
            <w:pPr>
              <w:spacing w:line="259" w:lineRule="auto"/>
              <w:ind w:left="56"/>
              <w:jc w:val="center"/>
              <w:rPr>
                <w:rFonts w:ascii="Calibri" w:hAnsi="Calibri"/>
                <w:color w:val="000000"/>
                <w:sz w:val="20"/>
                <w:szCs w:val="20"/>
              </w:rPr>
            </w:pPr>
            <w:r>
              <w:rPr>
                <w:sz w:val="18"/>
                <w:szCs w:val="18"/>
              </w:rPr>
              <w:t>5589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C5AA37D"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7778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C3EAE0E"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7911</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BA8190A"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7903</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AD5792F"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7595</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A96F723" w14:textId="77777777" w:rsidR="004D4A28" w:rsidRPr="00921C44" w:rsidRDefault="004D4A28" w:rsidP="00361368">
            <w:pPr>
              <w:spacing w:line="259" w:lineRule="auto"/>
              <w:ind w:left="56"/>
              <w:jc w:val="center"/>
              <w:rPr>
                <w:i/>
                <w:sz w:val="18"/>
                <w:szCs w:val="18"/>
              </w:rPr>
            </w:pPr>
            <w:r w:rsidRPr="00634E4C">
              <w:rPr>
                <w:rFonts w:asciiTheme="majorHAnsi" w:hAnsiTheme="majorHAnsi"/>
                <w:color w:val="000000"/>
                <w:sz w:val="18"/>
              </w:rPr>
              <w:t>2456</w:t>
            </w:r>
          </w:p>
        </w:tc>
      </w:tr>
    </w:tbl>
    <w:p w14:paraId="6C02B8F5" w14:textId="77777777" w:rsidR="004D4A28" w:rsidRDefault="004D4A28" w:rsidP="004D4A28">
      <w:pPr>
        <w:pStyle w:val="Default"/>
        <w:rPr>
          <w:sz w:val="16"/>
          <w:szCs w:val="16"/>
        </w:rPr>
      </w:pPr>
      <w:r>
        <w:rPr>
          <w:i/>
          <w:iCs/>
          <w:sz w:val="16"/>
          <w:szCs w:val="16"/>
        </w:rPr>
        <w:t xml:space="preserve">Lecture du tableau : Énergie = catégorie CRF1 ; procédés industriels et solvants = catégorie CRF2 et 3 ; agriculture (hors énergie) = catégorie CRF4 ; traitements des déchets = catégorie CRF 6. </w:t>
      </w:r>
    </w:p>
    <w:p w14:paraId="3F7E7C40" w14:textId="77777777" w:rsidR="004D4A28" w:rsidRDefault="004D4A28" w:rsidP="004D4A28">
      <w:pPr>
        <w:pStyle w:val="Caption"/>
      </w:pPr>
      <w:bookmarkStart w:id="139" w:name="_Toc123916506"/>
      <w:r>
        <w:t xml:space="preserve">Tableau </w:t>
      </w:r>
      <w:r w:rsidR="00757301">
        <w:fldChar w:fldCharType="begin"/>
      </w:r>
      <w:r w:rsidR="00757301">
        <w:instrText xml:space="preserve"> SEQ Tableau \* ARABIC </w:instrText>
      </w:r>
      <w:r w:rsidR="00757301">
        <w:fldChar w:fldCharType="separate"/>
      </w:r>
      <w:r>
        <w:rPr>
          <w:noProof/>
        </w:rPr>
        <w:t>14</w:t>
      </w:r>
      <w:r w:rsidR="00757301">
        <w:rPr>
          <w:noProof/>
        </w:rPr>
        <w:fldChar w:fldCharType="end"/>
      </w:r>
      <w:r>
        <w:t xml:space="preserve"> : </w:t>
      </w:r>
      <w:r w:rsidRPr="00BA4A6C">
        <w:t>Projections d’émissions de GES par secteur d’activité (en kt</w:t>
      </w:r>
      <w:r>
        <w:t>CO</w:t>
      </w:r>
      <w:r w:rsidRPr="007F09F7">
        <w:rPr>
          <w:vertAlign w:val="subscript"/>
        </w:rPr>
        <w:t>2</w:t>
      </w:r>
      <w:r w:rsidRPr="004F1EC8">
        <w:rPr>
          <w:vertAlign w:val="subscript"/>
        </w:rPr>
        <w:t>e</w:t>
      </w:r>
      <w:r w:rsidRPr="00BA4A6C">
        <w:t xml:space="preserve">) au périmètre Kyoto dans le scénario </w:t>
      </w:r>
      <w:r>
        <w:t xml:space="preserve">AMS 2018 </w:t>
      </w:r>
      <w:r w:rsidRPr="00BA4A6C">
        <w:t xml:space="preserve">(avec mesures </w:t>
      </w:r>
      <w:r>
        <w:t>supplémentaires</w:t>
      </w:r>
      <w:r w:rsidRPr="00BA4A6C">
        <w:t>)</w:t>
      </w:r>
      <w:bookmarkEnd w:id="139"/>
    </w:p>
    <w:p w14:paraId="727176CB" w14:textId="77777777" w:rsidR="004D4A28" w:rsidRDefault="004D4A28" w:rsidP="004D4A28">
      <w:pPr>
        <w:pStyle w:val="Caption"/>
      </w:pPr>
      <w:r w:rsidRPr="0045532B">
        <w:t>Source</w:t>
      </w:r>
      <w:r w:rsidRPr="0045532B">
        <w:rPr>
          <w:rFonts w:ascii="Calibri" w:hAnsi="Calibri" w:cs="Calibri"/>
        </w:rPr>
        <w:t> </w:t>
      </w:r>
      <w:r w:rsidRPr="0045532B">
        <w:t xml:space="preserve">: Inventaire CCNUCC, Citepa/MTE, soumission </w:t>
      </w:r>
      <w:r>
        <w:t>2022</w:t>
      </w:r>
      <w:r w:rsidRPr="0045532B">
        <w:t xml:space="preserve"> et projections d’émissions MTE, 2018</w:t>
      </w:r>
    </w:p>
    <w:p w14:paraId="05E737E5" w14:textId="77777777" w:rsidR="004D4A28" w:rsidRDefault="004D4A28" w:rsidP="004D4A28">
      <w:pPr>
        <w:jc w:val="center"/>
      </w:pPr>
    </w:p>
    <w:p w14:paraId="12580045" w14:textId="77777777" w:rsidR="004D4A28" w:rsidRDefault="004D4A28" w:rsidP="004D4A28">
      <w:pPr>
        <w:pStyle w:val="Caption"/>
      </w:pPr>
      <w:bookmarkStart w:id="140" w:name="_Toc123916466"/>
      <w:r>
        <w:rPr>
          <w:noProof/>
        </w:rPr>
        <w:drawing>
          <wp:inline distT="0" distB="0" distL="0" distR="0" wp14:anchorId="6349BA95" wp14:editId="1E87D879">
            <wp:extent cx="6172200" cy="3305175"/>
            <wp:effectExtent l="0" t="0" r="0" b="0"/>
            <wp:docPr id="28682" name="Graphique 28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0F13C2"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55</w:t>
      </w:r>
      <w:r w:rsidR="00757301">
        <w:rPr>
          <w:noProof/>
        </w:rPr>
        <w:fldChar w:fldCharType="end"/>
      </w:r>
      <w:r>
        <w:t xml:space="preserve"> : </w:t>
      </w:r>
      <w:r w:rsidRPr="00BA4A6C">
        <w:t>Projection par secteur en kt</w:t>
      </w:r>
      <w:r>
        <w:t>CO</w:t>
      </w:r>
      <w:r w:rsidRPr="007F09F7">
        <w:rPr>
          <w:vertAlign w:val="subscript"/>
        </w:rPr>
        <w:t>2</w:t>
      </w:r>
      <w:r w:rsidRPr="004F1EC8">
        <w:rPr>
          <w:vertAlign w:val="subscript"/>
        </w:rPr>
        <w:t>e</w:t>
      </w:r>
      <w:r w:rsidRPr="00BA4A6C">
        <w:t xml:space="preserve">, au format Kyoto, scénario </w:t>
      </w:r>
      <w:r>
        <w:t>AMS 2018</w:t>
      </w:r>
      <w:bookmarkEnd w:id="140"/>
    </w:p>
    <w:p w14:paraId="3E75D843" w14:textId="77777777" w:rsidR="004D4A28" w:rsidRPr="00BA4A6C" w:rsidRDefault="004D4A28" w:rsidP="004D4A28">
      <w:pPr>
        <w:pStyle w:val="Caption"/>
      </w:pPr>
      <w:r w:rsidRPr="00BA4A6C">
        <w:t>Source : Inventaire CCN</w:t>
      </w:r>
      <w:r>
        <w:t xml:space="preserve">UCC, Citepa/MTES, soumission 2022 </w:t>
      </w:r>
      <w:r w:rsidRPr="00BA4A6C">
        <w:t>et pr</w:t>
      </w:r>
      <w:r>
        <w:t>ojections d’émissions MTES, 2018</w:t>
      </w:r>
    </w:p>
    <w:p w14:paraId="49F65390" w14:textId="77777777" w:rsidR="004D4A28" w:rsidRPr="0045532B" w:rsidRDefault="004D4A28" w:rsidP="004D4A28"/>
    <w:p w14:paraId="09F09142" w14:textId="77777777" w:rsidR="004D4A28" w:rsidRDefault="004D4A28" w:rsidP="00573042">
      <w:pPr>
        <w:pStyle w:val="Titre4niveau4"/>
        <w:numPr>
          <w:ilvl w:val="2"/>
          <w:numId w:val="59"/>
        </w:numPr>
        <w:spacing w:before="240"/>
      </w:pPr>
      <w:r w:rsidRPr="007E7778">
        <w:t xml:space="preserve">Détail des catégories du secteur énergie </w:t>
      </w:r>
    </w:p>
    <w:p w14:paraId="6D015190" w14:textId="77777777" w:rsidR="004D4A28" w:rsidRDefault="004D4A28" w:rsidP="00573042">
      <w:pPr>
        <w:pStyle w:val="titreencadre"/>
        <w:numPr>
          <w:ilvl w:val="3"/>
          <w:numId w:val="59"/>
        </w:numPr>
        <w:spacing w:before="120" w:after="60" w:line="240" w:lineRule="auto"/>
      </w:pPr>
      <w:r>
        <w:t>AME 2021</w:t>
      </w:r>
    </w:p>
    <w:tbl>
      <w:tblPr>
        <w:tblStyle w:val="TableGrid0"/>
        <w:tblW w:w="10264" w:type="dxa"/>
        <w:tblInd w:w="10" w:type="dxa"/>
        <w:tblLayout w:type="fixed"/>
        <w:tblCellMar>
          <w:top w:w="40" w:type="dxa"/>
          <w:left w:w="28" w:type="dxa"/>
          <w:right w:w="1" w:type="dxa"/>
        </w:tblCellMar>
        <w:tblLook w:val="04A0" w:firstRow="1" w:lastRow="0" w:firstColumn="1" w:lastColumn="0" w:noHBand="0" w:noVBand="1"/>
      </w:tblPr>
      <w:tblGrid>
        <w:gridCol w:w="1329"/>
        <w:gridCol w:w="714"/>
        <w:gridCol w:w="759"/>
        <w:gridCol w:w="759"/>
        <w:gridCol w:w="806"/>
        <w:gridCol w:w="804"/>
        <w:gridCol w:w="770"/>
        <w:gridCol w:w="704"/>
        <w:gridCol w:w="783"/>
        <w:gridCol w:w="692"/>
        <w:gridCol w:w="804"/>
        <w:gridCol w:w="670"/>
        <w:gridCol w:w="670"/>
      </w:tblGrid>
      <w:tr w:rsidR="004D4A28" w14:paraId="45498BA8" w14:textId="77777777" w:rsidTr="00361368">
        <w:trPr>
          <w:trHeight w:val="381"/>
        </w:trPr>
        <w:tc>
          <w:tcPr>
            <w:tcW w:w="1329" w:type="dxa"/>
            <w:tcBorders>
              <w:top w:val="single" w:sz="2" w:space="0" w:color="000000"/>
              <w:left w:val="single" w:sz="2" w:space="0" w:color="000000"/>
              <w:bottom w:val="single" w:sz="2" w:space="0" w:color="000000"/>
              <w:right w:val="single" w:sz="2" w:space="0" w:color="000000"/>
            </w:tcBorders>
            <w:shd w:val="clear" w:color="auto" w:fill="6D2A78"/>
          </w:tcPr>
          <w:p w14:paraId="66A2F12E" w14:textId="77777777" w:rsidR="004D4A28" w:rsidRPr="00A514C6" w:rsidRDefault="004D4A28" w:rsidP="00361368">
            <w:r w:rsidRPr="00A514C6">
              <w:t>AME 2021</w:t>
            </w:r>
          </w:p>
        </w:tc>
        <w:tc>
          <w:tcPr>
            <w:tcW w:w="714" w:type="dxa"/>
            <w:tcBorders>
              <w:top w:val="single" w:sz="2" w:space="0" w:color="000000"/>
              <w:left w:val="single" w:sz="2" w:space="0" w:color="000000"/>
              <w:bottom w:val="single" w:sz="2" w:space="0" w:color="000000"/>
              <w:right w:val="single" w:sz="2" w:space="0" w:color="000000"/>
            </w:tcBorders>
            <w:shd w:val="clear" w:color="auto" w:fill="6D2A78"/>
          </w:tcPr>
          <w:p w14:paraId="140B52E5" w14:textId="77777777" w:rsidR="004D4A28" w:rsidRPr="0015655F" w:rsidRDefault="004D4A28" w:rsidP="00361368">
            <w:pPr>
              <w:spacing w:line="259" w:lineRule="auto"/>
              <w:ind w:right="27"/>
              <w:jc w:val="center"/>
            </w:pPr>
            <w:r w:rsidRPr="0015655F">
              <w:rPr>
                <w:b/>
                <w:color w:val="FFFFFF"/>
                <w:sz w:val="18"/>
              </w:rPr>
              <w:t xml:space="preserve">1990 </w:t>
            </w:r>
          </w:p>
        </w:tc>
        <w:tc>
          <w:tcPr>
            <w:tcW w:w="759" w:type="dxa"/>
            <w:tcBorders>
              <w:top w:val="single" w:sz="2" w:space="0" w:color="000000"/>
              <w:left w:val="single" w:sz="2" w:space="0" w:color="000000"/>
              <w:bottom w:val="single" w:sz="2" w:space="0" w:color="000000"/>
              <w:right w:val="single" w:sz="2" w:space="0" w:color="000000"/>
            </w:tcBorders>
            <w:shd w:val="clear" w:color="auto" w:fill="6D2A78"/>
          </w:tcPr>
          <w:p w14:paraId="1177E539" w14:textId="77777777" w:rsidR="004D4A28" w:rsidRPr="0015655F" w:rsidRDefault="004D4A28" w:rsidP="00361368">
            <w:pPr>
              <w:spacing w:line="259" w:lineRule="auto"/>
              <w:ind w:right="24"/>
              <w:jc w:val="center"/>
              <w:rPr>
                <w:b/>
                <w:color w:val="FFFFFF"/>
                <w:sz w:val="18"/>
              </w:rPr>
            </w:pPr>
            <w:r>
              <w:rPr>
                <w:b/>
                <w:color w:val="FFFFFF"/>
                <w:sz w:val="18"/>
              </w:rPr>
              <w:t>1995</w:t>
            </w:r>
          </w:p>
        </w:tc>
        <w:tc>
          <w:tcPr>
            <w:tcW w:w="759" w:type="dxa"/>
            <w:tcBorders>
              <w:top w:val="single" w:sz="2" w:space="0" w:color="000000"/>
              <w:left w:val="single" w:sz="2" w:space="0" w:color="000000"/>
              <w:bottom w:val="single" w:sz="2" w:space="0" w:color="000000"/>
              <w:right w:val="single" w:sz="2" w:space="0" w:color="000000"/>
            </w:tcBorders>
            <w:shd w:val="clear" w:color="auto" w:fill="6D2A78"/>
          </w:tcPr>
          <w:p w14:paraId="3FA180DE" w14:textId="77777777" w:rsidR="004D4A28" w:rsidRPr="0015655F" w:rsidRDefault="004D4A28" w:rsidP="00361368">
            <w:pPr>
              <w:spacing w:line="259" w:lineRule="auto"/>
              <w:ind w:right="24"/>
              <w:jc w:val="center"/>
            </w:pPr>
            <w:r w:rsidRPr="0015655F">
              <w:rPr>
                <w:b/>
                <w:color w:val="FFFFFF"/>
                <w:sz w:val="18"/>
              </w:rPr>
              <w:t xml:space="preserve">2000 </w:t>
            </w:r>
          </w:p>
        </w:tc>
        <w:tc>
          <w:tcPr>
            <w:tcW w:w="806" w:type="dxa"/>
            <w:tcBorders>
              <w:top w:val="single" w:sz="2" w:space="0" w:color="000000"/>
              <w:left w:val="single" w:sz="2" w:space="0" w:color="000000"/>
              <w:bottom w:val="single" w:sz="2" w:space="0" w:color="000000"/>
              <w:right w:val="single" w:sz="2" w:space="0" w:color="000000"/>
            </w:tcBorders>
            <w:shd w:val="clear" w:color="auto" w:fill="6D2A78"/>
          </w:tcPr>
          <w:p w14:paraId="31D9913A" w14:textId="77777777" w:rsidR="004D4A28" w:rsidRPr="0015655F" w:rsidRDefault="004D4A28" w:rsidP="00361368">
            <w:pPr>
              <w:spacing w:line="259" w:lineRule="auto"/>
              <w:ind w:right="27"/>
              <w:jc w:val="center"/>
            </w:pPr>
            <w:r w:rsidRPr="0015655F">
              <w:rPr>
                <w:b/>
                <w:color w:val="FFFFFF"/>
                <w:sz w:val="18"/>
              </w:rPr>
              <w:t xml:space="preserve">2005 </w:t>
            </w:r>
          </w:p>
        </w:tc>
        <w:tc>
          <w:tcPr>
            <w:tcW w:w="804" w:type="dxa"/>
            <w:tcBorders>
              <w:top w:val="single" w:sz="2" w:space="0" w:color="000000"/>
              <w:left w:val="single" w:sz="2" w:space="0" w:color="000000"/>
              <w:bottom w:val="single" w:sz="2" w:space="0" w:color="000000"/>
              <w:right w:val="single" w:sz="2" w:space="0" w:color="000000"/>
            </w:tcBorders>
            <w:shd w:val="clear" w:color="auto" w:fill="6D2A78"/>
          </w:tcPr>
          <w:p w14:paraId="02A529FA" w14:textId="77777777" w:rsidR="004D4A28" w:rsidRPr="0015655F" w:rsidRDefault="004D4A28" w:rsidP="00361368">
            <w:pPr>
              <w:spacing w:line="259" w:lineRule="auto"/>
              <w:ind w:right="24"/>
              <w:jc w:val="center"/>
            </w:pPr>
            <w:r w:rsidRPr="0015655F">
              <w:rPr>
                <w:b/>
                <w:color w:val="FFFFFF"/>
                <w:sz w:val="18"/>
              </w:rPr>
              <w:t xml:space="preserve">2010 </w:t>
            </w:r>
          </w:p>
        </w:tc>
        <w:tc>
          <w:tcPr>
            <w:tcW w:w="770" w:type="dxa"/>
            <w:tcBorders>
              <w:top w:val="single" w:sz="2" w:space="0" w:color="000000"/>
              <w:left w:val="single" w:sz="2" w:space="0" w:color="000000"/>
              <w:bottom w:val="single" w:sz="2" w:space="0" w:color="000000"/>
              <w:right w:val="single" w:sz="2" w:space="0" w:color="000000"/>
            </w:tcBorders>
            <w:shd w:val="clear" w:color="auto" w:fill="6D2A78"/>
          </w:tcPr>
          <w:p w14:paraId="15480F60" w14:textId="77777777" w:rsidR="004D4A28" w:rsidRPr="0015655F" w:rsidRDefault="004D4A28" w:rsidP="00361368">
            <w:pPr>
              <w:spacing w:line="259" w:lineRule="auto"/>
              <w:ind w:right="27"/>
              <w:jc w:val="center"/>
            </w:pPr>
            <w:r w:rsidRPr="0015655F">
              <w:rPr>
                <w:b/>
                <w:color w:val="FFFFFF"/>
                <w:sz w:val="18"/>
              </w:rPr>
              <w:t xml:space="preserve">2015 </w:t>
            </w:r>
          </w:p>
        </w:tc>
        <w:tc>
          <w:tcPr>
            <w:tcW w:w="704" w:type="dxa"/>
            <w:tcBorders>
              <w:top w:val="single" w:sz="2" w:space="0" w:color="000000"/>
              <w:left w:val="single" w:sz="2" w:space="0" w:color="000000"/>
              <w:bottom w:val="single" w:sz="2" w:space="0" w:color="000000"/>
              <w:right w:val="single" w:sz="2" w:space="0" w:color="000000"/>
            </w:tcBorders>
            <w:shd w:val="clear" w:color="auto" w:fill="6D2A78"/>
          </w:tcPr>
          <w:p w14:paraId="08828828" w14:textId="77777777" w:rsidR="004D4A28" w:rsidRPr="0015655F" w:rsidRDefault="004D4A28" w:rsidP="00361368">
            <w:pPr>
              <w:spacing w:line="259" w:lineRule="auto"/>
              <w:ind w:right="24"/>
              <w:jc w:val="center"/>
              <w:rPr>
                <w:b/>
                <w:color w:val="FFFFFF"/>
                <w:sz w:val="18"/>
              </w:rPr>
            </w:pPr>
            <w:r w:rsidRPr="0015655F">
              <w:rPr>
                <w:b/>
                <w:color w:val="FFFFFF"/>
                <w:sz w:val="18"/>
              </w:rPr>
              <w:t>2019</w:t>
            </w:r>
          </w:p>
        </w:tc>
        <w:tc>
          <w:tcPr>
            <w:tcW w:w="783" w:type="dxa"/>
            <w:tcBorders>
              <w:top w:val="single" w:sz="2" w:space="0" w:color="000000"/>
              <w:left w:val="single" w:sz="2" w:space="0" w:color="000000"/>
              <w:bottom w:val="single" w:sz="2" w:space="0" w:color="000000"/>
              <w:right w:val="single" w:sz="2" w:space="0" w:color="000000"/>
            </w:tcBorders>
            <w:shd w:val="clear" w:color="auto" w:fill="6D2A78"/>
          </w:tcPr>
          <w:p w14:paraId="12AE2C71" w14:textId="77777777" w:rsidR="004D4A28" w:rsidRPr="0015655F" w:rsidRDefault="004D4A28" w:rsidP="00361368">
            <w:pPr>
              <w:spacing w:line="259" w:lineRule="auto"/>
              <w:ind w:right="24"/>
              <w:jc w:val="center"/>
            </w:pPr>
            <w:r w:rsidRPr="0015655F">
              <w:rPr>
                <w:b/>
                <w:color w:val="FFFFFF"/>
                <w:sz w:val="18"/>
              </w:rPr>
              <w:t xml:space="preserve">2020 </w:t>
            </w:r>
          </w:p>
        </w:tc>
        <w:tc>
          <w:tcPr>
            <w:tcW w:w="692" w:type="dxa"/>
            <w:tcBorders>
              <w:top w:val="single" w:sz="2" w:space="0" w:color="000000"/>
              <w:left w:val="single" w:sz="2" w:space="0" w:color="000000"/>
              <w:bottom w:val="single" w:sz="2" w:space="0" w:color="000000"/>
              <w:right w:val="single" w:sz="2" w:space="0" w:color="000000"/>
            </w:tcBorders>
            <w:shd w:val="clear" w:color="auto" w:fill="6D2A78"/>
          </w:tcPr>
          <w:p w14:paraId="3EEBB096" w14:textId="77777777" w:rsidR="004D4A28" w:rsidRPr="0015655F" w:rsidRDefault="004D4A28" w:rsidP="00361368">
            <w:pPr>
              <w:spacing w:line="259" w:lineRule="auto"/>
              <w:ind w:right="27"/>
              <w:jc w:val="center"/>
            </w:pPr>
            <w:r w:rsidRPr="0015655F">
              <w:rPr>
                <w:b/>
                <w:color w:val="FFFFFF"/>
                <w:sz w:val="18"/>
              </w:rPr>
              <w:t xml:space="preserve">2025 </w:t>
            </w:r>
          </w:p>
        </w:tc>
        <w:tc>
          <w:tcPr>
            <w:tcW w:w="804" w:type="dxa"/>
            <w:tcBorders>
              <w:top w:val="single" w:sz="2" w:space="0" w:color="000000"/>
              <w:left w:val="single" w:sz="2" w:space="0" w:color="000000"/>
              <w:bottom w:val="single" w:sz="2" w:space="0" w:color="000000"/>
              <w:right w:val="single" w:sz="2" w:space="0" w:color="000000"/>
            </w:tcBorders>
            <w:shd w:val="clear" w:color="auto" w:fill="6D2A78"/>
          </w:tcPr>
          <w:p w14:paraId="72E2338B" w14:textId="77777777" w:rsidR="004D4A28" w:rsidRPr="0015655F" w:rsidRDefault="004D4A28" w:rsidP="00361368">
            <w:pPr>
              <w:spacing w:line="259" w:lineRule="auto"/>
              <w:ind w:right="24"/>
              <w:jc w:val="center"/>
            </w:pPr>
            <w:r w:rsidRPr="0015655F">
              <w:rPr>
                <w:b/>
                <w:color w:val="FFFFFF"/>
                <w:sz w:val="18"/>
              </w:rPr>
              <w:t xml:space="preserve">2030 </w:t>
            </w:r>
          </w:p>
        </w:tc>
        <w:tc>
          <w:tcPr>
            <w:tcW w:w="670" w:type="dxa"/>
            <w:tcBorders>
              <w:top w:val="single" w:sz="2" w:space="0" w:color="000000"/>
              <w:left w:val="single" w:sz="2" w:space="0" w:color="000000"/>
              <w:bottom w:val="single" w:sz="2" w:space="0" w:color="000000"/>
              <w:right w:val="single" w:sz="2" w:space="0" w:color="000000"/>
            </w:tcBorders>
            <w:shd w:val="clear" w:color="auto" w:fill="6D2A78"/>
          </w:tcPr>
          <w:p w14:paraId="6AE05F84" w14:textId="77777777" w:rsidR="004D4A28" w:rsidRPr="0015655F" w:rsidRDefault="004D4A28" w:rsidP="00361368">
            <w:pPr>
              <w:spacing w:line="259" w:lineRule="auto"/>
              <w:ind w:right="26"/>
              <w:jc w:val="center"/>
            </w:pPr>
            <w:r w:rsidRPr="0015655F">
              <w:rPr>
                <w:b/>
                <w:color w:val="FFFFFF"/>
                <w:sz w:val="18"/>
              </w:rPr>
              <w:t xml:space="preserve">2035 </w:t>
            </w:r>
          </w:p>
        </w:tc>
        <w:tc>
          <w:tcPr>
            <w:tcW w:w="670" w:type="dxa"/>
            <w:tcBorders>
              <w:top w:val="single" w:sz="2" w:space="0" w:color="000000"/>
              <w:left w:val="single" w:sz="2" w:space="0" w:color="000000"/>
              <w:bottom w:val="single" w:sz="2" w:space="0" w:color="000000"/>
              <w:right w:val="single" w:sz="2" w:space="0" w:color="000000"/>
            </w:tcBorders>
            <w:shd w:val="clear" w:color="auto" w:fill="6D2A78"/>
          </w:tcPr>
          <w:p w14:paraId="3CBD4D41" w14:textId="77777777" w:rsidR="004D4A28" w:rsidRPr="0015655F" w:rsidRDefault="004D4A28" w:rsidP="00361368">
            <w:pPr>
              <w:spacing w:line="259" w:lineRule="auto"/>
              <w:ind w:right="26"/>
              <w:jc w:val="center"/>
              <w:rPr>
                <w:b/>
                <w:color w:val="FFFFFF"/>
                <w:sz w:val="18"/>
              </w:rPr>
            </w:pPr>
            <w:r>
              <w:rPr>
                <w:b/>
                <w:color w:val="FFFFFF"/>
                <w:sz w:val="18"/>
              </w:rPr>
              <w:t>2050</w:t>
            </w:r>
          </w:p>
        </w:tc>
      </w:tr>
      <w:tr w:rsidR="004D4A28" w14:paraId="3D29086D" w14:textId="77777777" w:rsidTr="00361368">
        <w:trPr>
          <w:trHeight w:val="331"/>
        </w:trPr>
        <w:tc>
          <w:tcPr>
            <w:tcW w:w="1329" w:type="dxa"/>
            <w:tcBorders>
              <w:top w:val="single" w:sz="2" w:space="0" w:color="000000"/>
              <w:left w:val="single" w:sz="2" w:space="0" w:color="000000"/>
              <w:bottom w:val="single" w:sz="2" w:space="0" w:color="000000"/>
              <w:right w:val="single" w:sz="2" w:space="0" w:color="000000"/>
            </w:tcBorders>
          </w:tcPr>
          <w:p w14:paraId="317F8C17" w14:textId="77777777" w:rsidR="004D4A28" w:rsidRPr="0015655F" w:rsidRDefault="004D4A28" w:rsidP="00361368">
            <w:pPr>
              <w:spacing w:line="259" w:lineRule="auto"/>
            </w:pPr>
            <w:r w:rsidRPr="0015655F">
              <w:rPr>
                <w:b/>
                <w:sz w:val="18"/>
              </w:rPr>
              <w:t xml:space="preserve"> </w:t>
            </w:r>
          </w:p>
        </w:tc>
        <w:tc>
          <w:tcPr>
            <w:tcW w:w="714" w:type="dxa"/>
            <w:tcBorders>
              <w:top w:val="single" w:sz="2" w:space="0" w:color="000000"/>
              <w:left w:val="single" w:sz="2" w:space="0" w:color="000000"/>
              <w:bottom w:val="single" w:sz="2" w:space="0" w:color="000000"/>
              <w:right w:val="single" w:sz="2" w:space="0" w:color="000000"/>
            </w:tcBorders>
          </w:tcPr>
          <w:p w14:paraId="052E22F4" w14:textId="77777777" w:rsidR="004D4A28" w:rsidRPr="000A390A" w:rsidRDefault="004D4A28" w:rsidP="00361368">
            <w:pPr>
              <w:spacing w:line="259" w:lineRule="auto"/>
              <w:rPr>
                <w:sz w:val="16"/>
              </w:rPr>
            </w:pPr>
            <w:r w:rsidRPr="000A390A">
              <w:rPr>
                <w:b/>
                <w:color w:val="6D2A78"/>
                <w:sz w:val="16"/>
              </w:rPr>
              <w:t xml:space="preserve">Observé </w:t>
            </w:r>
          </w:p>
        </w:tc>
        <w:tc>
          <w:tcPr>
            <w:tcW w:w="759" w:type="dxa"/>
            <w:tcBorders>
              <w:top w:val="single" w:sz="2" w:space="0" w:color="000000"/>
              <w:left w:val="single" w:sz="2" w:space="0" w:color="000000"/>
              <w:bottom w:val="single" w:sz="2" w:space="0" w:color="000000"/>
              <w:right w:val="single" w:sz="2" w:space="0" w:color="000000"/>
            </w:tcBorders>
          </w:tcPr>
          <w:p w14:paraId="55FFA0E3" w14:textId="77777777" w:rsidR="004D4A28" w:rsidRPr="000A390A" w:rsidRDefault="004D4A28" w:rsidP="00361368">
            <w:pPr>
              <w:spacing w:line="259" w:lineRule="auto"/>
              <w:rPr>
                <w:b/>
                <w:color w:val="6D2A78"/>
                <w:sz w:val="16"/>
              </w:rPr>
            </w:pPr>
            <w:r>
              <w:rPr>
                <w:b/>
                <w:color w:val="6D2A78"/>
                <w:sz w:val="16"/>
              </w:rPr>
              <w:t>Observé</w:t>
            </w:r>
          </w:p>
        </w:tc>
        <w:tc>
          <w:tcPr>
            <w:tcW w:w="759" w:type="dxa"/>
            <w:tcBorders>
              <w:top w:val="single" w:sz="2" w:space="0" w:color="000000"/>
              <w:left w:val="single" w:sz="2" w:space="0" w:color="000000"/>
              <w:bottom w:val="single" w:sz="2" w:space="0" w:color="000000"/>
              <w:right w:val="single" w:sz="2" w:space="0" w:color="000000"/>
            </w:tcBorders>
          </w:tcPr>
          <w:p w14:paraId="4ACC11C9" w14:textId="77777777" w:rsidR="004D4A28" w:rsidRPr="000A390A" w:rsidRDefault="004D4A28" w:rsidP="00361368">
            <w:pPr>
              <w:spacing w:line="259" w:lineRule="auto"/>
              <w:rPr>
                <w:sz w:val="16"/>
              </w:rPr>
            </w:pPr>
            <w:r w:rsidRPr="000A390A">
              <w:rPr>
                <w:b/>
                <w:color w:val="6D2A78"/>
                <w:sz w:val="16"/>
              </w:rPr>
              <w:t xml:space="preserve">Observé </w:t>
            </w:r>
          </w:p>
        </w:tc>
        <w:tc>
          <w:tcPr>
            <w:tcW w:w="806" w:type="dxa"/>
            <w:tcBorders>
              <w:top w:val="single" w:sz="2" w:space="0" w:color="000000"/>
              <w:left w:val="single" w:sz="2" w:space="0" w:color="000000"/>
              <w:bottom w:val="single" w:sz="2" w:space="0" w:color="000000"/>
              <w:right w:val="single" w:sz="2" w:space="0" w:color="000000"/>
            </w:tcBorders>
          </w:tcPr>
          <w:p w14:paraId="11D32663" w14:textId="77777777" w:rsidR="004D4A28" w:rsidRPr="000A390A" w:rsidRDefault="004D4A28" w:rsidP="00361368">
            <w:pPr>
              <w:spacing w:line="259" w:lineRule="auto"/>
              <w:rPr>
                <w:sz w:val="16"/>
              </w:rPr>
            </w:pPr>
            <w:r w:rsidRPr="000A390A">
              <w:rPr>
                <w:b/>
                <w:color w:val="6D2A78"/>
                <w:sz w:val="16"/>
              </w:rPr>
              <w:t xml:space="preserve">Observé </w:t>
            </w:r>
          </w:p>
        </w:tc>
        <w:tc>
          <w:tcPr>
            <w:tcW w:w="804" w:type="dxa"/>
            <w:tcBorders>
              <w:top w:val="single" w:sz="2" w:space="0" w:color="000000"/>
              <w:left w:val="single" w:sz="2" w:space="0" w:color="000000"/>
              <w:bottom w:val="single" w:sz="2" w:space="0" w:color="000000"/>
              <w:right w:val="single" w:sz="2" w:space="0" w:color="000000"/>
            </w:tcBorders>
          </w:tcPr>
          <w:p w14:paraId="6C7459B0" w14:textId="77777777" w:rsidR="004D4A28" w:rsidRPr="000A390A" w:rsidRDefault="004D4A28" w:rsidP="00361368">
            <w:pPr>
              <w:spacing w:line="259" w:lineRule="auto"/>
              <w:rPr>
                <w:sz w:val="16"/>
              </w:rPr>
            </w:pPr>
            <w:r w:rsidRPr="000A390A">
              <w:rPr>
                <w:b/>
                <w:color w:val="6D2A78"/>
                <w:sz w:val="16"/>
              </w:rPr>
              <w:t xml:space="preserve">Observé </w:t>
            </w:r>
          </w:p>
        </w:tc>
        <w:tc>
          <w:tcPr>
            <w:tcW w:w="770" w:type="dxa"/>
            <w:tcBorders>
              <w:top w:val="single" w:sz="2" w:space="0" w:color="000000"/>
              <w:left w:val="single" w:sz="2" w:space="0" w:color="000000"/>
              <w:bottom w:val="single" w:sz="2" w:space="0" w:color="000000"/>
              <w:right w:val="single" w:sz="2" w:space="0" w:color="000000"/>
            </w:tcBorders>
          </w:tcPr>
          <w:p w14:paraId="46A197D8" w14:textId="77777777" w:rsidR="004D4A28" w:rsidRPr="000A390A" w:rsidRDefault="004D4A28" w:rsidP="00361368">
            <w:pPr>
              <w:spacing w:line="259" w:lineRule="auto"/>
              <w:rPr>
                <w:sz w:val="16"/>
              </w:rPr>
            </w:pPr>
            <w:r w:rsidRPr="000A390A">
              <w:rPr>
                <w:b/>
                <w:color w:val="6D2A78"/>
                <w:sz w:val="16"/>
              </w:rPr>
              <w:t xml:space="preserve">Observé </w:t>
            </w:r>
          </w:p>
        </w:tc>
        <w:tc>
          <w:tcPr>
            <w:tcW w:w="704" w:type="dxa"/>
            <w:tcBorders>
              <w:top w:val="single" w:sz="2" w:space="0" w:color="000000"/>
              <w:left w:val="single" w:sz="2" w:space="0" w:color="000000"/>
              <w:bottom w:val="single" w:sz="2" w:space="0" w:color="000000"/>
              <w:right w:val="single" w:sz="2" w:space="0" w:color="000000"/>
            </w:tcBorders>
          </w:tcPr>
          <w:p w14:paraId="404B0A51" w14:textId="77777777" w:rsidR="004D4A28" w:rsidRPr="000A390A" w:rsidRDefault="004D4A28" w:rsidP="00361368">
            <w:pPr>
              <w:spacing w:line="259" w:lineRule="auto"/>
              <w:rPr>
                <w:b/>
                <w:color w:val="6D2A78"/>
                <w:sz w:val="16"/>
              </w:rPr>
            </w:pPr>
            <w:r w:rsidRPr="000A390A">
              <w:rPr>
                <w:b/>
                <w:color w:val="6D2A78"/>
                <w:sz w:val="16"/>
              </w:rPr>
              <w:t>Observé</w:t>
            </w:r>
          </w:p>
        </w:tc>
        <w:tc>
          <w:tcPr>
            <w:tcW w:w="783" w:type="dxa"/>
            <w:tcBorders>
              <w:top w:val="single" w:sz="2" w:space="0" w:color="000000"/>
              <w:left w:val="single" w:sz="2" w:space="0" w:color="000000"/>
              <w:bottom w:val="single" w:sz="2" w:space="0" w:color="000000"/>
              <w:right w:val="single" w:sz="2" w:space="0" w:color="000000"/>
            </w:tcBorders>
          </w:tcPr>
          <w:p w14:paraId="19D79EE5" w14:textId="77777777" w:rsidR="004D4A28" w:rsidRPr="000A390A" w:rsidRDefault="004D4A28" w:rsidP="00361368">
            <w:pPr>
              <w:spacing w:line="259" w:lineRule="auto"/>
              <w:rPr>
                <w:sz w:val="16"/>
              </w:rPr>
            </w:pPr>
            <w:r w:rsidRPr="000A390A">
              <w:rPr>
                <w:b/>
                <w:color w:val="6D2A78"/>
                <w:sz w:val="16"/>
              </w:rPr>
              <w:t xml:space="preserve">Projeté </w:t>
            </w:r>
          </w:p>
        </w:tc>
        <w:tc>
          <w:tcPr>
            <w:tcW w:w="692" w:type="dxa"/>
            <w:tcBorders>
              <w:top w:val="single" w:sz="2" w:space="0" w:color="000000"/>
              <w:left w:val="single" w:sz="2" w:space="0" w:color="000000"/>
              <w:bottom w:val="single" w:sz="2" w:space="0" w:color="000000"/>
              <w:right w:val="single" w:sz="2" w:space="0" w:color="000000"/>
            </w:tcBorders>
          </w:tcPr>
          <w:p w14:paraId="7FF76605" w14:textId="77777777" w:rsidR="004D4A28" w:rsidRPr="000A390A" w:rsidRDefault="004D4A28" w:rsidP="00361368">
            <w:pPr>
              <w:spacing w:line="259" w:lineRule="auto"/>
              <w:rPr>
                <w:sz w:val="16"/>
              </w:rPr>
            </w:pPr>
            <w:r w:rsidRPr="000A390A">
              <w:rPr>
                <w:b/>
                <w:color w:val="6D2A78"/>
                <w:sz w:val="16"/>
              </w:rPr>
              <w:t xml:space="preserve">Projeté </w:t>
            </w:r>
          </w:p>
        </w:tc>
        <w:tc>
          <w:tcPr>
            <w:tcW w:w="804" w:type="dxa"/>
            <w:tcBorders>
              <w:top w:val="single" w:sz="2" w:space="0" w:color="000000"/>
              <w:left w:val="single" w:sz="2" w:space="0" w:color="000000"/>
              <w:bottom w:val="single" w:sz="2" w:space="0" w:color="000000"/>
              <w:right w:val="single" w:sz="2" w:space="0" w:color="000000"/>
            </w:tcBorders>
          </w:tcPr>
          <w:p w14:paraId="5111BBCF" w14:textId="77777777" w:rsidR="004D4A28" w:rsidRPr="000A390A" w:rsidRDefault="004D4A28" w:rsidP="00361368">
            <w:pPr>
              <w:spacing w:line="259" w:lineRule="auto"/>
              <w:rPr>
                <w:sz w:val="16"/>
              </w:rPr>
            </w:pPr>
            <w:r w:rsidRPr="000A390A">
              <w:rPr>
                <w:b/>
                <w:color w:val="6D2A78"/>
                <w:sz w:val="16"/>
              </w:rPr>
              <w:t xml:space="preserve">Projeté </w:t>
            </w:r>
          </w:p>
        </w:tc>
        <w:tc>
          <w:tcPr>
            <w:tcW w:w="670" w:type="dxa"/>
            <w:tcBorders>
              <w:top w:val="single" w:sz="2" w:space="0" w:color="000000"/>
              <w:left w:val="single" w:sz="2" w:space="0" w:color="000000"/>
              <w:bottom w:val="single" w:sz="2" w:space="0" w:color="000000"/>
              <w:right w:val="single" w:sz="2" w:space="0" w:color="000000"/>
            </w:tcBorders>
          </w:tcPr>
          <w:p w14:paraId="305EE6EA" w14:textId="77777777" w:rsidR="004D4A28" w:rsidRPr="000A390A" w:rsidRDefault="004D4A28" w:rsidP="00361368">
            <w:pPr>
              <w:spacing w:line="259" w:lineRule="auto"/>
              <w:rPr>
                <w:sz w:val="16"/>
              </w:rPr>
            </w:pPr>
            <w:r w:rsidRPr="000A390A">
              <w:rPr>
                <w:b/>
                <w:color w:val="6D2A78"/>
                <w:sz w:val="16"/>
              </w:rPr>
              <w:t xml:space="preserve">Projeté </w:t>
            </w:r>
          </w:p>
        </w:tc>
        <w:tc>
          <w:tcPr>
            <w:tcW w:w="670" w:type="dxa"/>
            <w:tcBorders>
              <w:top w:val="single" w:sz="2" w:space="0" w:color="000000"/>
              <w:left w:val="single" w:sz="2" w:space="0" w:color="000000"/>
              <w:bottom w:val="single" w:sz="2" w:space="0" w:color="000000"/>
              <w:right w:val="single" w:sz="2" w:space="0" w:color="000000"/>
            </w:tcBorders>
          </w:tcPr>
          <w:p w14:paraId="43CD7C5E" w14:textId="77777777" w:rsidR="004D4A28" w:rsidRPr="000A390A" w:rsidRDefault="004D4A28" w:rsidP="00361368">
            <w:pPr>
              <w:spacing w:line="259" w:lineRule="auto"/>
              <w:rPr>
                <w:b/>
                <w:color w:val="6D2A78"/>
                <w:sz w:val="16"/>
              </w:rPr>
            </w:pPr>
            <w:r w:rsidRPr="000A390A">
              <w:rPr>
                <w:b/>
                <w:color w:val="6D2A78"/>
                <w:sz w:val="16"/>
              </w:rPr>
              <w:t>Projeté</w:t>
            </w:r>
          </w:p>
        </w:tc>
      </w:tr>
      <w:tr w:rsidR="004D4A28" w14:paraId="6765C9A1" w14:textId="77777777" w:rsidTr="00361368">
        <w:trPr>
          <w:trHeight w:val="328"/>
        </w:trPr>
        <w:tc>
          <w:tcPr>
            <w:tcW w:w="1329" w:type="dxa"/>
            <w:tcBorders>
              <w:top w:val="single" w:sz="2" w:space="0" w:color="000000"/>
              <w:left w:val="single" w:sz="2" w:space="0" w:color="000000"/>
              <w:bottom w:val="single" w:sz="2" w:space="0" w:color="000000"/>
              <w:right w:val="single" w:sz="2" w:space="0" w:color="000000"/>
            </w:tcBorders>
            <w:shd w:val="clear" w:color="auto" w:fill="ECE6E2"/>
          </w:tcPr>
          <w:p w14:paraId="6A35151D" w14:textId="77777777" w:rsidR="004D4A28" w:rsidRPr="0015655F" w:rsidRDefault="004D4A28" w:rsidP="00361368">
            <w:pPr>
              <w:spacing w:line="259" w:lineRule="auto"/>
            </w:pPr>
            <w:r w:rsidRPr="0015655F">
              <w:rPr>
                <w:sz w:val="18"/>
              </w:rPr>
              <w:t xml:space="preserve">Industrie de l’énergie </w:t>
            </w:r>
          </w:p>
        </w:tc>
        <w:tc>
          <w:tcPr>
            <w:tcW w:w="71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77D95F"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66338</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DAD134" w14:textId="77777777" w:rsidR="004D4A28" w:rsidRPr="00647421" w:rsidRDefault="004D4A28" w:rsidP="00361368">
            <w:pPr>
              <w:spacing w:line="259" w:lineRule="auto"/>
              <w:jc w:val="center"/>
              <w:rPr>
                <w:sz w:val="16"/>
                <w:szCs w:val="16"/>
              </w:rPr>
            </w:pPr>
            <w:r w:rsidRPr="00664108">
              <w:rPr>
                <w:rFonts w:asciiTheme="majorHAnsi" w:hAnsiTheme="majorHAnsi"/>
                <w:sz w:val="16"/>
                <w:szCs w:val="16"/>
              </w:rPr>
              <w:t>55802</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E987A81"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62526</w:t>
            </w:r>
          </w:p>
        </w:tc>
        <w:tc>
          <w:tcPr>
            <w:tcW w:w="80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A06CB3"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66972</w:t>
            </w:r>
          </w:p>
        </w:tc>
        <w:tc>
          <w:tcPr>
            <w:tcW w:w="8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76CD98"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60134</w:t>
            </w:r>
          </w:p>
        </w:tc>
        <w:tc>
          <w:tcPr>
            <w:tcW w:w="7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BA0D65"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44988</w:t>
            </w:r>
          </w:p>
        </w:tc>
        <w:tc>
          <w:tcPr>
            <w:tcW w:w="7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A0B8FB"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41680</w:t>
            </w:r>
          </w:p>
        </w:tc>
        <w:tc>
          <w:tcPr>
            <w:tcW w:w="7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E52E21" w14:textId="77777777" w:rsidR="004D4A28" w:rsidRPr="000A390A" w:rsidRDefault="004D4A28" w:rsidP="00361368">
            <w:pPr>
              <w:spacing w:line="259" w:lineRule="auto"/>
              <w:ind w:left="108"/>
              <w:jc w:val="center"/>
              <w:rPr>
                <w:sz w:val="16"/>
                <w:szCs w:val="16"/>
              </w:rPr>
            </w:pPr>
            <w:r w:rsidRPr="00364545">
              <w:rPr>
                <w:sz w:val="16"/>
              </w:rPr>
              <w:t>49721</w:t>
            </w:r>
          </w:p>
        </w:tc>
        <w:tc>
          <w:tcPr>
            <w:tcW w:w="6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2783A0" w14:textId="77777777" w:rsidR="004D4A28" w:rsidRPr="000A390A" w:rsidRDefault="004D4A28" w:rsidP="00361368">
            <w:pPr>
              <w:spacing w:line="259" w:lineRule="auto"/>
              <w:ind w:left="108"/>
              <w:jc w:val="center"/>
              <w:rPr>
                <w:sz w:val="16"/>
                <w:szCs w:val="16"/>
              </w:rPr>
            </w:pPr>
            <w:r w:rsidRPr="00364545">
              <w:rPr>
                <w:sz w:val="16"/>
              </w:rPr>
              <w:t>49450</w:t>
            </w:r>
          </w:p>
        </w:tc>
        <w:tc>
          <w:tcPr>
            <w:tcW w:w="8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F17096" w14:textId="77777777" w:rsidR="004D4A28" w:rsidRPr="000A390A" w:rsidRDefault="004D4A28" w:rsidP="00361368">
            <w:pPr>
              <w:spacing w:line="259" w:lineRule="auto"/>
              <w:ind w:left="108"/>
              <w:jc w:val="center"/>
              <w:rPr>
                <w:sz w:val="16"/>
                <w:szCs w:val="16"/>
              </w:rPr>
            </w:pPr>
            <w:r w:rsidRPr="00364545">
              <w:rPr>
                <w:sz w:val="16"/>
              </w:rPr>
              <w:t>48836</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78EDB4" w14:textId="77777777" w:rsidR="004D4A28" w:rsidRPr="000A390A" w:rsidRDefault="004D4A28" w:rsidP="00361368">
            <w:pPr>
              <w:spacing w:line="259" w:lineRule="auto"/>
              <w:ind w:left="108"/>
              <w:jc w:val="center"/>
              <w:rPr>
                <w:sz w:val="16"/>
                <w:szCs w:val="16"/>
              </w:rPr>
            </w:pPr>
            <w:r w:rsidRPr="00364545">
              <w:rPr>
                <w:sz w:val="16"/>
              </w:rPr>
              <w:t>48946</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B43E99C" w14:textId="77777777" w:rsidR="004D4A28" w:rsidRPr="000A390A" w:rsidRDefault="004D4A28" w:rsidP="00361368">
            <w:pPr>
              <w:spacing w:line="259" w:lineRule="auto"/>
              <w:ind w:left="108"/>
              <w:jc w:val="center"/>
              <w:rPr>
                <w:sz w:val="16"/>
                <w:szCs w:val="16"/>
              </w:rPr>
            </w:pPr>
            <w:r w:rsidRPr="00364545">
              <w:rPr>
                <w:sz w:val="16"/>
              </w:rPr>
              <w:t>30247</w:t>
            </w:r>
          </w:p>
        </w:tc>
      </w:tr>
      <w:tr w:rsidR="004D4A28" w14:paraId="274668C5" w14:textId="77777777" w:rsidTr="00361368">
        <w:trPr>
          <w:trHeight w:val="399"/>
        </w:trPr>
        <w:tc>
          <w:tcPr>
            <w:tcW w:w="1329" w:type="dxa"/>
            <w:tcBorders>
              <w:top w:val="single" w:sz="2" w:space="0" w:color="000000"/>
              <w:left w:val="single" w:sz="2" w:space="0" w:color="000000"/>
              <w:bottom w:val="single" w:sz="2" w:space="0" w:color="000000"/>
              <w:right w:val="single" w:sz="2" w:space="0" w:color="000000"/>
            </w:tcBorders>
          </w:tcPr>
          <w:p w14:paraId="46F51C06" w14:textId="77777777" w:rsidR="004D4A28" w:rsidRPr="0015655F" w:rsidRDefault="004D4A28" w:rsidP="00361368">
            <w:pPr>
              <w:spacing w:line="259" w:lineRule="auto"/>
            </w:pPr>
            <w:r w:rsidRPr="0015655F">
              <w:rPr>
                <w:sz w:val="18"/>
              </w:rPr>
              <w:t xml:space="preserve">Industrie manufacturière et construction </w:t>
            </w:r>
          </w:p>
        </w:tc>
        <w:tc>
          <w:tcPr>
            <w:tcW w:w="714" w:type="dxa"/>
            <w:tcBorders>
              <w:top w:val="single" w:sz="2" w:space="0" w:color="000000"/>
              <w:left w:val="single" w:sz="2" w:space="0" w:color="000000"/>
              <w:bottom w:val="single" w:sz="2" w:space="0" w:color="000000"/>
              <w:right w:val="single" w:sz="2" w:space="0" w:color="000000"/>
            </w:tcBorders>
            <w:vAlign w:val="center"/>
          </w:tcPr>
          <w:p w14:paraId="4440F9A8"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76164</w:t>
            </w:r>
          </w:p>
        </w:tc>
        <w:tc>
          <w:tcPr>
            <w:tcW w:w="759" w:type="dxa"/>
            <w:tcBorders>
              <w:top w:val="single" w:sz="2" w:space="0" w:color="000000"/>
              <w:left w:val="single" w:sz="2" w:space="0" w:color="000000"/>
              <w:bottom w:val="single" w:sz="2" w:space="0" w:color="000000"/>
              <w:right w:val="single" w:sz="2" w:space="0" w:color="000000"/>
            </w:tcBorders>
            <w:vAlign w:val="center"/>
          </w:tcPr>
          <w:p w14:paraId="0BB675F4" w14:textId="77777777" w:rsidR="004D4A28" w:rsidRPr="00647421" w:rsidRDefault="004D4A28" w:rsidP="00361368">
            <w:pPr>
              <w:spacing w:line="259" w:lineRule="auto"/>
              <w:jc w:val="center"/>
              <w:rPr>
                <w:sz w:val="16"/>
                <w:szCs w:val="16"/>
              </w:rPr>
            </w:pPr>
            <w:r w:rsidRPr="00664108">
              <w:rPr>
                <w:rFonts w:asciiTheme="majorHAnsi" w:hAnsiTheme="majorHAnsi" w:cs="Calibri"/>
                <w:color w:val="000000"/>
                <w:sz w:val="16"/>
                <w:szCs w:val="16"/>
              </w:rPr>
              <w:t>80423</w:t>
            </w:r>
          </w:p>
        </w:tc>
        <w:tc>
          <w:tcPr>
            <w:tcW w:w="759" w:type="dxa"/>
            <w:tcBorders>
              <w:top w:val="single" w:sz="2" w:space="0" w:color="000000"/>
              <w:left w:val="single" w:sz="2" w:space="0" w:color="000000"/>
              <w:bottom w:val="single" w:sz="2" w:space="0" w:color="000000"/>
              <w:right w:val="single" w:sz="2" w:space="0" w:color="000000"/>
            </w:tcBorders>
            <w:vAlign w:val="center"/>
          </w:tcPr>
          <w:p w14:paraId="71D7D5E6"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75532</w:t>
            </w:r>
          </w:p>
        </w:tc>
        <w:tc>
          <w:tcPr>
            <w:tcW w:w="806" w:type="dxa"/>
            <w:tcBorders>
              <w:top w:val="single" w:sz="2" w:space="0" w:color="000000"/>
              <w:left w:val="single" w:sz="2" w:space="0" w:color="000000"/>
              <w:bottom w:val="single" w:sz="2" w:space="0" w:color="000000"/>
              <w:right w:val="single" w:sz="2" w:space="0" w:color="000000"/>
            </w:tcBorders>
            <w:vAlign w:val="center"/>
          </w:tcPr>
          <w:p w14:paraId="0035C49B"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71990</w:t>
            </w:r>
          </w:p>
        </w:tc>
        <w:tc>
          <w:tcPr>
            <w:tcW w:w="804" w:type="dxa"/>
            <w:tcBorders>
              <w:top w:val="single" w:sz="2" w:space="0" w:color="000000"/>
              <w:left w:val="single" w:sz="2" w:space="0" w:color="000000"/>
              <w:bottom w:val="single" w:sz="2" w:space="0" w:color="000000"/>
              <w:right w:val="single" w:sz="2" w:space="0" w:color="000000"/>
            </w:tcBorders>
            <w:vAlign w:val="center"/>
          </w:tcPr>
          <w:p w14:paraId="29C41F17"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62105</w:t>
            </w:r>
          </w:p>
        </w:tc>
        <w:tc>
          <w:tcPr>
            <w:tcW w:w="770" w:type="dxa"/>
            <w:tcBorders>
              <w:top w:val="single" w:sz="2" w:space="0" w:color="000000"/>
              <w:left w:val="single" w:sz="2" w:space="0" w:color="000000"/>
              <w:bottom w:val="single" w:sz="2" w:space="0" w:color="000000"/>
              <w:right w:val="single" w:sz="2" w:space="0" w:color="000000"/>
            </w:tcBorders>
            <w:vAlign w:val="center"/>
          </w:tcPr>
          <w:p w14:paraId="63E97259"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51963</w:t>
            </w:r>
          </w:p>
        </w:tc>
        <w:tc>
          <w:tcPr>
            <w:tcW w:w="704" w:type="dxa"/>
            <w:tcBorders>
              <w:top w:val="single" w:sz="2" w:space="0" w:color="000000"/>
              <w:left w:val="single" w:sz="2" w:space="0" w:color="000000"/>
              <w:bottom w:val="single" w:sz="2" w:space="0" w:color="000000"/>
              <w:right w:val="single" w:sz="2" w:space="0" w:color="000000"/>
            </w:tcBorders>
            <w:vAlign w:val="center"/>
          </w:tcPr>
          <w:p w14:paraId="0DD4A304"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48031</w:t>
            </w:r>
          </w:p>
        </w:tc>
        <w:tc>
          <w:tcPr>
            <w:tcW w:w="783" w:type="dxa"/>
            <w:tcBorders>
              <w:top w:val="single" w:sz="2" w:space="0" w:color="000000"/>
              <w:left w:val="single" w:sz="2" w:space="0" w:color="000000"/>
              <w:bottom w:val="single" w:sz="2" w:space="0" w:color="000000"/>
              <w:right w:val="single" w:sz="2" w:space="0" w:color="000000"/>
            </w:tcBorders>
            <w:vAlign w:val="center"/>
          </w:tcPr>
          <w:p w14:paraId="317E8C66" w14:textId="77777777" w:rsidR="004D4A28" w:rsidRPr="000A390A" w:rsidRDefault="004D4A28" w:rsidP="00361368">
            <w:pPr>
              <w:spacing w:line="259" w:lineRule="auto"/>
              <w:ind w:left="108"/>
              <w:jc w:val="center"/>
              <w:rPr>
                <w:sz w:val="16"/>
                <w:szCs w:val="16"/>
              </w:rPr>
            </w:pPr>
            <w:r w:rsidRPr="00364545">
              <w:rPr>
                <w:sz w:val="16"/>
              </w:rPr>
              <w:t>47344</w:t>
            </w:r>
          </w:p>
        </w:tc>
        <w:tc>
          <w:tcPr>
            <w:tcW w:w="692" w:type="dxa"/>
            <w:tcBorders>
              <w:top w:val="single" w:sz="2" w:space="0" w:color="000000"/>
              <w:left w:val="single" w:sz="2" w:space="0" w:color="000000"/>
              <w:bottom w:val="single" w:sz="2" w:space="0" w:color="000000"/>
              <w:right w:val="single" w:sz="2" w:space="0" w:color="000000"/>
            </w:tcBorders>
            <w:vAlign w:val="center"/>
          </w:tcPr>
          <w:p w14:paraId="5EDCE484" w14:textId="77777777" w:rsidR="004D4A28" w:rsidRPr="000A390A" w:rsidRDefault="004D4A28" w:rsidP="00361368">
            <w:pPr>
              <w:spacing w:line="259" w:lineRule="auto"/>
              <w:ind w:left="108"/>
              <w:jc w:val="center"/>
              <w:rPr>
                <w:sz w:val="16"/>
                <w:szCs w:val="16"/>
              </w:rPr>
            </w:pPr>
            <w:r w:rsidRPr="00364545">
              <w:rPr>
                <w:sz w:val="16"/>
              </w:rPr>
              <w:t>49895</w:t>
            </w:r>
          </w:p>
        </w:tc>
        <w:tc>
          <w:tcPr>
            <w:tcW w:w="804" w:type="dxa"/>
            <w:tcBorders>
              <w:top w:val="single" w:sz="2" w:space="0" w:color="000000"/>
              <w:left w:val="single" w:sz="2" w:space="0" w:color="000000"/>
              <w:bottom w:val="single" w:sz="2" w:space="0" w:color="000000"/>
              <w:right w:val="single" w:sz="2" w:space="0" w:color="000000"/>
            </w:tcBorders>
            <w:vAlign w:val="center"/>
          </w:tcPr>
          <w:p w14:paraId="5B379662" w14:textId="77777777" w:rsidR="004D4A28" w:rsidRPr="000A390A" w:rsidRDefault="004D4A28" w:rsidP="00361368">
            <w:pPr>
              <w:spacing w:line="259" w:lineRule="auto"/>
              <w:ind w:left="108"/>
              <w:jc w:val="center"/>
              <w:rPr>
                <w:sz w:val="16"/>
                <w:szCs w:val="16"/>
              </w:rPr>
            </w:pPr>
            <w:r w:rsidRPr="00364545">
              <w:rPr>
                <w:sz w:val="16"/>
              </w:rPr>
              <w:t>48956</w:t>
            </w:r>
          </w:p>
        </w:tc>
        <w:tc>
          <w:tcPr>
            <w:tcW w:w="670" w:type="dxa"/>
            <w:tcBorders>
              <w:top w:val="single" w:sz="2" w:space="0" w:color="000000"/>
              <w:left w:val="single" w:sz="2" w:space="0" w:color="000000"/>
              <w:bottom w:val="single" w:sz="2" w:space="0" w:color="000000"/>
              <w:right w:val="single" w:sz="2" w:space="0" w:color="000000"/>
            </w:tcBorders>
            <w:vAlign w:val="center"/>
          </w:tcPr>
          <w:p w14:paraId="7E912628" w14:textId="77777777" w:rsidR="004D4A28" w:rsidRPr="000A390A" w:rsidRDefault="004D4A28" w:rsidP="00361368">
            <w:pPr>
              <w:spacing w:line="259" w:lineRule="auto"/>
              <w:ind w:left="108"/>
              <w:jc w:val="center"/>
              <w:rPr>
                <w:sz w:val="16"/>
                <w:szCs w:val="16"/>
              </w:rPr>
            </w:pPr>
            <w:r w:rsidRPr="00364545">
              <w:rPr>
                <w:sz w:val="16"/>
              </w:rPr>
              <w:t>49242</w:t>
            </w:r>
          </w:p>
        </w:tc>
        <w:tc>
          <w:tcPr>
            <w:tcW w:w="670" w:type="dxa"/>
            <w:tcBorders>
              <w:top w:val="single" w:sz="2" w:space="0" w:color="000000"/>
              <w:left w:val="single" w:sz="2" w:space="0" w:color="000000"/>
              <w:bottom w:val="single" w:sz="2" w:space="0" w:color="000000"/>
              <w:right w:val="single" w:sz="2" w:space="0" w:color="000000"/>
            </w:tcBorders>
            <w:vAlign w:val="center"/>
          </w:tcPr>
          <w:p w14:paraId="2171D6B4" w14:textId="77777777" w:rsidR="004D4A28" w:rsidRPr="000A390A" w:rsidRDefault="004D4A28" w:rsidP="00361368">
            <w:pPr>
              <w:spacing w:line="259" w:lineRule="auto"/>
              <w:ind w:left="108"/>
              <w:jc w:val="center"/>
              <w:rPr>
                <w:sz w:val="16"/>
                <w:szCs w:val="16"/>
              </w:rPr>
            </w:pPr>
            <w:r w:rsidRPr="00364545">
              <w:rPr>
                <w:sz w:val="16"/>
              </w:rPr>
              <w:t>50182</w:t>
            </w:r>
          </w:p>
        </w:tc>
      </w:tr>
      <w:tr w:rsidR="004D4A28" w14:paraId="65346D66" w14:textId="77777777" w:rsidTr="00361368">
        <w:trPr>
          <w:trHeight w:val="328"/>
        </w:trPr>
        <w:tc>
          <w:tcPr>
            <w:tcW w:w="1329" w:type="dxa"/>
            <w:tcBorders>
              <w:top w:val="single" w:sz="2" w:space="0" w:color="000000"/>
              <w:left w:val="single" w:sz="2" w:space="0" w:color="000000"/>
              <w:bottom w:val="single" w:sz="2" w:space="0" w:color="000000"/>
              <w:right w:val="single" w:sz="2" w:space="0" w:color="000000"/>
            </w:tcBorders>
            <w:shd w:val="clear" w:color="auto" w:fill="ECE6E2"/>
          </w:tcPr>
          <w:p w14:paraId="532E1BF1" w14:textId="77777777" w:rsidR="004D4A28" w:rsidRPr="0015655F" w:rsidRDefault="004D4A28" w:rsidP="00361368">
            <w:pPr>
              <w:spacing w:line="259" w:lineRule="auto"/>
            </w:pPr>
            <w:r w:rsidRPr="0015655F">
              <w:rPr>
                <w:sz w:val="18"/>
              </w:rPr>
              <w:t xml:space="preserve">Transport </w:t>
            </w:r>
          </w:p>
        </w:tc>
        <w:tc>
          <w:tcPr>
            <w:tcW w:w="71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F2C63E"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122293</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ABFC42" w14:textId="77777777" w:rsidR="004D4A28" w:rsidRPr="00647421" w:rsidRDefault="004D4A28" w:rsidP="00361368">
            <w:pPr>
              <w:spacing w:line="259" w:lineRule="auto"/>
              <w:jc w:val="center"/>
              <w:rPr>
                <w:sz w:val="16"/>
                <w:szCs w:val="16"/>
              </w:rPr>
            </w:pPr>
            <w:r w:rsidRPr="00664108">
              <w:rPr>
                <w:rFonts w:asciiTheme="majorHAnsi" w:hAnsiTheme="majorHAnsi"/>
                <w:sz w:val="16"/>
                <w:szCs w:val="16"/>
              </w:rPr>
              <w:t>132329</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F9519B"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141051</w:t>
            </w:r>
          </w:p>
        </w:tc>
        <w:tc>
          <w:tcPr>
            <w:tcW w:w="80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BC9B27"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142041</w:t>
            </w:r>
          </w:p>
        </w:tc>
        <w:tc>
          <w:tcPr>
            <w:tcW w:w="8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98D39A"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133750</w:t>
            </w:r>
          </w:p>
        </w:tc>
        <w:tc>
          <w:tcPr>
            <w:tcW w:w="7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FA89C6"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133744</w:t>
            </w:r>
          </w:p>
        </w:tc>
        <w:tc>
          <w:tcPr>
            <w:tcW w:w="7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8427B3" w14:textId="77777777" w:rsidR="004D4A28" w:rsidRPr="000A390A" w:rsidRDefault="004D4A28" w:rsidP="00361368">
            <w:pPr>
              <w:spacing w:line="259" w:lineRule="auto"/>
              <w:ind w:left="62"/>
              <w:jc w:val="center"/>
              <w:rPr>
                <w:sz w:val="16"/>
                <w:szCs w:val="16"/>
              </w:rPr>
            </w:pPr>
            <w:r w:rsidRPr="00664108">
              <w:rPr>
                <w:rFonts w:asciiTheme="majorHAnsi" w:hAnsiTheme="majorHAnsi"/>
                <w:sz w:val="16"/>
                <w:szCs w:val="16"/>
              </w:rPr>
              <w:t>131725</w:t>
            </w:r>
          </w:p>
        </w:tc>
        <w:tc>
          <w:tcPr>
            <w:tcW w:w="7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F3F5C3" w14:textId="77777777" w:rsidR="004D4A28" w:rsidRPr="000A390A" w:rsidRDefault="004D4A28" w:rsidP="00361368">
            <w:pPr>
              <w:spacing w:line="259" w:lineRule="auto"/>
              <w:ind w:left="62"/>
              <w:jc w:val="center"/>
              <w:rPr>
                <w:sz w:val="16"/>
                <w:szCs w:val="16"/>
              </w:rPr>
            </w:pPr>
            <w:r w:rsidRPr="00364545">
              <w:rPr>
                <w:sz w:val="16"/>
              </w:rPr>
              <w:t>104084</w:t>
            </w:r>
          </w:p>
        </w:tc>
        <w:tc>
          <w:tcPr>
            <w:tcW w:w="6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281DB9" w14:textId="77777777" w:rsidR="004D4A28" w:rsidRPr="000A390A" w:rsidRDefault="004D4A28" w:rsidP="00361368">
            <w:pPr>
              <w:spacing w:line="259" w:lineRule="auto"/>
              <w:ind w:left="62"/>
              <w:jc w:val="center"/>
              <w:rPr>
                <w:sz w:val="16"/>
                <w:szCs w:val="16"/>
              </w:rPr>
            </w:pPr>
            <w:r w:rsidRPr="00364545">
              <w:rPr>
                <w:sz w:val="16"/>
              </w:rPr>
              <w:t>114627</w:t>
            </w:r>
          </w:p>
        </w:tc>
        <w:tc>
          <w:tcPr>
            <w:tcW w:w="8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08FAA1" w14:textId="77777777" w:rsidR="004D4A28" w:rsidRPr="000A390A" w:rsidRDefault="004D4A28" w:rsidP="00361368">
            <w:pPr>
              <w:spacing w:line="259" w:lineRule="auto"/>
              <w:ind w:left="62"/>
              <w:jc w:val="center"/>
              <w:rPr>
                <w:sz w:val="16"/>
                <w:szCs w:val="16"/>
              </w:rPr>
            </w:pPr>
            <w:r w:rsidRPr="00364545">
              <w:rPr>
                <w:sz w:val="16"/>
              </w:rPr>
              <w:t>102181</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583C3B5" w14:textId="77777777" w:rsidR="004D4A28" w:rsidRPr="000A390A" w:rsidRDefault="004D4A28" w:rsidP="00361368">
            <w:pPr>
              <w:spacing w:line="259" w:lineRule="auto"/>
              <w:ind w:left="62"/>
              <w:jc w:val="center"/>
              <w:rPr>
                <w:sz w:val="16"/>
                <w:szCs w:val="16"/>
              </w:rPr>
            </w:pPr>
            <w:r w:rsidRPr="00364545">
              <w:rPr>
                <w:sz w:val="16"/>
              </w:rPr>
              <w:t>96593</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F7F310" w14:textId="77777777" w:rsidR="004D4A28" w:rsidRPr="000A390A" w:rsidRDefault="004D4A28" w:rsidP="00361368">
            <w:pPr>
              <w:spacing w:line="259" w:lineRule="auto"/>
              <w:ind w:left="62"/>
              <w:jc w:val="center"/>
              <w:rPr>
                <w:sz w:val="16"/>
                <w:szCs w:val="16"/>
              </w:rPr>
            </w:pPr>
            <w:r w:rsidRPr="00364545">
              <w:rPr>
                <w:sz w:val="16"/>
              </w:rPr>
              <w:t>83729</w:t>
            </w:r>
          </w:p>
        </w:tc>
      </w:tr>
      <w:tr w:rsidR="004D4A28" w14:paraId="483DA3B5" w14:textId="77777777" w:rsidTr="00361368">
        <w:trPr>
          <w:trHeight w:val="599"/>
        </w:trPr>
        <w:tc>
          <w:tcPr>
            <w:tcW w:w="1329" w:type="dxa"/>
            <w:tcBorders>
              <w:top w:val="single" w:sz="2" w:space="0" w:color="000000"/>
              <w:left w:val="single" w:sz="2" w:space="0" w:color="000000"/>
              <w:bottom w:val="single" w:sz="2" w:space="0" w:color="000000"/>
              <w:right w:val="single" w:sz="2" w:space="0" w:color="000000"/>
            </w:tcBorders>
          </w:tcPr>
          <w:p w14:paraId="2755D1ED" w14:textId="77777777" w:rsidR="004D4A28" w:rsidRPr="0015655F" w:rsidRDefault="004D4A28" w:rsidP="00361368">
            <w:pPr>
              <w:spacing w:line="259" w:lineRule="auto"/>
            </w:pPr>
            <w:r w:rsidRPr="0015655F">
              <w:rPr>
                <w:sz w:val="18"/>
              </w:rPr>
              <w:t xml:space="preserve">Autres secteurs </w:t>
            </w:r>
          </w:p>
          <w:p w14:paraId="22632BD8" w14:textId="77777777" w:rsidR="004D4A28" w:rsidRPr="0015655F" w:rsidRDefault="004D4A28" w:rsidP="00361368">
            <w:pPr>
              <w:spacing w:line="259" w:lineRule="auto"/>
            </w:pPr>
            <w:r w:rsidRPr="0015655F">
              <w:rPr>
                <w:sz w:val="18"/>
              </w:rPr>
              <w:t xml:space="preserve">(résidentiel, tertiaire, agriculture) </w:t>
            </w:r>
          </w:p>
        </w:tc>
        <w:tc>
          <w:tcPr>
            <w:tcW w:w="714" w:type="dxa"/>
            <w:tcBorders>
              <w:top w:val="single" w:sz="2" w:space="0" w:color="000000"/>
              <w:left w:val="single" w:sz="2" w:space="0" w:color="000000"/>
              <w:bottom w:val="single" w:sz="2" w:space="0" w:color="000000"/>
              <w:right w:val="single" w:sz="2" w:space="0" w:color="000000"/>
            </w:tcBorders>
            <w:vAlign w:val="center"/>
          </w:tcPr>
          <w:p w14:paraId="5195C087" w14:textId="77777777" w:rsidR="004D4A28" w:rsidRPr="000A390A" w:rsidRDefault="004D4A28" w:rsidP="00361368">
            <w:pPr>
              <w:spacing w:line="259" w:lineRule="auto"/>
              <w:ind w:left="58"/>
              <w:jc w:val="center"/>
              <w:rPr>
                <w:sz w:val="16"/>
                <w:szCs w:val="16"/>
              </w:rPr>
            </w:pPr>
            <w:r w:rsidRPr="00664108">
              <w:rPr>
                <w:rFonts w:asciiTheme="majorHAnsi" w:hAnsiTheme="majorHAnsi" w:cs="Calibri"/>
                <w:color w:val="000000"/>
                <w:sz w:val="16"/>
                <w:szCs w:val="16"/>
              </w:rPr>
              <w:t>102477</w:t>
            </w:r>
          </w:p>
        </w:tc>
        <w:tc>
          <w:tcPr>
            <w:tcW w:w="759" w:type="dxa"/>
            <w:tcBorders>
              <w:top w:val="single" w:sz="2" w:space="0" w:color="000000"/>
              <w:left w:val="single" w:sz="2" w:space="0" w:color="000000"/>
              <w:bottom w:val="single" w:sz="2" w:space="0" w:color="000000"/>
              <w:right w:val="single" w:sz="2" w:space="0" w:color="000000"/>
            </w:tcBorders>
            <w:vAlign w:val="center"/>
          </w:tcPr>
          <w:p w14:paraId="7907EAAF" w14:textId="77777777" w:rsidR="004D4A28" w:rsidRPr="00647421" w:rsidRDefault="004D4A28" w:rsidP="00361368">
            <w:pPr>
              <w:spacing w:line="259" w:lineRule="auto"/>
              <w:jc w:val="center"/>
              <w:rPr>
                <w:sz w:val="16"/>
                <w:szCs w:val="16"/>
              </w:rPr>
            </w:pPr>
            <w:r w:rsidRPr="00664108">
              <w:rPr>
                <w:rFonts w:asciiTheme="majorHAnsi" w:hAnsiTheme="majorHAnsi" w:cs="Calibri"/>
                <w:color w:val="000000"/>
                <w:sz w:val="16"/>
                <w:szCs w:val="16"/>
              </w:rPr>
              <w:t>97525</w:t>
            </w:r>
          </w:p>
        </w:tc>
        <w:tc>
          <w:tcPr>
            <w:tcW w:w="759" w:type="dxa"/>
            <w:tcBorders>
              <w:top w:val="single" w:sz="2" w:space="0" w:color="000000"/>
              <w:left w:val="single" w:sz="2" w:space="0" w:color="000000"/>
              <w:bottom w:val="single" w:sz="2" w:space="0" w:color="000000"/>
              <w:right w:val="single" w:sz="2" w:space="0" w:color="000000"/>
            </w:tcBorders>
            <w:vAlign w:val="center"/>
          </w:tcPr>
          <w:p w14:paraId="3FC32E24" w14:textId="77777777" w:rsidR="004D4A28" w:rsidRPr="000A390A" w:rsidRDefault="004D4A28" w:rsidP="00361368">
            <w:pPr>
              <w:spacing w:line="259" w:lineRule="auto"/>
              <w:ind w:left="58"/>
              <w:jc w:val="center"/>
              <w:rPr>
                <w:sz w:val="16"/>
                <w:szCs w:val="16"/>
              </w:rPr>
            </w:pPr>
            <w:r w:rsidRPr="00664108">
              <w:rPr>
                <w:rFonts w:asciiTheme="majorHAnsi" w:hAnsiTheme="majorHAnsi" w:cs="Calibri"/>
                <w:color w:val="000000"/>
                <w:sz w:val="16"/>
                <w:szCs w:val="16"/>
              </w:rPr>
              <w:t>102881</w:t>
            </w:r>
          </w:p>
        </w:tc>
        <w:tc>
          <w:tcPr>
            <w:tcW w:w="806" w:type="dxa"/>
            <w:tcBorders>
              <w:top w:val="single" w:sz="2" w:space="0" w:color="000000"/>
              <w:left w:val="single" w:sz="2" w:space="0" w:color="000000"/>
              <w:bottom w:val="single" w:sz="2" w:space="0" w:color="000000"/>
              <w:right w:val="single" w:sz="2" w:space="0" w:color="000000"/>
            </w:tcBorders>
            <w:vAlign w:val="center"/>
          </w:tcPr>
          <w:p w14:paraId="3DCDEA94" w14:textId="77777777" w:rsidR="004D4A28" w:rsidRPr="000A390A" w:rsidRDefault="004D4A28" w:rsidP="00361368">
            <w:pPr>
              <w:spacing w:line="259" w:lineRule="auto"/>
              <w:ind w:left="62"/>
              <w:jc w:val="center"/>
              <w:rPr>
                <w:sz w:val="16"/>
                <w:szCs w:val="16"/>
              </w:rPr>
            </w:pPr>
            <w:r w:rsidRPr="00664108">
              <w:rPr>
                <w:rFonts w:asciiTheme="majorHAnsi" w:hAnsiTheme="majorHAnsi" w:cs="Calibri"/>
                <w:color w:val="000000"/>
                <w:sz w:val="16"/>
                <w:szCs w:val="16"/>
              </w:rPr>
              <w:t>109388</w:t>
            </w:r>
          </w:p>
        </w:tc>
        <w:tc>
          <w:tcPr>
            <w:tcW w:w="804" w:type="dxa"/>
            <w:tcBorders>
              <w:top w:val="single" w:sz="2" w:space="0" w:color="000000"/>
              <w:left w:val="single" w:sz="2" w:space="0" w:color="000000"/>
              <w:bottom w:val="single" w:sz="2" w:space="0" w:color="000000"/>
              <w:right w:val="single" w:sz="2" w:space="0" w:color="000000"/>
            </w:tcBorders>
            <w:vAlign w:val="center"/>
          </w:tcPr>
          <w:p w14:paraId="1FACFEE4" w14:textId="77777777" w:rsidR="004D4A28" w:rsidRPr="000A390A" w:rsidRDefault="004D4A28" w:rsidP="00361368">
            <w:pPr>
              <w:spacing w:line="259" w:lineRule="auto"/>
              <w:ind w:left="58"/>
              <w:jc w:val="center"/>
              <w:rPr>
                <w:sz w:val="16"/>
                <w:szCs w:val="16"/>
              </w:rPr>
            </w:pPr>
            <w:r w:rsidRPr="00664108">
              <w:rPr>
                <w:rFonts w:asciiTheme="majorHAnsi" w:hAnsiTheme="majorHAnsi" w:cs="Calibri"/>
                <w:color w:val="000000"/>
                <w:sz w:val="16"/>
                <w:szCs w:val="16"/>
              </w:rPr>
              <w:t>101722</w:t>
            </w:r>
          </w:p>
        </w:tc>
        <w:tc>
          <w:tcPr>
            <w:tcW w:w="770" w:type="dxa"/>
            <w:tcBorders>
              <w:top w:val="single" w:sz="2" w:space="0" w:color="000000"/>
              <w:left w:val="single" w:sz="2" w:space="0" w:color="000000"/>
              <w:bottom w:val="single" w:sz="2" w:space="0" w:color="000000"/>
              <w:right w:val="single" w:sz="2" w:space="0" w:color="000000"/>
            </w:tcBorders>
            <w:vAlign w:val="center"/>
          </w:tcPr>
          <w:p w14:paraId="4ABB4379"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82940</w:t>
            </w:r>
          </w:p>
        </w:tc>
        <w:tc>
          <w:tcPr>
            <w:tcW w:w="704" w:type="dxa"/>
            <w:tcBorders>
              <w:top w:val="single" w:sz="2" w:space="0" w:color="000000"/>
              <w:left w:val="single" w:sz="2" w:space="0" w:color="000000"/>
              <w:bottom w:val="single" w:sz="2" w:space="0" w:color="000000"/>
              <w:right w:val="single" w:sz="2" w:space="0" w:color="000000"/>
            </w:tcBorders>
            <w:vAlign w:val="center"/>
          </w:tcPr>
          <w:p w14:paraId="0D186036"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75877</w:t>
            </w:r>
          </w:p>
        </w:tc>
        <w:tc>
          <w:tcPr>
            <w:tcW w:w="783" w:type="dxa"/>
            <w:tcBorders>
              <w:top w:val="single" w:sz="2" w:space="0" w:color="000000"/>
              <w:left w:val="single" w:sz="2" w:space="0" w:color="000000"/>
              <w:bottom w:val="single" w:sz="2" w:space="0" w:color="000000"/>
              <w:right w:val="single" w:sz="2" w:space="0" w:color="000000"/>
            </w:tcBorders>
            <w:vAlign w:val="center"/>
          </w:tcPr>
          <w:p w14:paraId="7B2FB6A1" w14:textId="77777777" w:rsidR="004D4A28" w:rsidRPr="000A390A" w:rsidRDefault="004D4A28" w:rsidP="00361368">
            <w:pPr>
              <w:spacing w:line="259" w:lineRule="auto"/>
              <w:ind w:left="108"/>
              <w:jc w:val="center"/>
              <w:rPr>
                <w:sz w:val="16"/>
                <w:szCs w:val="16"/>
              </w:rPr>
            </w:pPr>
            <w:r w:rsidRPr="00364545">
              <w:rPr>
                <w:sz w:val="16"/>
              </w:rPr>
              <w:t>73985</w:t>
            </w:r>
          </w:p>
        </w:tc>
        <w:tc>
          <w:tcPr>
            <w:tcW w:w="692" w:type="dxa"/>
            <w:tcBorders>
              <w:top w:val="single" w:sz="2" w:space="0" w:color="000000"/>
              <w:left w:val="single" w:sz="2" w:space="0" w:color="000000"/>
              <w:bottom w:val="single" w:sz="2" w:space="0" w:color="000000"/>
              <w:right w:val="single" w:sz="2" w:space="0" w:color="000000"/>
            </w:tcBorders>
            <w:vAlign w:val="center"/>
          </w:tcPr>
          <w:p w14:paraId="707E3579" w14:textId="77777777" w:rsidR="004D4A28" w:rsidRPr="000A390A" w:rsidRDefault="004D4A28" w:rsidP="00361368">
            <w:pPr>
              <w:spacing w:line="259" w:lineRule="auto"/>
              <w:ind w:left="108"/>
              <w:jc w:val="center"/>
              <w:rPr>
                <w:sz w:val="16"/>
                <w:szCs w:val="16"/>
              </w:rPr>
            </w:pPr>
            <w:r w:rsidRPr="00364545">
              <w:rPr>
                <w:sz w:val="16"/>
              </w:rPr>
              <w:t>67291</w:t>
            </w:r>
          </w:p>
        </w:tc>
        <w:tc>
          <w:tcPr>
            <w:tcW w:w="804" w:type="dxa"/>
            <w:tcBorders>
              <w:top w:val="single" w:sz="2" w:space="0" w:color="000000"/>
              <w:left w:val="single" w:sz="2" w:space="0" w:color="000000"/>
              <w:bottom w:val="single" w:sz="2" w:space="0" w:color="000000"/>
              <w:right w:val="single" w:sz="2" w:space="0" w:color="000000"/>
            </w:tcBorders>
            <w:vAlign w:val="center"/>
          </w:tcPr>
          <w:p w14:paraId="34D64DE1" w14:textId="77777777" w:rsidR="004D4A28" w:rsidRPr="000A390A" w:rsidRDefault="004D4A28" w:rsidP="00361368">
            <w:pPr>
              <w:spacing w:line="259" w:lineRule="auto"/>
              <w:ind w:left="113"/>
              <w:jc w:val="center"/>
              <w:rPr>
                <w:sz w:val="16"/>
                <w:szCs w:val="16"/>
              </w:rPr>
            </w:pPr>
            <w:r w:rsidRPr="00364545">
              <w:rPr>
                <w:sz w:val="16"/>
              </w:rPr>
              <w:t>60718</w:t>
            </w:r>
          </w:p>
        </w:tc>
        <w:tc>
          <w:tcPr>
            <w:tcW w:w="670" w:type="dxa"/>
            <w:tcBorders>
              <w:top w:val="single" w:sz="2" w:space="0" w:color="000000"/>
              <w:left w:val="single" w:sz="2" w:space="0" w:color="000000"/>
              <w:bottom w:val="single" w:sz="2" w:space="0" w:color="000000"/>
              <w:right w:val="single" w:sz="2" w:space="0" w:color="000000"/>
            </w:tcBorders>
            <w:vAlign w:val="center"/>
          </w:tcPr>
          <w:p w14:paraId="1C76925F" w14:textId="77777777" w:rsidR="004D4A28" w:rsidRPr="000A390A" w:rsidRDefault="004D4A28" w:rsidP="00361368">
            <w:pPr>
              <w:spacing w:line="259" w:lineRule="auto"/>
              <w:ind w:left="108"/>
              <w:jc w:val="center"/>
              <w:rPr>
                <w:sz w:val="16"/>
                <w:szCs w:val="16"/>
              </w:rPr>
            </w:pPr>
            <w:r w:rsidRPr="00364545">
              <w:rPr>
                <w:sz w:val="16"/>
              </w:rPr>
              <w:t>57402</w:t>
            </w:r>
          </w:p>
        </w:tc>
        <w:tc>
          <w:tcPr>
            <w:tcW w:w="670" w:type="dxa"/>
            <w:tcBorders>
              <w:top w:val="single" w:sz="2" w:space="0" w:color="000000"/>
              <w:left w:val="single" w:sz="2" w:space="0" w:color="000000"/>
              <w:bottom w:val="single" w:sz="2" w:space="0" w:color="000000"/>
              <w:right w:val="single" w:sz="2" w:space="0" w:color="000000"/>
            </w:tcBorders>
            <w:vAlign w:val="center"/>
          </w:tcPr>
          <w:p w14:paraId="0BDA13FE" w14:textId="77777777" w:rsidR="004D4A28" w:rsidRPr="000A390A" w:rsidRDefault="004D4A28" w:rsidP="00361368">
            <w:pPr>
              <w:spacing w:line="259" w:lineRule="auto"/>
              <w:ind w:left="108"/>
              <w:jc w:val="center"/>
              <w:rPr>
                <w:sz w:val="16"/>
                <w:szCs w:val="16"/>
              </w:rPr>
            </w:pPr>
            <w:r w:rsidRPr="00364545">
              <w:rPr>
                <w:sz w:val="16"/>
              </w:rPr>
              <w:t>47041</w:t>
            </w:r>
          </w:p>
        </w:tc>
      </w:tr>
      <w:tr w:rsidR="004D4A28" w14:paraId="0AEAB8E3" w14:textId="77777777" w:rsidTr="00361368">
        <w:trPr>
          <w:trHeight w:val="328"/>
        </w:trPr>
        <w:tc>
          <w:tcPr>
            <w:tcW w:w="1329" w:type="dxa"/>
            <w:tcBorders>
              <w:top w:val="single" w:sz="2" w:space="0" w:color="000000"/>
              <w:left w:val="single" w:sz="2" w:space="0" w:color="000000"/>
              <w:bottom w:val="single" w:sz="2" w:space="0" w:color="000000"/>
              <w:right w:val="single" w:sz="2" w:space="0" w:color="000000"/>
            </w:tcBorders>
            <w:shd w:val="clear" w:color="auto" w:fill="ECE6E2"/>
          </w:tcPr>
          <w:p w14:paraId="7FBE2593" w14:textId="77777777" w:rsidR="004D4A28" w:rsidRPr="0015655F" w:rsidRDefault="004D4A28" w:rsidP="00361368">
            <w:pPr>
              <w:spacing w:line="259" w:lineRule="auto"/>
            </w:pPr>
            <w:r w:rsidRPr="0015655F">
              <w:rPr>
                <w:b/>
                <w:sz w:val="18"/>
              </w:rPr>
              <w:t xml:space="preserve">Total énergie </w:t>
            </w:r>
          </w:p>
        </w:tc>
        <w:tc>
          <w:tcPr>
            <w:tcW w:w="71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B47BE7" w14:textId="77777777" w:rsidR="004D4A28" w:rsidRPr="000A390A" w:rsidRDefault="004D4A28" w:rsidP="00361368">
            <w:pPr>
              <w:spacing w:line="259" w:lineRule="auto"/>
              <w:jc w:val="center"/>
              <w:rPr>
                <w:sz w:val="16"/>
                <w:szCs w:val="16"/>
              </w:rPr>
            </w:pPr>
            <w:r w:rsidRPr="00664108">
              <w:rPr>
                <w:rFonts w:asciiTheme="majorHAnsi" w:hAnsiTheme="majorHAnsi"/>
                <w:b/>
                <w:sz w:val="16"/>
                <w:szCs w:val="16"/>
              </w:rPr>
              <w:t>367272</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3021E5D" w14:textId="77777777" w:rsidR="004D4A28" w:rsidRPr="00647421" w:rsidRDefault="004D4A28" w:rsidP="00361368">
            <w:pPr>
              <w:spacing w:line="259" w:lineRule="auto"/>
              <w:jc w:val="center"/>
              <w:rPr>
                <w:b/>
                <w:sz w:val="16"/>
                <w:szCs w:val="16"/>
              </w:rPr>
            </w:pPr>
            <w:r w:rsidRPr="00664108">
              <w:rPr>
                <w:rFonts w:asciiTheme="majorHAnsi" w:hAnsiTheme="majorHAnsi"/>
                <w:b/>
                <w:sz w:val="16"/>
                <w:szCs w:val="16"/>
              </w:rPr>
              <w:t>366079</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53C0A2" w14:textId="77777777" w:rsidR="004D4A28" w:rsidRPr="000A390A" w:rsidRDefault="004D4A28" w:rsidP="00361368">
            <w:pPr>
              <w:spacing w:line="259" w:lineRule="auto"/>
              <w:jc w:val="center"/>
              <w:rPr>
                <w:sz w:val="16"/>
                <w:szCs w:val="16"/>
              </w:rPr>
            </w:pPr>
            <w:r w:rsidRPr="00664108">
              <w:rPr>
                <w:rFonts w:asciiTheme="majorHAnsi" w:hAnsiTheme="majorHAnsi"/>
                <w:b/>
                <w:sz w:val="16"/>
                <w:szCs w:val="16"/>
              </w:rPr>
              <w:t>381989</w:t>
            </w:r>
          </w:p>
        </w:tc>
        <w:tc>
          <w:tcPr>
            <w:tcW w:w="80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11E197" w14:textId="77777777" w:rsidR="004D4A28" w:rsidRPr="000A390A" w:rsidRDefault="004D4A28" w:rsidP="00361368">
            <w:pPr>
              <w:spacing w:line="259" w:lineRule="auto"/>
              <w:jc w:val="center"/>
              <w:rPr>
                <w:sz w:val="16"/>
                <w:szCs w:val="16"/>
              </w:rPr>
            </w:pPr>
            <w:r w:rsidRPr="00664108">
              <w:rPr>
                <w:rFonts w:asciiTheme="majorHAnsi" w:hAnsiTheme="majorHAnsi"/>
                <w:b/>
                <w:sz w:val="16"/>
                <w:szCs w:val="16"/>
              </w:rPr>
              <w:t>390391</w:t>
            </w:r>
          </w:p>
        </w:tc>
        <w:tc>
          <w:tcPr>
            <w:tcW w:w="8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C08366B" w14:textId="77777777" w:rsidR="004D4A28" w:rsidRPr="000A390A" w:rsidRDefault="004D4A28" w:rsidP="00361368">
            <w:pPr>
              <w:spacing w:line="259" w:lineRule="auto"/>
              <w:jc w:val="center"/>
              <w:rPr>
                <w:sz w:val="16"/>
                <w:szCs w:val="16"/>
              </w:rPr>
            </w:pPr>
            <w:r w:rsidRPr="00664108">
              <w:rPr>
                <w:rFonts w:asciiTheme="majorHAnsi" w:hAnsiTheme="majorHAnsi"/>
                <w:b/>
                <w:sz w:val="16"/>
                <w:szCs w:val="16"/>
              </w:rPr>
              <w:t>357711</w:t>
            </w:r>
          </w:p>
        </w:tc>
        <w:tc>
          <w:tcPr>
            <w:tcW w:w="7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1C9B89" w14:textId="77777777" w:rsidR="004D4A28" w:rsidRPr="000A390A" w:rsidRDefault="004D4A28" w:rsidP="00361368">
            <w:pPr>
              <w:spacing w:line="259" w:lineRule="auto"/>
              <w:jc w:val="center"/>
              <w:rPr>
                <w:sz w:val="16"/>
                <w:szCs w:val="16"/>
              </w:rPr>
            </w:pPr>
            <w:r w:rsidRPr="00664108">
              <w:rPr>
                <w:rFonts w:asciiTheme="majorHAnsi" w:hAnsiTheme="majorHAnsi"/>
                <w:b/>
                <w:sz w:val="16"/>
                <w:szCs w:val="16"/>
              </w:rPr>
              <w:t>313634</w:t>
            </w:r>
          </w:p>
        </w:tc>
        <w:tc>
          <w:tcPr>
            <w:tcW w:w="7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87A97D" w14:textId="77777777" w:rsidR="004D4A28" w:rsidRPr="000A390A" w:rsidRDefault="004D4A28" w:rsidP="00361368">
            <w:pPr>
              <w:spacing w:line="259" w:lineRule="auto"/>
              <w:jc w:val="center"/>
              <w:rPr>
                <w:b/>
                <w:sz w:val="16"/>
                <w:szCs w:val="16"/>
              </w:rPr>
            </w:pPr>
            <w:r w:rsidRPr="00664108">
              <w:rPr>
                <w:rFonts w:asciiTheme="majorHAnsi" w:hAnsiTheme="majorHAnsi"/>
                <w:b/>
                <w:sz w:val="16"/>
                <w:szCs w:val="16"/>
              </w:rPr>
              <w:t>297313</w:t>
            </w:r>
          </w:p>
        </w:tc>
        <w:tc>
          <w:tcPr>
            <w:tcW w:w="7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7E0EA2" w14:textId="77777777" w:rsidR="004D4A28" w:rsidRPr="000A390A" w:rsidRDefault="004D4A28" w:rsidP="00361368">
            <w:pPr>
              <w:spacing w:line="259" w:lineRule="auto"/>
              <w:jc w:val="center"/>
              <w:rPr>
                <w:sz w:val="16"/>
                <w:szCs w:val="16"/>
              </w:rPr>
            </w:pPr>
            <w:r w:rsidRPr="00364545">
              <w:rPr>
                <w:b/>
                <w:sz w:val="16"/>
              </w:rPr>
              <w:t>264395</w:t>
            </w:r>
          </w:p>
        </w:tc>
        <w:tc>
          <w:tcPr>
            <w:tcW w:w="6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0417BF" w14:textId="77777777" w:rsidR="004D4A28" w:rsidRPr="000A390A" w:rsidRDefault="004D4A28" w:rsidP="00361368">
            <w:pPr>
              <w:spacing w:line="259" w:lineRule="auto"/>
              <w:jc w:val="center"/>
              <w:rPr>
                <w:sz w:val="16"/>
                <w:szCs w:val="16"/>
              </w:rPr>
            </w:pPr>
            <w:r w:rsidRPr="00364545">
              <w:rPr>
                <w:b/>
                <w:sz w:val="16"/>
              </w:rPr>
              <w:t>261598</w:t>
            </w:r>
          </w:p>
        </w:tc>
        <w:tc>
          <w:tcPr>
            <w:tcW w:w="80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0FCB62" w14:textId="77777777" w:rsidR="004D4A28" w:rsidRPr="000A390A" w:rsidRDefault="004D4A28" w:rsidP="00361368">
            <w:pPr>
              <w:spacing w:line="259" w:lineRule="auto"/>
              <w:jc w:val="center"/>
              <w:rPr>
                <w:sz w:val="16"/>
                <w:szCs w:val="16"/>
              </w:rPr>
            </w:pPr>
            <w:r w:rsidRPr="00364545">
              <w:rPr>
                <w:b/>
                <w:sz w:val="16"/>
              </w:rPr>
              <w:t>240639</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FA5600" w14:textId="77777777" w:rsidR="004D4A28" w:rsidRPr="000A390A" w:rsidRDefault="004D4A28" w:rsidP="00361368">
            <w:pPr>
              <w:spacing w:line="259" w:lineRule="auto"/>
              <w:jc w:val="center"/>
              <w:rPr>
                <w:sz w:val="16"/>
                <w:szCs w:val="16"/>
              </w:rPr>
            </w:pPr>
            <w:r w:rsidRPr="00364545">
              <w:rPr>
                <w:b/>
                <w:sz w:val="16"/>
              </w:rPr>
              <w:t>231245</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C23150" w14:textId="77777777" w:rsidR="004D4A28" w:rsidRPr="000A390A" w:rsidRDefault="004D4A28" w:rsidP="00361368">
            <w:pPr>
              <w:spacing w:line="259" w:lineRule="auto"/>
              <w:ind w:left="58"/>
              <w:jc w:val="center"/>
              <w:rPr>
                <w:b/>
                <w:sz w:val="16"/>
                <w:szCs w:val="16"/>
              </w:rPr>
            </w:pPr>
            <w:r w:rsidRPr="00364545">
              <w:rPr>
                <w:b/>
                <w:sz w:val="16"/>
              </w:rPr>
              <w:t>211199</w:t>
            </w:r>
          </w:p>
        </w:tc>
      </w:tr>
    </w:tbl>
    <w:p w14:paraId="69C38260" w14:textId="77777777" w:rsidR="004D4A28" w:rsidRDefault="004D4A28" w:rsidP="004D4A28">
      <w:pPr>
        <w:pStyle w:val="Default"/>
        <w:rPr>
          <w:sz w:val="16"/>
          <w:szCs w:val="16"/>
        </w:rPr>
      </w:pPr>
      <w:r>
        <w:rPr>
          <w:i/>
          <w:iCs/>
          <w:sz w:val="16"/>
          <w:szCs w:val="16"/>
        </w:rPr>
        <w:t xml:space="preserve">Lecture du tableau : Industrie de l’énergie = catégorie CRF1A1 ; industrie manufacturière et construction = catégorie CRF1A2 et 1B ; transports = catégorie CRF 1A3 ; autres secteurs = catégorie CRF 1A4 et 1A5. </w:t>
      </w:r>
    </w:p>
    <w:p w14:paraId="0C6D99A2" w14:textId="77777777" w:rsidR="004D4A28" w:rsidRDefault="004D4A28" w:rsidP="004D4A28">
      <w:pPr>
        <w:pStyle w:val="Caption"/>
      </w:pPr>
      <w:bookmarkStart w:id="141" w:name="_Toc123916507"/>
      <w:r>
        <w:t xml:space="preserve">Tableau </w:t>
      </w:r>
      <w:r w:rsidR="00757301">
        <w:fldChar w:fldCharType="begin"/>
      </w:r>
      <w:r w:rsidR="00757301">
        <w:instrText xml:space="preserve"> SEQ Tableau \* ARABIC </w:instrText>
      </w:r>
      <w:r w:rsidR="00757301">
        <w:fldChar w:fldCharType="separate"/>
      </w:r>
      <w:r>
        <w:rPr>
          <w:noProof/>
        </w:rPr>
        <w:t>15</w:t>
      </w:r>
      <w:r w:rsidR="00757301">
        <w:rPr>
          <w:noProof/>
        </w:rPr>
        <w:fldChar w:fldCharType="end"/>
      </w:r>
      <w:r>
        <w:t xml:space="preserve"> : </w:t>
      </w:r>
      <w:r w:rsidRPr="00BA4A6C">
        <w:t xml:space="preserve">Détail des catégories du secteur énergie (en </w:t>
      </w:r>
      <w:r w:rsidRPr="00590551">
        <w:t>kt</w:t>
      </w:r>
      <w:r>
        <w:t>CO</w:t>
      </w:r>
      <w:r w:rsidRPr="007F09F7">
        <w:rPr>
          <w:vertAlign w:val="subscript"/>
        </w:rPr>
        <w:t>2</w:t>
      </w:r>
      <w:r w:rsidRPr="004F1EC8">
        <w:rPr>
          <w:vertAlign w:val="subscript"/>
        </w:rPr>
        <w:t>e</w:t>
      </w:r>
      <w:r w:rsidRPr="00BA4A6C">
        <w:t xml:space="preserve">) au périmètre Kyoto dans le scénario AME </w:t>
      </w:r>
      <w:r>
        <w:t>2021 (avec mesures existantes)</w:t>
      </w:r>
      <w:bookmarkEnd w:id="141"/>
    </w:p>
    <w:p w14:paraId="63AB9FE2" w14:textId="77777777" w:rsidR="004D4A28" w:rsidRPr="00BA4A6C" w:rsidRDefault="004D4A28" w:rsidP="004D4A28">
      <w:pPr>
        <w:pStyle w:val="Caption"/>
      </w:pPr>
      <w:r w:rsidRPr="00C244FC">
        <w:t xml:space="preserve">Source : Inventaire CNUCC, Citepa/MTES, soumission </w:t>
      </w:r>
      <w:r>
        <w:t>2022</w:t>
      </w:r>
      <w:r w:rsidRPr="00C244FC">
        <w:t xml:space="preserve"> et projections d’émissions MTES, 20</w:t>
      </w:r>
      <w:r>
        <w:t>21</w:t>
      </w:r>
    </w:p>
    <w:p w14:paraId="4A219E9B" w14:textId="77777777" w:rsidR="004D4A28" w:rsidRDefault="004D4A28" w:rsidP="004D4A28">
      <w:pPr>
        <w:pStyle w:val="Default"/>
        <w:rPr>
          <w:sz w:val="18"/>
          <w:szCs w:val="18"/>
        </w:rPr>
      </w:pPr>
    </w:p>
    <w:p w14:paraId="06CE83AB" w14:textId="77777777" w:rsidR="004D4A28" w:rsidRDefault="004D4A28" w:rsidP="004D4A28">
      <w:pPr>
        <w:jc w:val="center"/>
      </w:pPr>
    </w:p>
    <w:p w14:paraId="3B9DE50E" w14:textId="77777777" w:rsidR="004D4A28" w:rsidRDefault="004D4A28" w:rsidP="004D4A28">
      <w:pPr>
        <w:pStyle w:val="Caption"/>
        <w:jc w:val="center"/>
      </w:pPr>
      <w:bookmarkStart w:id="142" w:name="_Toc123916467"/>
      <w:r>
        <w:rPr>
          <w:noProof/>
        </w:rPr>
        <w:drawing>
          <wp:inline distT="0" distB="0" distL="0" distR="0" wp14:anchorId="5C88547A" wp14:editId="751DA0D6">
            <wp:extent cx="5511800" cy="2743200"/>
            <wp:effectExtent l="0" t="0" r="12700" b="0"/>
            <wp:docPr id="28683" name="Graphique 28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690AD3"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56</w:t>
      </w:r>
      <w:r w:rsidR="00757301">
        <w:rPr>
          <w:noProof/>
        </w:rPr>
        <w:fldChar w:fldCharType="end"/>
      </w:r>
      <w:r>
        <w:t xml:space="preserve"> : </w:t>
      </w:r>
      <w:r w:rsidRPr="00BA4A6C">
        <w:t>Détail des catégories du secteur énergie en kt</w:t>
      </w:r>
      <w:r>
        <w:t>CO</w:t>
      </w:r>
      <w:r w:rsidRPr="007F09F7">
        <w:rPr>
          <w:vertAlign w:val="subscript"/>
        </w:rPr>
        <w:t>2</w:t>
      </w:r>
      <w:r w:rsidRPr="004F1EC8">
        <w:rPr>
          <w:vertAlign w:val="subscript"/>
        </w:rPr>
        <w:t>e</w:t>
      </w:r>
      <w:r w:rsidRPr="00BA4A6C">
        <w:t xml:space="preserve">, au </w:t>
      </w:r>
      <w:r>
        <w:t>périmètre</w:t>
      </w:r>
      <w:r w:rsidRPr="00BA4A6C">
        <w:t xml:space="preserve"> Kyoto, scénario AME </w:t>
      </w:r>
      <w:r>
        <w:t>2021</w:t>
      </w:r>
      <w:bookmarkEnd w:id="142"/>
    </w:p>
    <w:p w14:paraId="5FD11818" w14:textId="77777777" w:rsidR="004D4A28" w:rsidRDefault="004D4A28" w:rsidP="004D4A28">
      <w:pPr>
        <w:pStyle w:val="Caption"/>
        <w:rPr>
          <w:szCs w:val="21"/>
        </w:rPr>
      </w:pPr>
      <w:r w:rsidRPr="00BA4A6C">
        <w:t>Source</w:t>
      </w:r>
      <w:r>
        <w:t xml:space="preserve"> : Inventaire CNUCC, Citepa/MTE</w:t>
      </w:r>
      <w:r w:rsidRPr="00BA4A6C">
        <w:t xml:space="preserve">, soumission </w:t>
      </w:r>
      <w:r>
        <w:t>2022</w:t>
      </w:r>
      <w:r w:rsidRPr="00BA4A6C">
        <w:t xml:space="preserve"> et projections d’émissions MTE, 20</w:t>
      </w:r>
      <w:r>
        <w:t>21</w:t>
      </w:r>
    </w:p>
    <w:p w14:paraId="73962995" w14:textId="77777777" w:rsidR="004D4A28" w:rsidRDefault="004D4A28" w:rsidP="00573042">
      <w:pPr>
        <w:pStyle w:val="titreencadre"/>
        <w:numPr>
          <w:ilvl w:val="3"/>
          <w:numId w:val="59"/>
        </w:numPr>
        <w:spacing w:before="120" w:after="60" w:line="240" w:lineRule="auto"/>
      </w:pPr>
      <w:r>
        <w:t>AMS 2018</w:t>
      </w:r>
    </w:p>
    <w:tbl>
      <w:tblPr>
        <w:tblStyle w:val="TableGrid0"/>
        <w:tblW w:w="10787" w:type="dxa"/>
        <w:tblInd w:w="10" w:type="dxa"/>
        <w:tblLayout w:type="fixed"/>
        <w:tblCellMar>
          <w:top w:w="40" w:type="dxa"/>
          <w:left w:w="28" w:type="dxa"/>
          <w:right w:w="1" w:type="dxa"/>
        </w:tblCellMar>
        <w:tblLook w:val="04A0" w:firstRow="1" w:lastRow="0" w:firstColumn="1" w:lastColumn="0" w:noHBand="0" w:noVBand="1"/>
      </w:tblPr>
      <w:tblGrid>
        <w:gridCol w:w="1405"/>
        <w:gridCol w:w="781"/>
        <w:gridCol w:w="782"/>
        <w:gridCol w:w="782"/>
        <w:gridCol w:w="782"/>
        <w:gridCol w:w="782"/>
        <w:gridCol w:w="781"/>
        <w:gridCol w:w="782"/>
        <w:gridCol w:w="782"/>
        <w:gridCol w:w="782"/>
        <w:gridCol w:w="782"/>
        <w:gridCol w:w="782"/>
        <w:gridCol w:w="782"/>
      </w:tblGrid>
      <w:tr w:rsidR="004D4A28" w14:paraId="55318ACC" w14:textId="77777777" w:rsidTr="00361368">
        <w:trPr>
          <w:trHeight w:val="400"/>
        </w:trPr>
        <w:tc>
          <w:tcPr>
            <w:tcW w:w="1405" w:type="dxa"/>
            <w:tcBorders>
              <w:top w:val="single" w:sz="2" w:space="0" w:color="000000"/>
              <w:left w:val="single" w:sz="2" w:space="0" w:color="000000"/>
              <w:bottom w:val="single" w:sz="2" w:space="0" w:color="000000"/>
              <w:right w:val="single" w:sz="2" w:space="0" w:color="000000"/>
            </w:tcBorders>
            <w:shd w:val="clear" w:color="auto" w:fill="6D2A78"/>
          </w:tcPr>
          <w:p w14:paraId="62C6234D" w14:textId="77777777" w:rsidR="004D4A28" w:rsidRPr="00E0671D" w:rsidRDefault="004D4A28" w:rsidP="00361368">
            <w:r w:rsidRPr="00E0671D">
              <w:t>AMS 2018</w:t>
            </w:r>
          </w:p>
        </w:tc>
        <w:tc>
          <w:tcPr>
            <w:tcW w:w="781" w:type="dxa"/>
            <w:tcBorders>
              <w:top w:val="single" w:sz="2" w:space="0" w:color="000000"/>
              <w:left w:val="single" w:sz="2" w:space="0" w:color="000000"/>
              <w:bottom w:val="single" w:sz="2" w:space="0" w:color="000000"/>
              <w:right w:val="single" w:sz="2" w:space="0" w:color="000000"/>
            </w:tcBorders>
            <w:shd w:val="clear" w:color="auto" w:fill="6D2A78"/>
          </w:tcPr>
          <w:p w14:paraId="664529A5" w14:textId="77777777" w:rsidR="004D4A28" w:rsidRPr="0015655F" w:rsidRDefault="004D4A28" w:rsidP="00361368">
            <w:pPr>
              <w:spacing w:line="259" w:lineRule="auto"/>
              <w:ind w:right="27"/>
              <w:jc w:val="center"/>
            </w:pPr>
            <w:r w:rsidRPr="0015655F">
              <w:rPr>
                <w:b/>
                <w:color w:val="FFFFFF"/>
                <w:sz w:val="18"/>
              </w:rPr>
              <w:t xml:space="preserve">1990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065B95A2" w14:textId="77777777" w:rsidR="004D4A28" w:rsidRPr="0015655F" w:rsidRDefault="004D4A28" w:rsidP="00361368">
            <w:pPr>
              <w:spacing w:line="259" w:lineRule="auto"/>
              <w:ind w:right="24"/>
              <w:jc w:val="center"/>
              <w:rPr>
                <w:b/>
                <w:color w:val="FFFFFF"/>
                <w:sz w:val="18"/>
              </w:rPr>
            </w:pPr>
            <w:r>
              <w:rPr>
                <w:b/>
                <w:color w:val="FFFFFF"/>
                <w:sz w:val="18"/>
              </w:rPr>
              <w:t>1995</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0288108B" w14:textId="77777777" w:rsidR="004D4A28" w:rsidRPr="0015655F" w:rsidRDefault="004D4A28" w:rsidP="00361368">
            <w:pPr>
              <w:spacing w:line="259" w:lineRule="auto"/>
              <w:ind w:right="24"/>
              <w:jc w:val="center"/>
            </w:pPr>
            <w:r w:rsidRPr="0015655F">
              <w:rPr>
                <w:b/>
                <w:color w:val="FFFFFF"/>
                <w:sz w:val="18"/>
              </w:rPr>
              <w:t xml:space="preserve">2000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38EF49D0" w14:textId="77777777" w:rsidR="004D4A28" w:rsidRPr="0015655F" w:rsidRDefault="004D4A28" w:rsidP="00361368">
            <w:pPr>
              <w:spacing w:line="259" w:lineRule="auto"/>
              <w:ind w:right="27"/>
              <w:jc w:val="center"/>
            </w:pPr>
            <w:r w:rsidRPr="0015655F">
              <w:rPr>
                <w:b/>
                <w:color w:val="FFFFFF"/>
                <w:sz w:val="18"/>
              </w:rPr>
              <w:t xml:space="preserve">2005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4EEF7593" w14:textId="77777777" w:rsidR="004D4A28" w:rsidRPr="0015655F" w:rsidRDefault="004D4A28" w:rsidP="00361368">
            <w:pPr>
              <w:spacing w:line="259" w:lineRule="auto"/>
              <w:ind w:right="24"/>
              <w:jc w:val="center"/>
            </w:pPr>
            <w:r w:rsidRPr="0015655F">
              <w:rPr>
                <w:b/>
                <w:color w:val="FFFFFF"/>
                <w:sz w:val="18"/>
              </w:rPr>
              <w:t xml:space="preserve">2010 </w:t>
            </w:r>
          </w:p>
        </w:tc>
        <w:tc>
          <w:tcPr>
            <w:tcW w:w="781" w:type="dxa"/>
            <w:tcBorders>
              <w:top w:val="single" w:sz="2" w:space="0" w:color="000000"/>
              <w:left w:val="single" w:sz="2" w:space="0" w:color="000000"/>
              <w:bottom w:val="single" w:sz="2" w:space="0" w:color="000000"/>
              <w:right w:val="single" w:sz="2" w:space="0" w:color="000000"/>
            </w:tcBorders>
            <w:shd w:val="clear" w:color="auto" w:fill="6D2A78"/>
          </w:tcPr>
          <w:p w14:paraId="537E5E0B" w14:textId="77777777" w:rsidR="004D4A28" w:rsidRPr="0015655F" w:rsidRDefault="004D4A28" w:rsidP="00361368">
            <w:pPr>
              <w:spacing w:line="259" w:lineRule="auto"/>
              <w:ind w:right="27"/>
              <w:jc w:val="center"/>
            </w:pPr>
            <w:r w:rsidRPr="0015655F">
              <w:rPr>
                <w:b/>
                <w:color w:val="FFFFFF"/>
                <w:sz w:val="18"/>
              </w:rPr>
              <w:t xml:space="preserve">2015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31EABD70" w14:textId="77777777" w:rsidR="004D4A28" w:rsidRPr="0015655F" w:rsidRDefault="004D4A28" w:rsidP="00361368">
            <w:pPr>
              <w:spacing w:line="259" w:lineRule="auto"/>
              <w:ind w:right="24"/>
              <w:jc w:val="center"/>
              <w:rPr>
                <w:b/>
                <w:color w:val="FFFFFF"/>
                <w:sz w:val="18"/>
              </w:rPr>
            </w:pPr>
            <w:r>
              <w:rPr>
                <w:b/>
                <w:color w:val="FFFFFF"/>
                <w:sz w:val="18"/>
              </w:rPr>
              <w:t>2019</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15724BAE" w14:textId="77777777" w:rsidR="004D4A28" w:rsidRPr="0015655F" w:rsidRDefault="004D4A28" w:rsidP="00361368">
            <w:pPr>
              <w:spacing w:line="259" w:lineRule="auto"/>
              <w:ind w:right="24"/>
              <w:jc w:val="center"/>
            </w:pPr>
            <w:r w:rsidRPr="0015655F">
              <w:rPr>
                <w:b/>
                <w:color w:val="FFFFFF"/>
                <w:sz w:val="18"/>
              </w:rPr>
              <w:t xml:space="preserve">2020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5CCE0B74" w14:textId="77777777" w:rsidR="004D4A28" w:rsidRPr="0015655F" w:rsidRDefault="004D4A28" w:rsidP="00361368">
            <w:pPr>
              <w:spacing w:line="259" w:lineRule="auto"/>
              <w:ind w:right="27"/>
              <w:jc w:val="center"/>
            </w:pPr>
            <w:r w:rsidRPr="0015655F">
              <w:rPr>
                <w:b/>
                <w:color w:val="FFFFFF"/>
                <w:sz w:val="18"/>
              </w:rPr>
              <w:t xml:space="preserve">2025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679A58A6" w14:textId="77777777" w:rsidR="004D4A28" w:rsidRPr="0015655F" w:rsidRDefault="004D4A28" w:rsidP="00361368">
            <w:pPr>
              <w:spacing w:line="259" w:lineRule="auto"/>
              <w:ind w:right="24"/>
              <w:jc w:val="center"/>
            </w:pPr>
            <w:r w:rsidRPr="0015655F">
              <w:rPr>
                <w:b/>
                <w:color w:val="FFFFFF"/>
                <w:sz w:val="18"/>
              </w:rPr>
              <w:t xml:space="preserve">2030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2747CDA5" w14:textId="77777777" w:rsidR="004D4A28" w:rsidRPr="0015655F" w:rsidRDefault="004D4A28" w:rsidP="00361368">
            <w:pPr>
              <w:spacing w:line="259" w:lineRule="auto"/>
              <w:ind w:right="26"/>
              <w:jc w:val="center"/>
            </w:pPr>
            <w:r w:rsidRPr="0015655F">
              <w:rPr>
                <w:b/>
                <w:color w:val="FFFFFF"/>
                <w:sz w:val="18"/>
              </w:rPr>
              <w:t xml:space="preserve">2035 </w:t>
            </w:r>
          </w:p>
        </w:tc>
        <w:tc>
          <w:tcPr>
            <w:tcW w:w="782" w:type="dxa"/>
            <w:tcBorders>
              <w:top w:val="single" w:sz="2" w:space="0" w:color="000000"/>
              <w:left w:val="single" w:sz="2" w:space="0" w:color="000000"/>
              <w:bottom w:val="single" w:sz="2" w:space="0" w:color="000000"/>
              <w:right w:val="single" w:sz="2" w:space="0" w:color="000000"/>
            </w:tcBorders>
            <w:shd w:val="clear" w:color="auto" w:fill="6D2A78"/>
          </w:tcPr>
          <w:p w14:paraId="08A8F7A8" w14:textId="77777777" w:rsidR="004D4A28" w:rsidRPr="0015655F" w:rsidRDefault="004D4A28" w:rsidP="00361368">
            <w:pPr>
              <w:spacing w:line="259" w:lineRule="auto"/>
              <w:ind w:right="26"/>
              <w:jc w:val="center"/>
              <w:rPr>
                <w:b/>
                <w:color w:val="FFFFFF"/>
                <w:sz w:val="18"/>
              </w:rPr>
            </w:pPr>
            <w:r>
              <w:rPr>
                <w:b/>
                <w:color w:val="FFFFFF"/>
                <w:sz w:val="18"/>
              </w:rPr>
              <w:t>2050</w:t>
            </w:r>
          </w:p>
        </w:tc>
      </w:tr>
      <w:tr w:rsidR="004D4A28" w14:paraId="06073344" w14:textId="77777777" w:rsidTr="00361368">
        <w:trPr>
          <w:trHeight w:val="347"/>
        </w:trPr>
        <w:tc>
          <w:tcPr>
            <w:tcW w:w="1405" w:type="dxa"/>
            <w:tcBorders>
              <w:top w:val="single" w:sz="2" w:space="0" w:color="000000"/>
              <w:left w:val="single" w:sz="2" w:space="0" w:color="000000"/>
              <w:bottom w:val="single" w:sz="2" w:space="0" w:color="000000"/>
              <w:right w:val="single" w:sz="2" w:space="0" w:color="000000"/>
            </w:tcBorders>
          </w:tcPr>
          <w:p w14:paraId="68A698BC" w14:textId="77777777" w:rsidR="004D4A28" w:rsidRPr="0015655F" w:rsidRDefault="004D4A28" w:rsidP="00361368">
            <w:pPr>
              <w:spacing w:line="259" w:lineRule="auto"/>
              <w:jc w:val="left"/>
            </w:pPr>
            <w:r w:rsidRPr="0015655F">
              <w:rPr>
                <w:b/>
                <w:sz w:val="18"/>
              </w:rPr>
              <w:t xml:space="preserve"> </w:t>
            </w:r>
          </w:p>
        </w:tc>
        <w:tc>
          <w:tcPr>
            <w:tcW w:w="781" w:type="dxa"/>
            <w:tcBorders>
              <w:top w:val="single" w:sz="2" w:space="0" w:color="000000"/>
              <w:left w:val="single" w:sz="2" w:space="0" w:color="000000"/>
              <w:bottom w:val="single" w:sz="2" w:space="0" w:color="000000"/>
              <w:right w:val="single" w:sz="2" w:space="0" w:color="000000"/>
            </w:tcBorders>
          </w:tcPr>
          <w:p w14:paraId="5A3E6253" w14:textId="77777777" w:rsidR="004D4A28" w:rsidRPr="000A390A" w:rsidRDefault="004D4A28" w:rsidP="00361368">
            <w:pPr>
              <w:spacing w:line="259" w:lineRule="auto"/>
              <w:rPr>
                <w:sz w:val="16"/>
              </w:rPr>
            </w:pPr>
            <w:r w:rsidRPr="000A390A">
              <w:rPr>
                <w:b/>
                <w:color w:val="6D2A78"/>
                <w:sz w:val="16"/>
              </w:rPr>
              <w:t xml:space="preserve">Observé </w:t>
            </w:r>
          </w:p>
        </w:tc>
        <w:tc>
          <w:tcPr>
            <w:tcW w:w="782" w:type="dxa"/>
            <w:tcBorders>
              <w:top w:val="single" w:sz="2" w:space="0" w:color="000000"/>
              <w:left w:val="single" w:sz="2" w:space="0" w:color="000000"/>
              <w:bottom w:val="single" w:sz="2" w:space="0" w:color="000000"/>
              <w:right w:val="single" w:sz="2" w:space="0" w:color="000000"/>
            </w:tcBorders>
          </w:tcPr>
          <w:p w14:paraId="264EF7ED" w14:textId="77777777" w:rsidR="004D4A28" w:rsidRPr="000A390A" w:rsidRDefault="004D4A28" w:rsidP="00361368">
            <w:pPr>
              <w:spacing w:line="259" w:lineRule="auto"/>
              <w:rPr>
                <w:b/>
                <w:color w:val="6D2A78"/>
                <w:sz w:val="16"/>
              </w:rPr>
            </w:pPr>
            <w:r w:rsidRPr="000A390A">
              <w:rPr>
                <w:b/>
                <w:color w:val="6D2A78"/>
                <w:sz w:val="16"/>
              </w:rPr>
              <w:t xml:space="preserve">Observé </w:t>
            </w:r>
          </w:p>
        </w:tc>
        <w:tc>
          <w:tcPr>
            <w:tcW w:w="782" w:type="dxa"/>
            <w:tcBorders>
              <w:top w:val="single" w:sz="2" w:space="0" w:color="000000"/>
              <w:left w:val="single" w:sz="2" w:space="0" w:color="000000"/>
              <w:bottom w:val="single" w:sz="2" w:space="0" w:color="000000"/>
              <w:right w:val="single" w:sz="2" w:space="0" w:color="000000"/>
            </w:tcBorders>
          </w:tcPr>
          <w:p w14:paraId="3E89F68C" w14:textId="77777777" w:rsidR="004D4A28" w:rsidRPr="000A390A" w:rsidRDefault="004D4A28" w:rsidP="00361368">
            <w:pPr>
              <w:spacing w:line="259" w:lineRule="auto"/>
              <w:rPr>
                <w:sz w:val="16"/>
              </w:rPr>
            </w:pPr>
            <w:r w:rsidRPr="000A390A">
              <w:rPr>
                <w:b/>
                <w:color w:val="6D2A78"/>
                <w:sz w:val="16"/>
              </w:rPr>
              <w:t xml:space="preserve">Observé </w:t>
            </w:r>
          </w:p>
        </w:tc>
        <w:tc>
          <w:tcPr>
            <w:tcW w:w="782" w:type="dxa"/>
            <w:tcBorders>
              <w:top w:val="single" w:sz="2" w:space="0" w:color="000000"/>
              <w:left w:val="single" w:sz="2" w:space="0" w:color="000000"/>
              <w:bottom w:val="single" w:sz="2" w:space="0" w:color="000000"/>
              <w:right w:val="single" w:sz="2" w:space="0" w:color="000000"/>
            </w:tcBorders>
          </w:tcPr>
          <w:p w14:paraId="4DC41C38" w14:textId="77777777" w:rsidR="004D4A28" w:rsidRPr="000A390A" w:rsidRDefault="004D4A28" w:rsidP="00361368">
            <w:pPr>
              <w:spacing w:line="259" w:lineRule="auto"/>
              <w:rPr>
                <w:sz w:val="16"/>
              </w:rPr>
            </w:pPr>
            <w:r w:rsidRPr="000A390A">
              <w:rPr>
                <w:b/>
                <w:color w:val="6D2A78"/>
                <w:sz w:val="16"/>
              </w:rPr>
              <w:t xml:space="preserve">Observé </w:t>
            </w:r>
          </w:p>
        </w:tc>
        <w:tc>
          <w:tcPr>
            <w:tcW w:w="782" w:type="dxa"/>
            <w:tcBorders>
              <w:top w:val="single" w:sz="2" w:space="0" w:color="000000"/>
              <w:left w:val="single" w:sz="2" w:space="0" w:color="000000"/>
              <w:bottom w:val="single" w:sz="2" w:space="0" w:color="000000"/>
              <w:right w:val="single" w:sz="2" w:space="0" w:color="000000"/>
            </w:tcBorders>
          </w:tcPr>
          <w:p w14:paraId="777B757E" w14:textId="77777777" w:rsidR="004D4A28" w:rsidRPr="000A390A" w:rsidRDefault="004D4A28" w:rsidP="00361368">
            <w:pPr>
              <w:spacing w:line="259" w:lineRule="auto"/>
              <w:rPr>
                <w:sz w:val="16"/>
              </w:rPr>
            </w:pPr>
            <w:r w:rsidRPr="000A390A">
              <w:rPr>
                <w:b/>
                <w:color w:val="6D2A78"/>
                <w:sz w:val="16"/>
              </w:rPr>
              <w:t xml:space="preserve">Observé </w:t>
            </w:r>
          </w:p>
        </w:tc>
        <w:tc>
          <w:tcPr>
            <w:tcW w:w="781" w:type="dxa"/>
            <w:tcBorders>
              <w:top w:val="single" w:sz="2" w:space="0" w:color="000000"/>
              <w:left w:val="single" w:sz="2" w:space="0" w:color="000000"/>
              <w:bottom w:val="single" w:sz="2" w:space="0" w:color="000000"/>
              <w:right w:val="single" w:sz="2" w:space="0" w:color="000000"/>
            </w:tcBorders>
          </w:tcPr>
          <w:p w14:paraId="56576B38" w14:textId="77777777" w:rsidR="004D4A28" w:rsidRPr="000A390A" w:rsidRDefault="004D4A28" w:rsidP="00361368">
            <w:pPr>
              <w:spacing w:line="259" w:lineRule="auto"/>
              <w:rPr>
                <w:sz w:val="16"/>
              </w:rPr>
            </w:pPr>
            <w:r w:rsidRPr="000A390A">
              <w:rPr>
                <w:b/>
                <w:color w:val="6D2A78"/>
                <w:sz w:val="16"/>
              </w:rPr>
              <w:t xml:space="preserve">Observé </w:t>
            </w:r>
          </w:p>
        </w:tc>
        <w:tc>
          <w:tcPr>
            <w:tcW w:w="782" w:type="dxa"/>
            <w:tcBorders>
              <w:top w:val="single" w:sz="2" w:space="0" w:color="000000"/>
              <w:left w:val="single" w:sz="2" w:space="0" w:color="000000"/>
              <w:bottom w:val="single" w:sz="2" w:space="0" w:color="000000"/>
              <w:right w:val="single" w:sz="2" w:space="0" w:color="000000"/>
            </w:tcBorders>
          </w:tcPr>
          <w:p w14:paraId="72B91457" w14:textId="77777777" w:rsidR="004D4A28" w:rsidRPr="000A390A" w:rsidRDefault="004D4A28" w:rsidP="00361368">
            <w:pPr>
              <w:spacing w:line="259" w:lineRule="auto"/>
              <w:rPr>
                <w:b/>
                <w:color w:val="6D2A78"/>
                <w:sz w:val="16"/>
              </w:rPr>
            </w:pPr>
            <w:r w:rsidRPr="000A390A">
              <w:rPr>
                <w:b/>
                <w:color w:val="6D2A78"/>
                <w:sz w:val="16"/>
              </w:rPr>
              <w:t>Observé</w:t>
            </w:r>
          </w:p>
        </w:tc>
        <w:tc>
          <w:tcPr>
            <w:tcW w:w="782" w:type="dxa"/>
            <w:tcBorders>
              <w:top w:val="single" w:sz="2" w:space="0" w:color="000000"/>
              <w:left w:val="single" w:sz="2" w:space="0" w:color="000000"/>
              <w:bottom w:val="single" w:sz="2" w:space="0" w:color="000000"/>
              <w:right w:val="single" w:sz="2" w:space="0" w:color="000000"/>
            </w:tcBorders>
          </w:tcPr>
          <w:p w14:paraId="414E3502" w14:textId="77777777" w:rsidR="004D4A28" w:rsidRPr="000A390A" w:rsidRDefault="004D4A28" w:rsidP="00361368">
            <w:pPr>
              <w:spacing w:line="259" w:lineRule="auto"/>
              <w:rPr>
                <w:sz w:val="16"/>
              </w:rPr>
            </w:pPr>
            <w:r w:rsidRPr="000A390A">
              <w:rPr>
                <w:b/>
                <w:color w:val="6D2A78"/>
                <w:sz w:val="16"/>
              </w:rPr>
              <w:t xml:space="preserve">Projeté </w:t>
            </w:r>
          </w:p>
        </w:tc>
        <w:tc>
          <w:tcPr>
            <w:tcW w:w="782" w:type="dxa"/>
            <w:tcBorders>
              <w:top w:val="single" w:sz="2" w:space="0" w:color="000000"/>
              <w:left w:val="single" w:sz="2" w:space="0" w:color="000000"/>
              <w:bottom w:val="single" w:sz="2" w:space="0" w:color="000000"/>
              <w:right w:val="single" w:sz="2" w:space="0" w:color="000000"/>
            </w:tcBorders>
          </w:tcPr>
          <w:p w14:paraId="70545AAD" w14:textId="77777777" w:rsidR="004D4A28" w:rsidRPr="000A390A" w:rsidRDefault="004D4A28" w:rsidP="00361368">
            <w:pPr>
              <w:spacing w:line="259" w:lineRule="auto"/>
              <w:rPr>
                <w:sz w:val="16"/>
              </w:rPr>
            </w:pPr>
            <w:r w:rsidRPr="000A390A">
              <w:rPr>
                <w:b/>
                <w:color w:val="6D2A78"/>
                <w:sz w:val="16"/>
              </w:rPr>
              <w:t xml:space="preserve">Projeté </w:t>
            </w:r>
          </w:p>
        </w:tc>
        <w:tc>
          <w:tcPr>
            <w:tcW w:w="782" w:type="dxa"/>
            <w:tcBorders>
              <w:top w:val="single" w:sz="2" w:space="0" w:color="000000"/>
              <w:left w:val="single" w:sz="2" w:space="0" w:color="000000"/>
              <w:bottom w:val="single" w:sz="2" w:space="0" w:color="000000"/>
              <w:right w:val="single" w:sz="2" w:space="0" w:color="000000"/>
            </w:tcBorders>
          </w:tcPr>
          <w:p w14:paraId="6F278D97" w14:textId="77777777" w:rsidR="004D4A28" w:rsidRPr="000A390A" w:rsidRDefault="004D4A28" w:rsidP="00361368">
            <w:pPr>
              <w:spacing w:line="259" w:lineRule="auto"/>
              <w:rPr>
                <w:sz w:val="16"/>
              </w:rPr>
            </w:pPr>
            <w:r w:rsidRPr="000A390A">
              <w:rPr>
                <w:b/>
                <w:color w:val="6D2A78"/>
                <w:sz w:val="16"/>
              </w:rPr>
              <w:t xml:space="preserve">Projeté </w:t>
            </w:r>
          </w:p>
        </w:tc>
        <w:tc>
          <w:tcPr>
            <w:tcW w:w="782" w:type="dxa"/>
            <w:tcBorders>
              <w:top w:val="single" w:sz="2" w:space="0" w:color="000000"/>
              <w:left w:val="single" w:sz="2" w:space="0" w:color="000000"/>
              <w:bottom w:val="single" w:sz="2" w:space="0" w:color="000000"/>
              <w:right w:val="single" w:sz="2" w:space="0" w:color="000000"/>
            </w:tcBorders>
          </w:tcPr>
          <w:p w14:paraId="5B6FC5AD" w14:textId="77777777" w:rsidR="004D4A28" w:rsidRPr="000A390A" w:rsidRDefault="004D4A28" w:rsidP="00361368">
            <w:pPr>
              <w:spacing w:line="259" w:lineRule="auto"/>
              <w:rPr>
                <w:sz w:val="16"/>
              </w:rPr>
            </w:pPr>
            <w:r w:rsidRPr="000A390A">
              <w:rPr>
                <w:b/>
                <w:color w:val="6D2A78"/>
                <w:sz w:val="16"/>
              </w:rPr>
              <w:t xml:space="preserve">Projeté </w:t>
            </w:r>
          </w:p>
        </w:tc>
        <w:tc>
          <w:tcPr>
            <w:tcW w:w="782" w:type="dxa"/>
            <w:tcBorders>
              <w:top w:val="single" w:sz="2" w:space="0" w:color="000000"/>
              <w:left w:val="single" w:sz="2" w:space="0" w:color="000000"/>
              <w:bottom w:val="single" w:sz="2" w:space="0" w:color="000000"/>
              <w:right w:val="single" w:sz="2" w:space="0" w:color="000000"/>
            </w:tcBorders>
          </w:tcPr>
          <w:p w14:paraId="69FF665F" w14:textId="77777777" w:rsidR="004D4A28" w:rsidRPr="000A390A" w:rsidRDefault="004D4A28" w:rsidP="00361368">
            <w:pPr>
              <w:spacing w:line="259" w:lineRule="auto"/>
              <w:rPr>
                <w:b/>
                <w:color w:val="6D2A78"/>
                <w:sz w:val="16"/>
              </w:rPr>
            </w:pPr>
            <w:r w:rsidRPr="000A390A">
              <w:rPr>
                <w:b/>
                <w:color w:val="6D2A78"/>
                <w:sz w:val="16"/>
              </w:rPr>
              <w:t>Projeté</w:t>
            </w:r>
          </w:p>
        </w:tc>
      </w:tr>
      <w:tr w:rsidR="004D4A28" w14:paraId="625EF32E"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5D4668A1" w14:textId="77777777" w:rsidR="004D4A28" w:rsidRPr="0015655F" w:rsidRDefault="004D4A28" w:rsidP="00361368">
            <w:pPr>
              <w:spacing w:line="259" w:lineRule="auto"/>
              <w:jc w:val="left"/>
            </w:pPr>
            <w:r w:rsidRPr="0015655F">
              <w:rPr>
                <w:sz w:val="18"/>
              </w:rPr>
              <w:t xml:space="preserve">Industrie de l’énergie </w:t>
            </w:r>
          </w:p>
        </w:tc>
        <w:tc>
          <w:tcPr>
            <w:tcW w:w="78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128D9C7"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66338</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3799B5"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55802</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109CAE"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62526</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7579695"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66972</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6387DAA"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60134</w:t>
            </w:r>
          </w:p>
        </w:tc>
        <w:tc>
          <w:tcPr>
            <w:tcW w:w="78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39AAB1" w14:textId="77777777" w:rsidR="004D4A28" w:rsidRPr="000A390A" w:rsidRDefault="004D4A28" w:rsidP="00361368">
            <w:pPr>
              <w:spacing w:line="259" w:lineRule="auto"/>
              <w:ind w:left="108"/>
              <w:jc w:val="center"/>
              <w:rPr>
                <w:sz w:val="16"/>
                <w:szCs w:val="16"/>
              </w:rPr>
            </w:pPr>
            <w:r w:rsidRPr="00664108">
              <w:rPr>
                <w:rFonts w:asciiTheme="majorHAnsi" w:hAnsiTheme="majorHAnsi"/>
                <w:sz w:val="16"/>
                <w:szCs w:val="16"/>
              </w:rPr>
              <w:t>44988</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560A2A" w14:textId="77777777" w:rsidR="004D4A28" w:rsidRDefault="004D4A28" w:rsidP="00361368">
            <w:pPr>
              <w:spacing w:line="259" w:lineRule="auto"/>
              <w:ind w:left="108"/>
              <w:jc w:val="center"/>
              <w:rPr>
                <w:rFonts w:ascii="Calibri" w:hAnsi="Calibri" w:cs="Calibri"/>
                <w:color w:val="000000"/>
                <w:sz w:val="20"/>
                <w:szCs w:val="20"/>
              </w:rPr>
            </w:pPr>
            <w:r w:rsidRPr="00664108">
              <w:rPr>
                <w:rFonts w:asciiTheme="majorHAnsi" w:hAnsiTheme="majorHAnsi"/>
                <w:sz w:val="16"/>
                <w:szCs w:val="16"/>
              </w:rPr>
              <w:t>41680</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D0BA22"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51390</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81A083"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35549</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F7AC97"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30007</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A4DF05"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19242</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0C8535"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-13050</w:t>
            </w:r>
          </w:p>
        </w:tc>
      </w:tr>
      <w:tr w:rsidR="004D4A28" w14:paraId="3BDA7207" w14:textId="77777777" w:rsidTr="00361368">
        <w:trPr>
          <w:trHeight w:val="419"/>
        </w:trPr>
        <w:tc>
          <w:tcPr>
            <w:tcW w:w="1405" w:type="dxa"/>
            <w:tcBorders>
              <w:top w:val="single" w:sz="2" w:space="0" w:color="000000"/>
              <w:left w:val="single" w:sz="2" w:space="0" w:color="000000"/>
              <w:bottom w:val="single" w:sz="2" w:space="0" w:color="000000"/>
              <w:right w:val="single" w:sz="2" w:space="0" w:color="000000"/>
            </w:tcBorders>
          </w:tcPr>
          <w:p w14:paraId="6FA41D00" w14:textId="77777777" w:rsidR="004D4A28" w:rsidRPr="0015655F" w:rsidRDefault="004D4A28" w:rsidP="00361368">
            <w:pPr>
              <w:spacing w:line="259" w:lineRule="auto"/>
              <w:jc w:val="left"/>
            </w:pPr>
            <w:r w:rsidRPr="0015655F">
              <w:rPr>
                <w:sz w:val="18"/>
              </w:rPr>
              <w:t xml:space="preserve">Industrie manufacturière et construction </w:t>
            </w:r>
          </w:p>
        </w:tc>
        <w:tc>
          <w:tcPr>
            <w:tcW w:w="781" w:type="dxa"/>
            <w:tcBorders>
              <w:top w:val="single" w:sz="2" w:space="0" w:color="000000"/>
              <w:left w:val="single" w:sz="2" w:space="0" w:color="000000"/>
              <w:bottom w:val="single" w:sz="2" w:space="0" w:color="000000"/>
              <w:right w:val="single" w:sz="2" w:space="0" w:color="000000"/>
            </w:tcBorders>
            <w:vAlign w:val="center"/>
          </w:tcPr>
          <w:p w14:paraId="05F97B6B"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76164</w:t>
            </w:r>
          </w:p>
        </w:tc>
        <w:tc>
          <w:tcPr>
            <w:tcW w:w="782" w:type="dxa"/>
            <w:tcBorders>
              <w:top w:val="single" w:sz="2" w:space="0" w:color="000000"/>
              <w:left w:val="single" w:sz="2" w:space="0" w:color="000000"/>
              <w:bottom w:val="single" w:sz="2" w:space="0" w:color="000000"/>
              <w:right w:val="single" w:sz="2" w:space="0" w:color="000000"/>
            </w:tcBorders>
            <w:vAlign w:val="center"/>
          </w:tcPr>
          <w:p w14:paraId="4F00796F"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80423</w:t>
            </w:r>
          </w:p>
        </w:tc>
        <w:tc>
          <w:tcPr>
            <w:tcW w:w="782" w:type="dxa"/>
            <w:tcBorders>
              <w:top w:val="single" w:sz="2" w:space="0" w:color="000000"/>
              <w:left w:val="single" w:sz="2" w:space="0" w:color="000000"/>
              <w:bottom w:val="single" w:sz="2" w:space="0" w:color="000000"/>
              <w:right w:val="single" w:sz="2" w:space="0" w:color="000000"/>
            </w:tcBorders>
            <w:vAlign w:val="center"/>
          </w:tcPr>
          <w:p w14:paraId="603F6EB0"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75532</w:t>
            </w:r>
          </w:p>
        </w:tc>
        <w:tc>
          <w:tcPr>
            <w:tcW w:w="782" w:type="dxa"/>
            <w:tcBorders>
              <w:top w:val="single" w:sz="2" w:space="0" w:color="000000"/>
              <w:left w:val="single" w:sz="2" w:space="0" w:color="000000"/>
              <w:bottom w:val="single" w:sz="2" w:space="0" w:color="000000"/>
              <w:right w:val="single" w:sz="2" w:space="0" w:color="000000"/>
            </w:tcBorders>
            <w:vAlign w:val="center"/>
          </w:tcPr>
          <w:p w14:paraId="7C864E32"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71990</w:t>
            </w:r>
          </w:p>
        </w:tc>
        <w:tc>
          <w:tcPr>
            <w:tcW w:w="782" w:type="dxa"/>
            <w:tcBorders>
              <w:top w:val="single" w:sz="2" w:space="0" w:color="000000"/>
              <w:left w:val="single" w:sz="2" w:space="0" w:color="000000"/>
              <w:bottom w:val="single" w:sz="2" w:space="0" w:color="000000"/>
              <w:right w:val="single" w:sz="2" w:space="0" w:color="000000"/>
            </w:tcBorders>
            <w:vAlign w:val="center"/>
          </w:tcPr>
          <w:p w14:paraId="4772C275"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62105</w:t>
            </w:r>
          </w:p>
        </w:tc>
        <w:tc>
          <w:tcPr>
            <w:tcW w:w="781" w:type="dxa"/>
            <w:tcBorders>
              <w:top w:val="single" w:sz="2" w:space="0" w:color="000000"/>
              <w:left w:val="single" w:sz="2" w:space="0" w:color="000000"/>
              <w:bottom w:val="single" w:sz="2" w:space="0" w:color="000000"/>
              <w:right w:val="single" w:sz="2" w:space="0" w:color="000000"/>
            </w:tcBorders>
            <w:vAlign w:val="center"/>
          </w:tcPr>
          <w:p w14:paraId="189AEABB"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51963</w:t>
            </w:r>
          </w:p>
        </w:tc>
        <w:tc>
          <w:tcPr>
            <w:tcW w:w="782" w:type="dxa"/>
            <w:tcBorders>
              <w:top w:val="single" w:sz="2" w:space="0" w:color="000000"/>
              <w:left w:val="single" w:sz="2" w:space="0" w:color="000000"/>
              <w:bottom w:val="single" w:sz="2" w:space="0" w:color="000000"/>
              <w:right w:val="single" w:sz="2" w:space="0" w:color="000000"/>
            </w:tcBorders>
            <w:vAlign w:val="center"/>
          </w:tcPr>
          <w:p w14:paraId="0A2BD4D0" w14:textId="77777777" w:rsidR="004D4A28" w:rsidRDefault="004D4A28" w:rsidP="00361368">
            <w:pPr>
              <w:spacing w:line="259" w:lineRule="auto"/>
              <w:ind w:left="108"/>
              <w:jc w:val="center"/>
              <w:rPr>
                <w:rFonts w:ascii="Calibri" w:hAnsi="Calibri" w:cs="Calibri"/>
                <w:color w:val="000000"/>
                <w:sz w:val="20"/>
                <w:szCs w:val="20"/>
              </w:rPr>
            </w:pPr>
            <w:r w:rsidRPr="00664108">
              <w:rPr>
                <w:rFonts w:asciiTheme="majorHAnsi" w:hAnsiTheme="majorHAnsi" w:cs="Calibri"/>
                <w:color w:val="000000"/>
                <w:sz w:val="16"/>
                <w:szCs w:val="16"/>
              </w:rPr>
              <w:t>48031</w:t>
            </w:r>
          </w:p>
        </w:tc>
        <w:tc>
          <w:tcPr>
            <w:tcW w:w="782" w:type="dxa"/>
            <w:tcBorders>
              <w:top w:val="single" w:sz="2" w:space="0" w:color="000000"/>
              <w:left w:val="single" w:sz="2" w:space="0" w:color="000000"/>
              <w:bottom w:val="single" w:sz="2" w:space="0" w:color="000000"/>
              <w:right w:val="single" w:sz="2" w:space="0" w:color="000000"/>
            </w:tcBorders>
            <w:vAlign w:val="center"/>
          </w:tcPr>
          <w:p w14:paraId="4E8FF0F9"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43570</w:t>
            </w:r>
          </w:p>
        </w:tc>
        <w:tc>
          <w:tcPr>
            <w:tcW w:w="782" w:type="dxa"/>
            <w:tcBorders>
              <w:top w:val="single" w:sz="2" w:space="0" w:color="000000"/>
              <w:left w:val="single" w:sz="2" w:space="0" w:color="000000"/>
              <w:bottom w:val="single" w:sz="2" w:space="0" w:color="000000"/>
              <w:right w:val="single" w:sz="2" w:space="0" w:color="000000"/>
            </w:tcBorders>
            <w:vAlign w:val="center"/>
          </w:tcPr>
          <w:p w14:paraId="031C7041"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38146</w:t>
            </w:r>
          </w:p>
        </w:tc>
        <w:tc>
          <w:tcPr>
            <w:tcW w:w="782" w:type="dxa"/>
            <w:tcBorders>
              <w:top w:val="single" w:sz="2" w:space="0" w:color="000000"/>
              <w:left w:val="single" w:sz="2" w:space="0" w:color="000000"/>
              <w:bottom w:val="single" w:sz="2" w:space="0" w:color="000000"/>
              <w:right w:val="single" w:sz="2" w:space="0" w:color="000000"/>
            </w:tcBorders>
            <w:vAlign w:val="center"/>
          </w:tcPr>
          <w:p w14:paraId="750B2163"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30122</w:t>
            </w:r>
          </w:p>
        </w:tc>
        <w:tc>
          <w:tcPr>
            <w:tcW w:w="782" w:type="dxa"/>
            <w:tcBorders>
              <w:top w:val="single" w:sz="2" w:space="0" w:color="000000"/>
              <w:left w:val="single" w:sz="2" w:space="0" w:color="000000"/>
              <w:bottom w:val="single" w:sz="2" w:space="0" w:color="000000"/>
              <w:right w:val="single" w:sz="2" w:space="0" w:color="000000"/>
            </w:tcBorders>
            <w:vAlign w:val="center"/>
          </w:tcPr>
          <w:p w14:paraId="470CC083"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23105</w:t>
            </w:r>
          </w:p>
        </w:tc>
        <w:tc>
          <w:tcPr>
            <w:tcW w:w="782" w:type="dxa"/>
            <w:tcBorders>
              <w:top w:val="single" w:sz="2" w:space="0" w:color="000000"/>
              <w:left w:val="single" w:sz="2" w:space="0" w:color="000000"/>
              <w:bottom w:val="single" w:sz="2" w:space="0" w:color="000000"/>
              <w:right w:val="single" w:sz="2" w:space="0" w:color="000000"/>
            </w:tcBorders>
            <w:vAlign w:val="center"/>
          </w:tcPr>
          <w:p w14:paraId="4F424193"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2056</w:t>
            </w:r>
          </w:p>
        </w:tc>
      </w:tr>
      <w:tr w:rsidR="004D4A28" w14:paraId="09299B03"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46555746" w14:textId="77777777" w:rsidR="004D4A28" w:rsidRPr="0015655F" w:rsidRDefault="004D4A28" w:rsidP="00361368">
            <w:pPr>
              <w:spacing w:line="259" w:lineRule="auto"/>
              <w:jc w:val="left"/>
            </w:pPr>
            <w:r w:rsidRPr="0015655F">
              <w:rPr>
                <w:sz w:val="18"/>
              </w:rPr>
              <w:t xml:space="preserve">Transport </w:t>
            </w:r>
          </w:p>
        </w:tc>
        <w:tc>
          <w:tcPr>
            <w:tcW w:w="78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020560"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122293</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9511C3"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132329</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D7302B"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141051</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5FC2A8"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142041</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BB6320"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133750</w:t>
            </w:r>
          </w:p>
        </w:tc>
        <w:tc>
          <w:tcPr>
            <w:tcW w:w="78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1D69006" w14:textId="77777777" w:rsidR="004D4A28" w:rsidRPr="000A390A" w:rsidRDefault="004D4A28" w:rsidP="00361368">
            <w:pPr>
              <w:spacing w:line="259" w:lineRule="auto"/>
              <w:ind w:left="58"/>
              <w:jc w:val="center"/>
              <w:rPr>
                <w:sz w:val="16"/>
                <w:szCs w:val="16"/>
              </w:rPr>
            </w:pPr>
            <w:r w:rsidRPr="00664108">
              <w:rPr>
                <w:rFonts w:asciiTheme="majorHAnsi" w:hAnsiTheme="majorHAnsi"/>
                <w:sz w:val="16"/>
                <w:szCs w:val="16"/>
              </w:rPr>
              <w:t>133744</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60285F" w14:textId="77777777" w:rsidR="004D4A28" w:rsidRDefault="004D4A28" w:rsidP="00361368">
            <w:pPr>
              <w:spacing w:line="259" w:lineRule="auto"/>
              <w:ind w:left="62"/>
              <w:jc w:val="center"/>
              <w:rPr>
                <w:rFonts w:ascii="Calibri" w:hAnsi="Calibri" w:cs="Calibri"/>
                <w:color w:val="000000"/>
                <w:sz w:val="20"/>
                <w:szCs w:val="20"/>
              </w:rPr>
            </w:pPr>
            <w:r w:rsidRPr="00664108">
              <w:rPr>
                <w:rFonts w:asciiTheme="majorHAnsi" w:hAnsiTheme="majorHAnsi"/>
                <w:sz w:val="16"/>
                <w:szCs w:val="16"/>
              </w:rPr>
              <w:t>131725</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F99775" w14:textId="77777777" w:rsidR="004D4A28" w:rsidRPr="000A390A" w:rsidRDefault="004D4A28" w:rsidP="00361368">
            <w:pPr>
              <w:spacing w:line="259" w:lineRule="auto"/>
              <w:ind w:left="62"/>
              <w:jc w:val="center"/>
              <w:rPr>
                <w:sz w:val="16"/>
                <w:szCs w:val="16"/>
              </w:rPr>
            </w:pPr>
            <w:r w:rsidRPr="00634E4C">
              <w:rPr>
                <w:rFonts w:asciiTheme="majorHAnsi" w:hAnsiTheme="majorHAnsi"/>
                <w:color w:val="000000"/>
                <w:sz w:val="16"/>
              </w:rPr>
              <w:t>126491</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344044" w14:textId="77777777" w:rsidR="004D4A28" w:rsidRPr="000A390A" w:rsidRDefault="004D4A28" w:rsidP="00361368">
            <w:pPr>
              <w:spacing w:line="259" w:lineRule="auto"/>
              <w:ind w:left="62"/>
              <w:jc w:val="center"/>
              <w:rPr>
                <w:sz w:val="16"/>
                <w:szCs w:val="16"/>
              </w:rPr>
            </w:pPr>
            <w:r w:rsidRPr="00634E4C">
              <w:rPr>
                <w:rFonts w:asciiTheme="majorHAnsi" w:hAnsiTheme="majorHAnsi"/>
                <w:color w:val="000000"/>
                <w:sz w:val="16"/>
              </w:rPr>
              <w:t>110958</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92459A" w14:textId="77777777" w:rsidR="004D4A28" w:rsidRPr="000A390A" w:rsidRDefault="004D4A28" w:rsidP="00361368">
            <w:pPr>
              <w:spacing w:line="259" w:lineRule="auto"/>
              <w:ind w:left="62"/>
              <w:jc w:val="center"/>
              <w:rPr>
                <w:sz w:val="16"/>
                <w:szCs w:val="16"/>
              </w:rPr>
            </w:pPr>
            <w:r w:rsidRPr="00634E4C">
              <w:rPr>
                <w:rFonts w:asciiTheme="majorHAnsi" w:hAnsiTheme="majorHAnsi"/>
                <w:color w:val="000000"/>
                <w:sz w:val="16"/>
              </w:rPr>
              <w:t>94288</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84D0B3" w14:textId="77777777" w:rsidR="004D4A28" w:rsidRPr="000A390A" w:rsidRDefault="004D4A28" w:rsidP="00361368">
            <w:pPr>
              <w:spacing w:line="259" w:lineRule="auto"/>
              <w:ind w:left="62"/>
              <w:jc w:val="center"/>
              <w:rPr>
                <w:sz w:val="16"/>
                <w:szCs w:val="16"/>
              </w:rPr>
            </w:pPr>
            <w:r w:rsidRPr="00634E4C">
              <w:rPr>
                <w:rFonts w:asciiTheme="majorHAnsi" w:hAnsiTheme="majorHAnsi"/>
                <w:color w:val="000000"/>
                <w:sz w:val="16"/>
              </w:rPr>
              <w:t>71522</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476639" w14:textId="77777777" w:rsidR="004D4A28" w:rsidRPr="000A390A" w:rsidRDefault="004D4A28" w:rsidP="00361368">
            <w:pPr>
              <w:spacing w:line="259" w:lineRule="auto"/>
              <w:ind w:left="62"/>
              <w:jc w:val="center"/>
              <w:rPr>
                <w:sz w:val="16"/>
                <w:szCs w:val="16"/>
              </w:rPr>
            </w:pPr>
            <w:r w:rsidRPr="00634E4C">
              <w:rPr>
                <w:rFonts w:asciiTheme="majorHAnsi" w:hAnsiTheme="majorHAnsi"/>
                <w:color w:val="000000"/>
                <w:sz w:val="16"/>
              </w:rPr>
              <w:t>3221</w:t>
            </w:r>
          </w:p>
        </w:tc>
      </w:tr>
      <w:tr w:rsidR="004D4A28" w14:paraId="1FC30C80" w14:textId="77777777" w:rsidTr="00361368">
        <w:trPr>
          <w:trHeight w:val="628"/>
        </w:trPr>
        <w:tc>
          <w:tcPr>
            <w:tcW w:w="1405" w:type="dxa"/>
            <w:tcBorders>
              <w:top w:val="single" w:sz="2" w:space="0" w:color="000000"/>
              <w:left w:val="single" w:sz="2" w:space="0" w:color="000000"/>
              <w:bottom w:val="single" w:sz="2" w:space="0" w:color="000000"/>
              <w:right w:val="single" w:sz="2" w:space="0" w:color="000000"/>
            </w:tcBorders>
          </w:tcPr>
          <w:p w14:paraId="1C2C70C6" w14:textId="77777777" w:rsidR="004D4A28" w:rsidRPr="0015655F" w:rsidRDefault="004D4A28" w:rsidP="00361368">
            <w:pPr>
              <w:spacing w:line="259" w:lineRule="auto"/>
              <w:jc w:val="left"/>
            </w:pPr>
            <w:r w:rsidRPr="0015655F">
              <w:rPr>
                <w:sz w:val="18"/>
              </w:rPr>
              <w:t xml:space="preserve">Autres secteurs </w:t>
            </w:r>
          </w:p>
          <w:p w14:paraId="6FEF159F" w14:textId="77777777" w:rsidR="004D4A28" w:rsidRPr="0015655F" w:rsidRDefault="004D4A28" w:rsidP="00361368">
            <w:pPr>
              <w:spacing w:line="259" w:lineRule="auto"/>
              <w:jc w:val="left"/>
            </w:pPr>
            <w:r w:rsidRPr="0015655F">
              <w:rPr>
                <w:sz w:val="18"/>
              </w:rPr>
              <w:t xml:space="preserve">(résidentiel, tertiaire, agriculture) </w:t>
            </w:r>
          </w:p>
        </w:tc>
        <w:tc>
          <w:tcPr>
            <w:tcW w:w="781" w:type="dxa"/>
            <w:tcBorders>
              <w:top w:val="single" w:sz="2" w:space="0" w:color="000000"/>
              <w:left w:val="single" w:sz="2" w:space="0" w:color="000000"/>
              <w:bottom w:val="single" w:sz="2" w:space="0" w:color="000000"/>
              <w:right w:val="single" w:sz="2" w:space="0" w:color="000000"/>
            </w:tcBorders>
            <w:vAlign w:val="center"/>
          </w:tcPr>
          <w:p w14:paraId="421D6FB8" w14:textId="77777777" w:rsidR="004D4A28" w:rsidRPr="000A390A" w:rsidRDefault="004D4A28" w:rsidP="00361368">
            <w:pPr>
              <w:spacing w:line="259" w:lineRule="auto"/>
              <w:ind w:left="58"/>
              <w:jc w:val="center"/>
              <w:rPr>
                <w:sz w:val="16"/>
                <w:szCs w:val="16"/>
              </w:rPr>
            </w:pPr>
            <w:r w:rsidRPr="00664108">
              <w:rPr>
                <w:rFonts w:asciiTheme="majorHAnsi" w:hAnsiTheme="majorHAnsi" w:cs="Calibri"/>
                <w:color w:val="000000"/>
                <w:sz w:val="16"/>
                <w:szCs w:val="16"/>
              </w:rPr>
              <w:t>102477</w:t>
            </w:r>
          </w:p>
        </w:tc>
        <w:tc>
          <w:tcPr>
            <w:tcW w:w="782" w:type="dxa"/>
            <w:tcBorders>
              <w:top w:val="single" w:sz="2" w:space="0" w:color="000000"/>
              <w:left w:val="single" w:sz="2" w:space="0" w:color="000000"/>
              <w:bottom w:val="single" w:sz="2" w:space="0" w:color="000000"/>
              <w:right w:val="single" w:sz="2" w:space="0" w:color="000000"/>
            </w:tcBorders>
            <w:vAlign w:val="center"/>
          </w:tcPr>
          <w:p w14:paraId="7E53C287" w14:textId="77777777" w:rsidR="004D4A28" w:rsidRPr="000A390A" w:rsidRDefault="004D4A28" w:rsidP="00361368">
            <w:pPr>
              <w:spacing w:line="259" w:lineRule="auto"/>
              <w:ind w:left="58"/>
              <w:jc w:val="center"/>
              <w:rPr>
                <w:sz w:val="16"/>
                <w:szCs w:val="16"/>
              </w:rPr>
            </w:pPr>
            <w:r w:rsidRPr="00664108">
              <w:rPr>
                <w:rFonts w:asciiTheme="majorHAnsi" w:hAnsiTheme="majorHAnsi" w:cs="Calibri"/>
                <w:color w:val="000000"/>
                <w:sz w:val="16"/>
                <w:szCs w:val="16"/>
              </w:rPr>
              <w:t>97525</w:t>
            </w:r>
          </w:p>
        </w:tc>
        <w:tc>
          <w:tcPr>
            <w:tcW w:w="782" w:type="dxa"/>
            <w:tcBorders>
              <w:top w:val="single" w:sz="2" w:space="0" w:color="000000"/>
              <w:left w:val="single" w:sz="2" w:space="0" w:color="000000"/>
              <w:bottom w:val="single" w:sz="2" w:space="0" w:color="000000"/>
              <w:right w:val="single" w:sz="2" w:space="0" w:color="000000"/>
            </w:tcBorders>
            <w:vAlign w:val="center"/>
          </w:tcPr>
          <w:p w14:paraId="6E5AA954" w14:textId="77777777" w:rsidR="004D4A28" w:rsidRPr="000A390A" w:rsidRDefault="004D4A28" w:rsidP="00361368">
            <w:pPr>
              <w:spacing w:line="259" w:lineRule="auto"/>
              <w:ind w:left="58"/>
              <w:jc w:val="center"/>
              <w:rPr>
                <w:sz w:val="16"/>
                <w:szCs w:val="16"/>
              </w:rPr>
            </w:pPr>
            <w:r w:rsidRPr="00664108">
              <w:rPr>
                <w:rFonts w:asciiTheme="majorHAnsi" w:hAnsiTheme="majorHAnsi" w:cs="Calibri"/>
                <w:color w:val="000000"/>
                <w:sz w:val="16"/>
                <w:szCs w:val="16"/>
              </w:rPr>
              <w:t>102881</w:t>
            </w:r>
          </w:p>
        </w:tc>
        <w:tc>
          <w:tcPr>
            <w:tcW w:w="782" w:type="dxa"/>
            <w:tcBorders>
              <w:top w:val="single" w:sz="2" w:space="0" w:color="000000"/>
              <w:left w:val="single" w:sz="2" w:space="0" w:color="000000"/>
              <w:bottom w:val="single" w:sz="2" w:space="0" w:color="000000"/>
              <w:right w:val="single" w:sz="2" w:space="0" w:color="000000"/>
            </w:tcBorders>
            <w:vAlign w:val="center"/>
          </w:tcPr>
          <w:p w14:paraId="271EF820" w14:textId="77777777" w:rsidR="004D4A28" w:rsidRPr="000A390A" w:rsidRDefault="004D4A28" w:rsidP="00361368">
            <w:pPr>
              <w:spacing w:line="259" w:lineRule="auto"/>
              <w:ind w:left="62"/>
              <w:jc w:val="center"/>
              <w:rPr>
                <w:sz w:val="16"/>
                <w:szCs w:val="16"/>
              </w:rPr>
            </w:pPr>
            <w:r w:rsidRPr="00664108">
              <w:rPr>
                <w:rFonts w:asciiTheme="majorHAnsi" w:hAnsiTheme="majorHAnsi" w:cs="Calibri"/>
                <w:color w:val="000000"/>
                <w:sz w:val="16"/>
                <w:szCs w:val="16"/>
              </w:rPr>
              <w:t>109388</w:t>
            </w:r>
          </w:p>
        </w:tc>
        <w:tc>
          <w:tcPr>
            <w:tcW w:w="782" w:type="dxa"/>
            <w:tcBorders>
              <w:top w:val="single" w:sz="2" w:space="0" w:color="000000"/>
              <w:left w:val="single" w:sz="2" w:space="0" w:color="000000"/>
              <w:bottom w:val="single" w:sz="2" w:space="0" w:color="000000"/>
              <w:right w:val="single" w:sz="2" w:space="0" w:color="000000"/>
            </w:tcBorders>
            <w:vAlign w:val="center"/>
          </w:tcPr>
          <w:p w14:paraId="6A2199CC" w14:textId="77777777" w:rsidR="004D4A28" w:rsidRPr="000A390A" w:rsidRDefault="004D4A28" w:rsidP="00361368">
            <w:pPr>
              <w:spacing w:line="259" w:lineRule="auto"/>
              <w:ind w:left="58"/>
              <w:jc w:val="center"/>
              <w:rPr>
                <w:sz w:val="16"/>
                <w:szCs w:val="16"/>
              </w:rPr>
            </w:pPr>
            <w:r w:rsidRPr="00664108">
              <w:rPr>
                <w:rFonts w:asciiTheme="majorHAnsi" w:hAnsiTheme="majorHAnsi" w:cs="Calibri"/>
                <w:color w:val="000000"/>
                <w:sz w:val="16"/>
                <w:szCs w:val="16"/>
              </w:rPr>
              <w:t>101722</w:t>
            </w:r>
          </w:p>
        </w:tc>
        <w:tc>
          <w:tcPr>
            <w:tcW w:w="781" w:type="dxa"/>
            <w:tcBorders>
              <w:top w:val="single" w:sz="2" w:space="0" w:color="000000"/>
              <w:left w:val="single" w:sz="2" w:space="0" w:color="000000"/>
              <w:bottom w:val="single" w:sz="2" w:space="0" w:color="000000"/>
              <w:right w:val="single" w:sz="2" w:space="0" w:color="000000"/>
            </w:tcBorders>
            <w:vAlign w:val="center"/>
          </w:tcPr>
          <w:p w14:paraId="26160D77" w14:textId="77777777" w:rsidR="004D4A28" w:rsidRPr="000A390A" w:rsidRDefault="004D4A28" w:rsidP="00361368">
            <w:pPr>
              <w:spacing w:line="259" w:lineRule="auto"/>
              <w:ind w:left="108"/>
              <w:jc w:val="center"/>
              <w:rPr>
                <w:sz w:val="16"/>
                <w:szCs w:val="16"/>
              </w:rPr>
            </w:pPr>
            <w:r w:rsidRPr="00664108">
              <w:rPr>
                <w:rFonts w:asciiTheme="majorHAnsi" w:hAnsiTheme="majorHAnsi" w:cs="Calibri"/>
                <w:color w:val="000000"/>
                <w:sz w:val="16"/>
                <w:szCs w:val="16"/>
              </w:rPr>
              <w:t>82940</w:t>
            </w:r>
          </w:p>
        </w:tc>
        <w:tc>
          <w:tcPr>
            <w:tcW w:w="782" w:type="dxa"/>
            <w:tcBorders>
              <w:top w:val="single" w:sz="2" w:space="0" w:color="000000"/>
              <w:left w:val="single" w:sz="2" w:space="0" w:color="000000"/>
              <w:bottom w:val="single" w:sz="2" w:space="0" w:color="000000"/>
              <w:right w:val="single" w:sz="2" w:space="0" w:color="000000"/>
            </w:tcBorders>
            <w:vAlign w:val="center"/>
          </w:tcPr>
          <w:p w14:paraId="370F465A" w14:textId="77777777" w:rsidR="004D4A28" w:rsidRDefault="004D4A28" w:rsidP="00361368">
            <w:pPr>
              <w:spacing w:line="259" w:lineRule="auto"/>
              <w:ind w:left="108"/>
              <w:jc w:val="center"/>
              <w:rPr>
                <w:rFonts w:ascii="Calibri" w:hAnsi="Calibri" w:cs="Calibri"/>
                <w:color w:val="000000"/>
                <w:sz w:val="20"/>
                <w:szCs w:val="20"/>
              </w:rPr>
            </w:pPr>
            <w:r w:rsidRPr="00664108">
              <w:rPr>
                <w:rFonts w:asciiTheme="majorHAnsi" w:hAnsiTheme="majorHAnsi" w:cs="Calibri"/>
                <w:color w:val="000000"/>
                <w:sz w:val="16"/>
                <w:szCs w:val="16"/>
              </w:rPr>
              <w:t>75877</w:t>
            </w:r>
          </w:p>
        </w:tc>
        <w:tc>
          <w:tcPr>
            <w:tcW w:w="782" w:type="dxa"/>
            <w:tcBorders>
              <w:top w:val="single" w:sz="2" w:space="0" w:color="000000"/>
              <w:left w:val="single" w:sz="2" w:space="0" w:color="000000"/>
              <w:bottom w:val="single" w:sz="2" w:space="0" w:color="000000"/>
              <w:right w:val="single" w:sz="2" w:space="0" w:color="000000"/>
            </w:tcBorders>
            <w:vAlign w:val="center"/>
          </w:tcPr>
          <w:p w14:paraId="600AC668"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83566</w:t>
            </w:r>
          </w:p>
        </w:tc>
        <w:tc>
          <w:tcPr>
            <w:tcW w:w="782" w:type="dxa"/>
            <w:tcBorders>
              <w:top w:val="single" w:sz="2" w:space="0" w:color="000000"/>
              <w:left w:val="single" w:sz="2" w:space="0" w:color="000000"/>
              <w:bottom w:val="single" w:sz="2" w:space="0" w:color="000000"/>
              <w:right w:val="single" w:sz="2" w:space="0" w:color="000000"/>
            </w:tcBorders>
            <w:vAlign w:val="center"/>
          </w:tcPr>
          <w:p w14:paraId="186A6A36"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68697</w:t>
            </w:r>
          </w:p>
        </w:tc>
        <w:tc>
          <w:tcPr>
            <w:tcW w:w="782" w:type="dxa"/>
            <w:tcBorders>
              <w:top w:val="single" w:sz="2" w:space="0" w:color="000000"/>
              <w:left w:val="single" w:sz="2" w:space="0" w:color="000000"/>
              <w:bottom w:val="single" w:sz="2" w:space="0" w:color="000000"/>
              <w:right w:val="single" w:sz="2" w:space="0" w:color="000000"/>
            </w:tcBorders>
            <w:vAlign w:val="center"/>
          </w:tcPr>
          <w:p w14:paraId="457958B5" w14:textId="77777777" w:rsidR="004D4A28" w:rsidRPr="000A390A" w:rsidRDefault="004D4A28" w:rsidP="00361368">
            <w:pPr>
              <w:spacing w:line="259" w:lineRule="auto"/>
              <w:ind w:left="113"/>
              <w:jc w:val="center"/>
              <w:rPr>
                <w:sz w:val="16"/>
                <w:szCs w:val="16"/>
              </w:rPr>
            </w:pPr>
            <w:r w:rsidRPr="00634E4C">
              <w:rPr>
                <w:rFonts w:asciiTheme="majorHAnsi" w:hAnsiTheme="majorHAnsi"/>
                <w:color w:val="000000"/>
                <w:sz w:val="16"/>
              </w:rPr>
              <w:t>49099</w:t>
            </w:r>
          </w:p>
        </w:tc>
        <w:tc>
          <w:tcPr>
            <w:tcW w:w="782" w:type="dxa"/>
            <w:tcBorders>
              <w:top w:val="single" w:sz="2" w:space="0" w:color="000000"/>
              <w:left w:val="single" w:sz="2" w:space="0" w:color="000000"/>
              <w:bottom w:val="single" w:sz="2" w:space="0" w:color="000000"/>
              <w:right w:val="single" w:sz="2" w:space="0" w:color="000000"/>
            </w:tcBorders>
            <w:vAlign w:val="center"/>
          </w:tcPr>
          <w:p w14:paraId="5B4CEF58"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37516</w:t>
            </w:r>
          </w:p>
        </w:tc>
        <w:tc>
          <w:tcPr>
            <w:tcW w:w="782" w:type="dxa"/>
            <w:tcBorders>
              <w:top w:val="single" w:sz="2" w:space="0" w:color="000000"/>
              <w:left w:val="single" w:sz="2" w:space="0" w:color="000000"/>
              <w:bottom w:val="single" w:sz="2" w:space="0" w:color="000000"/>
              <w:right w:val="single" w:sz="2" w:space="0" w:color="000000"/>
            </w:tcBorders>
            <w:vAlign w:val="center"/>
          </w:tcPr>
          <w:p w14:paraId="3186E9C6" w14:textId="77777777" w:rsidR="004D4A28" w:rsidRPr="000A390A" w:rsidRDefault="004D4A28" w:rsidP="00361368">
            <w:pPr>
              <w:spacing w:line="259" w:lineRule="auto"/>
              <w:ind w:left="108"/>
              <w:jc w:val="center"/>
              <w:rPr>
                <w:sz w:val="16"/>
                <w:szCs w:val="16"/>
              </w:rPr>
            </w:pPr>
            <w:r w:rsidRPr="00634E4C">
              <w:rPr>
                <w:rFonts w:asciiTheme="majorHAnsi" w:hAnsiTheme="majorHAnsi"/>
                <w:color w:val="000000"/>
                <w:sz w:val="16"/>
              </w:rPr>
              <w:t>2766</w:t>
            </w:r>
          </w:p>
        </w:tc>
      </w:tr>
      <w:tr w:rsidR="004D4A28" w14:paraId="7BEDE3C9"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18C34D7D" w14:textId="77777777" w:rsidR="004D4A28" w:rsidRPr="0015655F" w:rsidRDefault="004D4A28" w:rsidP="00361368">
            <w:pPr>
              <w:spacing w:line="259" w:lineRule="auto"/>
              <w:jc w:val="left"/>
            </w:pPr>
            <w:r w:rsidRPr="0015655F">
              <w:rPr>
                <w:b/>
                <w:sz w:val="18"/>
              </w:rPr>
              <w:t xml:space="preserve">Total énergie </w:t>
            </w:r>
          </w:p>
        </w:tc>
        <w:tc>
          <w:tcPr>
            <w:tcW w:w="78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8076B9" w14:textId="77777777" w:rsidR="004D4A28" w:rsidRPr="001B30C5" w:rsidRDefault="004D4A28" w:rsidP="00361368">
            <w:pPr>
              <w:spacing w:line="259" w:lineRule="auto"/>
              <w:jc w:val="center"/>
              <w:rPr>
                <w:b/>
                <w:sz w:val="16"/>
                <w:szCs w:val="16"/>
              </w:rPr>
            </w:pPr>
            <w:r w:rsidRPr="00664108">
              <w:rPr>
                <w:rFonts w:asciiTheme="majorHAnsi" w:hAnsiTheme="majorHAnsi"/>
                <w:b/>
                <w:sz w:val="16"/>
                <w:szCs w:val="16"/>
              </w:rPr>
              <w:t>367272</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576788" w14:textId="77777777" w:rsidR="004D4A28" w:rsidRPr="001B30C5" w:rsidRDefault="004D4A28" w:rsidP="00361368">
            <w:pPr>
              <w:spacing w:line="259" w:lineRule="auto"/>
              <w:jc w:val="center"/>
              <w:rPr>
                <w:b/>
                <w:sz w:val="16"/>
                <w:szCs w:val="16"/>
              </w:rPr>
            </w:pPr>
            <w:r w:rsidRPr="00664108">
              <w:rPr>
                <w:rFonts w:asciiTheme="majorHAnsi" w:hAnsiTheme="majorHAnsi"/>
                <w:b/>
                <w:sz w:val="16"/>
                <w:szCs w:val="16"/>
              </w:rPr>
              <w:t>366079</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22B9B74" w14:textId="77777777" w:rsidR="004D4A28" w:rsidRPr="001B30C5" w:rsidRDefault="004D4A28" w:rsidP="00361368">
            <w:pPr>
              <w:spacing w:line="259" w:lineRule="auto"/>
              <w:jc w:val="center"/>
              <w:rPr>
                <w:b/>
                <w:sz w:val="16"/>
                <w:szCs w:val="16"/>
              </w:rPr>
            </w:pPr>
            <w:r w:rsidRPr="00664108">
              <w:rPr>
                <w:rFonts w:asciiTheme="majorHAnsi" w:hAnsiTheme="majorHAnsi"/>
                <w:b/>
                <w:sz w:val="16"/>
                <w:szCs w:val="16"/>
              </w:rPr>
              <w:t>381989</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F7A32E" w14:textId="77777777" w:rsidR="004D4A28" w:rsidRPr="001B30C5" w:rsidRDefault="004D4A28" w:rsidP="00361368">
            <w:pPr>
              <w:spacing w:line="259" w:lineRule="auto"/>
              <w:jc w:val="center"/>
              <w:rPr>
                <w:b/>
                <w:sz w:val="16"/>
                <w:szCs w:val="16"/>
              </w:rPr>
            </w:pPr>
            <w:r w:rsidRPr="00664108">
              <w:rPr>
                <w:rFonts w:asciiTheme="majorHAnsi" w:hAnsiTheme="majorHAnsi"/>
                <w:b/>
                <w:sz w:val="16"/>
                <w:szCs w:val="16"/>
              </w:rPr>
              <w:t>390391</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3C0715" w14:textId="77777777" w:rsidR="004D4A28" w:rsidRPr="001B30C5" w:rsidRDefault="004D4A28" w:rsidP="00361368">
            <w:pPr>
              <w:spacing w:line="259" w:lineRule="auto"/>
              <w:jc w:val="center"/>
              <w:rPr>
                <w:b/>
                <w:sz w:val="16"/>
                <w:szCs w:val="16"/>
              </w:rPr>
            </w:pPr>
            <w:r w:rsidRPr="00664108">
              <w:rPr>
                <w:rFonts w:asciiTheme="majorHAnsi" w:hAnsiTheme="majorHAnsi"/>
                <w:b/>
                <w:sz w:val="16"/>
                <w:szCs w:val="16"/>
              </w:rPr>
              <w:t>357711</w:t>
            </w:r>
          </w:p>
        </w:tc>
        <w:tc>
          <w:tcPr>
            <w:tcW w:w="78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E895B5" w14:textId="77777777" w:rsidR="004D4A28" w:rsidRPr="001B30C5" w:rsidRDefault="004D4A28" w:rsidP="00361368">
            <w:pPr>
              <w:spacing w:line="259" w:lineRule="auto"/>
              <w:jc w:val="center"/>
              <w:rPr>
                <w:b/>
                <w:sz w:val="16"/>
                <w:szCs w:val="16"/>
              </w:rPr>
            </w:pPr>
            <w:r w:rsidRPr="00664108">
              <w:rPr>
                <w:rFonts w:asciiTheme="majorHAnsi" w:hAnsiTheme="majorHAnsi"/>
                <w:b/>
                <w:sz w:val="16"/>
                <w:szCs w:val="16"/>
              </w:rPr>
              <w:t>313634</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C41BDE" w14:textId="77777777" w:rsidR="004D4A28" w:rsidRPr="001B30C5" w:rsidRDefault="004D4A28" w:rsidP="00361368">
            <w:pPr>
              <w:spacing w:line="259" w:lineRule="auto"/>
              <w:jc w:val="center"/>
              <w:rPr>
                <w:rFonts w:ascii="Calibri" w:hAnsi="Calibri" w:cs="Calibri"/>
                <w:b/>
                <w:color w:val="000000"/>
                <w:sz w:val="20"/>
                <w:szCs w:val="20"/>
              </w:rPr>
            </w:pPr>
            <w:r w:rsidRPr="00664108">
              <w:rPr>
                <w:rFonts w:asciiTheme="majorHAnsi" w:hAnsiTheme="majorHAnsi"/>
                <w:b/>
                <w:sz w:val="16"/>
                <w:szCs w:val="16"/>
              </w:rPr>
              <w:t>297313</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6DE8B1" w14:textId="77777777" w:rsidR="004D4A28" w:rsidRPr="001B30C5" w:rsidRDefault="004D4A28" w:rsidP="00361368">
            <w:pPr>
              <w:spacing w:line="259" w:lineRule="auto"/>
              <w:jc w:val="center"/>
              <w:rPr>
                <w:b/>
                <w:sz w:val="16"/>
                <w:szCs w:val="16"/>
              </w:rPr>
            </w:pPr>
            <w:r w:rsidRPr="00634E4C">
              <w:rPr>
                <w:rFonts w:asciiTheme="majorHAnsi" w:hAnsiTheme="majorHAnsi"/>
                <w:b/>
                <w:color w:val="000000"/>
                <w:sz w:val="16"/>
              </w:rPr>
              <w:t>305017</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84AE5D" w14:textId="77777777" w:rsidR="004D4A28" w:rsidRPr="001B30C5" w:rsidRDefault="004D4A28" w:rsidP="00361368">
            <w:pPr>
              <w:spacing w:line="259" w:lineRule="auto"/>
              <w:jc w:val="center"/>
              <w:rPr>
                <w:b/>
                <w:sz w:val="16"/>
                <w:szCs w:val="16"/>
              </w:rPr>
            </w:pPr>
            <w:r w:rsidRPr="00634E4C">
              <w:rPr>
                <w:rFonts w:asciiTheme="majorHAnsi" w:hAnsiTheme="majorHAnsi"/>
                <w:b/>
                <w:color w:val="000000"/>
                <w:sz w:val="16"/>
              </w:rPr>
              <w:t>253350</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21D405" w14:textId="77777777" w:rsidR="004D4A28" w:rsidRPr="001B30C5" w:rsidRDefault="004D4A28" w:rsidP="00361368">
            <w:pPr>
              <w:spacing w:line="259" w:lineRule="auto"/>
              <w:jc w:val="center"/>
              <w:rPr>
                <w:b/>
                <w:sz w:val="16"/>
                <w:szCs w:val="16"/>
              </w:rPr>
            </w:pPr>
            <w:r w:rsidRPr="00634E4C">
              <w:rPr>
                <w:rFonts w:asciiTheme="majorHAnsi" w:hAnsiTheme="majorHAnsi"/>
                <w:b/>
                <w:color w:val="000000"/>
                <w:sz w:val="16"/>
              </w:rPr>
              <w:t>203515</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CF7A10" w14:textId="77777777" w:rsidR="004D4A28" w:rsidRPr="001B30C5" w:rsidRDefault="004D4A28" w:rsidP="00361368">
            <w:pPr>
              <w:spacing w:line="259" w:lineRule="auto"/>
              <w:jc w:val="center"/>
              <w:rPr>
                <w:b/>
                <w:sz w:val="16"/>
                <w:szCs w:val="16"/>
              </w:rPr>
            </w:pPr>
            <w:r w:rsidRPr="00634E4C">
              <w:rPr>
                <w:rFonts w:asciiTheme="majorHAnsi" w:hAnsiTheme="majorHAnsi"/>
                <w:b/>
                <w:color w:val="000000"/>
                <w:sz w:val="16"/>
              </w:rPr>
              <w:t>151385</w:t>
            </w:r>
          </w:p>
        </w:tc>
        <w:tc>
          <w:tcPr>
            <w:tcW w:w="7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8AA522" w14:textId="77777777" w:rsidR="004D4A28" w:rsidRPr="001B30C5" w:rsidRDefault="004D4A28" w:rsidP="00361368">
            <w:pPr>
              <w:spacing w:line="259" w:lineRule="auto"/>
              <w:ind w:left="58"/>
              <w:jc w:val="center"/>
              <w:rPr>
                <w:b/>
                <w:sz w:val="16"/>
                <w:szCs w:val="16"/>
              </w:rPr>
            </w:pPr>
            <w:r w:rsidRPr="00634E4C">
              <w:rPr>
                <w:rFonts w:asciiTheme="majorHAnsi" w:hAnsiTheme="majorHAnsi"/>
                <w:b/>
                <w:color w:val="000000"/>
                <w:sz w:val="16"/>
              </w:rPr>
              <w:t>-5007</w:t>
            </w:r>
          </w:p>
        </w:tc>
      </w:tr>
    </w:tbl>
    <w:p w14:paraId="70489F6F" w14:textId="77777777" w:rsidR="004D4A28" w:rsidRDefault="004D4A28" w:rsidP="004D4A28">
      <w:pPr>
        <w:pStyle w:val="Default"/>
        <w:rPr>
          <w:sz w:val="16"/>
          <w:szCs w:val="16"/>
        </w:rPr>
      </w:pPr>
      <w:r>
        <w:rPr>
          <w:i/>
          <w:iCs/>
          <w:sz w:val="16"/>
          <w:szCs w:val="16"/>
        </w:rPr>
        <w:t xml:space="preserve">Lecture du tableau : Industrie de l’énergie = catégorie CRF1A1 et 1B ; industrie manufacturière et construction = catégorie CRF1A2 ; transports = catégorie CRF 1A3 ; autres secteurs = catégorie CRF 1A4 et 1A5. </w:t>
      </w:r>
    </w:p>
    <w:p w14:paraId="2D196AA0" w14:textId="77777777" w:rsidR="004D4A28" w:rsidRDefault="004D4A28" w:rsidP="004D4A28">
      <w:pPr>
        <w:pStyle w:val="Caption"/>
      </w:pPr>
      <w:bookmarkStart w:id="143" w:name="_Toc123916508"/>
      <w:r>
        <w:t xml:space="preserve">Tableau </w:t>
      </w:r>
      <w:r w:rsidR="00757301">
        <w:fldChar w:fldCharType="begin"/>
      </w:r>
      <w:r w:rsidR="00757301">
        <w:instrText xml:space="preserve"> SEQ Tableau \* ARABIC </w:instrText>
      </w:r>
      <w:r w:rsidR="00757301">
        <w:fldChar w:fldCharType="separate"/>
      </w:r>
      <w:r>
        <w:rPr>
          <w:noProof/>
        </w:rPr>
        <w:t>16</w:t>
      </w:r>
      <w:r w:rsidR="00757301">
        <w:rPr>
          <w:noProof/>
        </w:rPr>
        <w:fldChar w:fldCharType="end"/>
      </w:r>
      <w:r>
        <w:t xml:space="preserve"> : </w:t>
      </w:r>
      <w:r w:rsidRPr="00BA4A6C">
        <w:t xml:space="preserve">Détail des catégories du secteur énergie (en </w:t>
      </w:r>
      <w:r w:rsidRPr="00590551">
        <w:t>kt</w:t>
      </w:r>
      <w:r>
        <w:t>CO</w:t>
      </w:r>
      <w:r w:rsidRPr="007F09F7">
        <w:rPr>
          <w:vertAlign w:val="subscript"/>
        </w:rPr>
        <w:t>2</w:t>
      </w:r>
      <w:r w:rsidRPr="004F1EC8">
        <w:rPr>
          <w:vertAlign w:val="subscript"/>
        </w:rPr>
        <w:t>e</w:t>
      </w:r>
      <w:r w:rsidRPr="00BA4A6C">
        <w:t xml:space="preserve">) au périmètre Kyoto dans le scénario </w:t>
      </w:r>
      <w:r>
        <w:t xml:space="preserve">AMS 2018 </w:t>
      </w:r>
      <w:r w:rsidRPr="00BA4A6C">
        <w:t xml:space="preserve">(avec mesures </w:t>
      </w:r>
      <w:r>
        <w:t>supplémentaires)</w:t>
      </w:r>
      <w:bookmarkEnd w:id="143"/>
    </w:p>
    <w:p w14:paraId="431C34FF" w14:textId="77777777" w:rsidR="004D4A28" w:rsidRDefault="004D4A28" w:rsidP="004D4A28">
      <w:pPr>
        <w:pStyle w:val="Caption"/>
      </w:pPr>
      <w:r w:rsidRPr="00C244FC">
        <w:t xml:space="preserve">Source : Inventaire CNUCC, Citepa/MTES, soumission </w:t>
      </w:r>
      <w:r>
        <w:t>2022</w:t>
      </w:r>
      <w:r w:rsidRPr="00C244FC">
        <w:t xml:space="preserve"> et projections d’émissions MTES, 20</w:t>
      </w:r>
      <w:r>
        <w:t>18</w:t>
      </w:r>
    </w:p>
    <w:p w14:paraId="2C29EF4F" w14:textId="77777777" w:rsidR="004D4A28" w:rsidRDefault="004D4A28" w:rsidP="004D4A28"/>
    <w:p w14:paraId="5FCE66EA" w14:textId="77777777" w:rsidR="004D4A28" w:rsidRDefault="004D4A28" w:rsidP="004D4A28">
      <w:pPr>
        <w:rPr>
          <w:szCs w:val="21"/>
        </w:rPr>
      </w:pPr>
    </w:p>
    <w:p w14:paraId="0C4F0836" w14:textId="77777777" w:rsidR="004D4A28" w:rsidRDefault="004D4A28" w:rsidP="004D4A28">
      <w:pPr>
        <w:pStyle w:val="Caption"/>
        <w:jc w:val="center"/>
      </w:pPr>
      <w:bookmarkStart w:id="144" w:name="_Toc123916468"/>
      <w:r>
        <w:rPr>
          <w:noProof/>
        </w:rPr>
        <w:drawing>
          <wp:inline distT="0" distB="0" distL="0" distR="0" wp14:anchorId="0CB02DC1" wp14:editId="5DD7E9E7">
            <wp:extent cx="5630333" cy="2743200"/>
            <wp:effectExtent l="0" t="0" r="8890" b="0"/>
            <wp:docPr id="28713" name="Graphique 28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FAB3FE"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57</w:t>
      </w:r>
      <w:r w:rsidR="00757301">
        <w:rPr>
          <w:noProof/>
        </w:rPr>
        <w:fldChar w:fldCharType="end"/>
      </w:r>
      <w:r>
        <w:t xml:space="preserve"> : </w:t>
      </w:r>
      <w:r w:rsidRPr="00BA4A6C">
        <w:t>Détail des catégories du secteur énergie en kt</w:t>
      </w:r>
      <w:r>
        <w:t>CO</w:t>
      </w:r>
      <w:r w:rsidRPr="007F09F7">
        <w:rPr>
          <w:vertAlign w:val="subscript"/>
        </w:rPr>
        <w:t>2</w:t>
      </w:r>
      <w:r w:rsidRPr="004F1EC8">
        <w:rPr>
          <w:vertAlign w:val="subscript"/>
        </w:rPr>
        <w:t>e</w:t>
      </w:r>
      <w:r w:rsidRPr="00BA4A6C">
        <w:t xml:space="preserve">, au </w:t>
      </w:r>
      <w:r>
        <w:t>périmètre</w:t>
      </w:r>
      <w:r w:rsidRPr="00BA4A6C">
        <w:t xml:space="preserve"> Kyoto, scénario </w:t>
      </w:r>
      <w:r>
        <w:t>AMS 2018</w:t>
      </w:r>
      <w:bookmarkEnd w:id="144"/>
    </w:p>
    <w:p w14:paraId="02D7EFD8" w14:textId="77777777" w:rsidR="004D4A28" w:rsidRDefault="004D4A28" w:rsidP="004D4A28">
      <w:pPr>
        <w:pStyle w:val="Caption"/>
        <w:rPr>
          <w:szCs w:val="21"/>
        </w:rPr>
      </w:pPr>
      <w:r w:rsidRPr="00BA4A6C">
        <w:t xml:space="preserve">Source : Inventaire CNUCC, Citepa/MTES, soumission </w:t>
      </w:r>
      <w:r>
        <w:t>2022</w:t>
      </w:r>
      <w:r w:rsidRPr="00BA4A6C">
        <w:t xml:space="preserve"> et projections d’émissions MTES, 20</w:t>
      </w:r>
      <w:r>
        <w:t>18</w:t>
      </w:r>
    </w:p>
    <w:p w14:paraId="3118D968" w14:textId="77777777" w:rsidR="004D4A28" w:rsidRPr="00E0671D" w:rsidRDefault="004D4A28" w:rsidP="004D4A28"/>
    <w:p w14:paraId="21593D82" w14:textId="77777777" w:rsidR="004D4A28" w:rsidRPr="00BA4A6C" w:rsidRDefault="004D4A28" w:rsidP="00573042">
      <w:pPr>
        <w:pStyle w:val="Titre3Niveau3"/>
        <w:numPr>
          <w:ilvl w:val="1"/>
          <w:numId w:val="59"/>
        </w:numPr>
        <w:spacing w:before="480" w:after="240" w:line="240" w:lineRule="exact"/>
        <w:ind w:right="1701"/>
      </w:pPr>
      <w:bookmarkStart w:id="145" w:name="_Toc123916326"/>
      <w:bookmarkStart w:id="146" w:name="_Toc138344615"/>
      <w:r>
        <w:t>Évolution par gaz</w:t>
      </w:r>
      <w:bookmarkEnd w:id="145"/>
      <w:bookmarkEnd w:id="146"/>
    </w:p>
    <w:p w14:paraId="77995CB8" w14:textId="77777777" w:rsidR="004D4A28" w:rsidRPr="00E0671D" w:rsidRDefault="004D4A28" w:rsidP="004D4A28">
      <w:pPr>
        <w:rPr>
          <w:szCs w:val="21"/>
        </w:rPr>
      </w:pPr>
      <w:r w:rsidRPr="00167D47">
        <w:rPr>
          <w:szCs w:val="21"/>
        </w:rPr>
        <w:t>Conformément aux lignes directrices de la CCNUCC, les évolutions des émissions par gaz sont présentées dans les tableaux et graphiques ci-dessous (globalement puis par secteur).</w:t>
      </w:r>
    </w:p>
    <w:p w14:paraId="5186FD66" w14:textId="77777777" w:rsidR="004D4A28" w:rsidRDefault="004D4A28" w:rsidP="00573042">
      <w:pPr>
        <w:pStyle w:val="Titre4niveau4"/>
        <w:numPr>
          <w:ilvl w:val="2"/>
          <w:numId w:val="59"/>
        </w:numPr>
        <w:spacing w:before="240"/>
      </w:pPr>
      <w:r w:rsidRPr="001E34E8">
        <w:t>Évolutions globales</w:t>
      </w:r>
    </w:p>
    <w:p w14:paraId="42B403F4" w14:textId="77777777" w:rsidR="004D4A28" w:rsidRDefault="004D4A28" w:rsidP="00573042">
      <w:pPr>
        <w:pStyle w:val="titreencadre"/>
        <w:numPr>
          <w:ilvl w:val="3"/>
          <w:numId w:val="59"/>
        </w:numPr>
        <w:spacing w:before="120" w:after="60" w:line="240" w:lineRule="auto"/>
      </w:pPr>
      <w:r>
        <w:t>AME 2021</w:t>
      </w:r>
    </w:p>
    <w:tbl>
      <w:tblPr>
        <w:tblStyle w:val="TableGrid0"/>
        <w:tblW w:w="9937" w:type="dxa"/>
        <w:tblInd w:w="7" w:type="dxa"/>
        <w:tblCellMar>
          <w:top w:w="106" w:type="dxa"/>
          <w:left w:w="27" w:type="dxa"/>
        </w:tblCellMar>
        <w:tblLook w:val="04A0" w:firstRow="1" w:lastRow="0" w:firstColumn="1" w:lastColumn="0" w:noHBand="0" w:noVBand="1"/>
      </w:tblPr>
      <w:tblGrid>
        <w:gridCol w:w="868"/>
        <w:gridCol w:w="755"/>
        <w:gridCol w:w="756"/>
        <w:gridCol w:w="756"/>
        <w:gridCol w:w="756"/>
        <w:gridCol w:w="755"/>
        <w:gridCol w:w="756"/>
        <w:gridCol w:w="756"/>
        <w:gridCol w:w="756"/>
        <w:gridCol w:w="755"/>
        <w:gridCol w:w="756"/>
        <w:gridCol w:w="756"/>
        <w:gridCol w:w="756"/>
      </w:tblGrid>
      <w:tr w:rsidR="004D4A28" w14:paraId="071D58EC" w14:textId="77777777" w:rsidTr="00361368">
        <w:trPr>
          <w:trHeight w:val="401"/>
        </w:trPr>
        <w:tc>
          <w:tcPr>
            <w:tcW w:w="868" w:type="dxa"/>
            <w:tcBorders>
              <w:top w:val="single" w:sz="2" w:space="0" w:color="000000"/>
              <w:left w:val="single" w:sz="2" w:space="0" w:color="000000"/>
              <w:bottom w:val="single" w:sz="2" w:space="0" w:color="000000"/>
              <w:right w:val="single" w:sz="2" w:space="0" w:color="000000"/>
            </w:tcBorders>
            <w:shd w:val="clear" w:color="auto" w:fill="6D2A78"/>
          </w:tcPr>
          <w:p w14:paraId="0F086F93" w14:textId="77777777" w:rsidR="004D4A28" w:rsidRPr="00E8711A" w:rsidRDefault="004D4A28" w:rsidP="00361368">
            <w:pPr>
              <w:spacing w:line="259" w:lineRule="auto"/>
              <w:rPr>
                <w:b/>
              </w:rPr>
            </w:pPr>
            <w:bookmarkStart w:id="147" w:name="OLE_LINK46"/>
            <w:r>
              <w:rPr>
                <w:b/>
                <w:color w:val="FFFFFF" w:themeColor="background1"/>
              </w:rPr>
              <w:t>AME</w:t>
            </w:r>
            <w:r w:rsidRPr="00E8711A">
              <w:rPr>
                <w:b/>
                <w:color w:val="FFFFFF" w:themeColor="background1"/>
              </w:rPr>
              <w:t xml:space="preserve"> </w:t>
            </w:r>
            <w:r>
              <w:rPr>
                <w:b/>
                <w:color w:val="FFFFFF" w:themeColor="background1"/>
              </w:rPr>
              <w:t>2021</w:t>
            </w:r>
          </w:p>
        </w:tc>
        <w:tc>
          <w:tcPr>
            <w:tcW w:w="755" w:type="dxa"/>
            <w:tcBorders>
              <w:top w:val="single" w:sz="2" w:space="0" w:color="000000"/>
              <w:left w:val="single" w:sz="2" w:space="0" w:color="000000"/>
              <w:bottom w:val="single" w:sz="2" w:space="0" w:color="000000"/>
              <w:right w:val="single" w:sz="2" w:space="0" w:color="000000"/>
            </w:tcBorders>
            <w:shd w:val="clear" w:color="auto" w:fill="6D2A78"/>
          </w:tcPr>
          <w:p w14:paraId="51AD1C43" w14:textId="77777777" w:rsidR="004D4A28" w:rsidRDefault="004D4A28" w:rsidP="00361368">
            <w:pPr>
              <w:spacing w:line="259" w:lineRule="auto"/>
              <w:ind w:right="23"/>
              <w:jc w:val="center"/>
            </w:pPr>
            <w:r>
              <w:rPr>
                <w:b/>
                <w:color w:val="FFFFFF"/>
                <w:sz w:val="18"/>
              </w:rPr>
              <w:t xml:space="preserve">1990 </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79222994" w14:textId="77777777" w:rsidR="004D4A28" w:rsidRDefault="004D4A28" w:rsidP="00361368">
            <w:pPr>
              <w:spacing w:line="259" w:lineRule="auto"/>
              <w:ind w:right="26"/>
              <w:jc w:val="center"/>
              <w:rPr>
                <w:b/>
                <w:color w:val="FFFFFF"/>
                <w:sz w:val="18"/>
              </w:rPr>
            </w:pPr>
            <w:r>
              <w:rPr>
                <w:b/>
                <w:color w:val="FFFFFF"/>
                <w:sz w:val="18"/>
              </w:rPr>
              <w:t>1995</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2EA1FA8B" w14:textId="77777777" w:rsidR="004D4A28" w:rsidRDefault="004D4A28" w:rsidP="00361368">
            <w:pPr>
              <w:spacing w:line="259" w:lineRule="auto"/>
              <w:ind w:right="26"/>
              <w:jc w:val="center"/>
            </w:pPr>
            <w:r>
              <w:rPr>
                <w:b/>
                <w:color w:val="FFFFFF"/>
                <w:sz w:val="18"/>
              </w:rPr>
              <w:t xml:space="preserve">2000 </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17157001" w14:textId="77777777" w:rsidR="004D4A28" w:rsidRDefault="004D4A28" w:rsidP="00361368">
            <w:pPr>
              <w:spacing w:line="259" w:lineRule="auto"/>
              <w:ind w:right="23"/>
              <w:jc w:val="center"/>
            </w:pPr>
            <w:r>
              <w:rPr>
                <w:b/>
                <w:color w:val="FFFFFF"/>
                <w:sz w:val="18"/>
              </w:rPr>
              <w:t xml:space="preserve">2005 </w:t>
            </w:r>
          </w:p>
        </w:tc>
        <w:tc>
          <w:tcPr>
            <w:tcW w:w="755" w:type="dxa"/>
            <w:tcBorders>
              <w:top w:val="single" w:sz="2" w:space="0" w:color="000000"/>
              <w:left w:val="single" w:sz="2" w:space="0" w:color="000000"/>
              <w:bottom w:val="single" w:sz="2" w:space="0" w:color="000000"/>
              <w:right w:val="single" w:sz="2" w:space="0" w:color="000000"/>
            </w:tcBorders>
            <w:shd w:val="clear" w:color="auto" w:fill="6D2A78"/>
          </w:tcPr>
          <w:p w14:paraId="2C76911C" w14:textId="77777777" w:rsidR="004D4A28" w:rsidRDefault="004D4A28" w:rsidP="00361368">
            <w:pPr>
              <w:spacing w:line="259" w:lineRule="auto"/>
              <w:ind w:right="26"/>
              <w:jc w:val="center"/>
            </w:pPr>
            <w:r>
              <w:rPr>
                <w:b/>
                <w:color w:val="FFFFFF"/>
                <w:sz w:val="18"/>
              </w:rPr>
              <w:t xml:space="preserve">2010 </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5BA9A23B" w14:textId="77777777" w:rsidR="004D4A28" w:rsidRDefault="004D4A28" w:rsidP="00361368">
            <w:pPr>
              <w:spacing w:line="259" w:lineRule="auto"/>
              <w:ind w:right="23"/>
              <w:jc w:val="center"/>
            </w:pPr>
            <w:r>
              <w:rPr>
                <w:b/>
                <w:color w:val="FFFFFF"/>
                <w:sz w:val="18"/>
              </w:rPr>
              <w:t xml:space="preserve">2015 </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15C1A114" w14:textId="77777777" w:rsidR="004D4A28" w:rsidRDefault="004D4A28" w:rsidP="00361368">
            <w:pPr>
              <w:spacing w:line="259" w:lineRule="auto"/>
              <w:ind w:right="26"/>
              <w:jc w:val="center"/>
              <w:rPr>
                <w:b/>
                <w:color w:val="FFFFFF"/>
                <w:sz w:val="18"/>
              </w:rPr>
            </w:pPr>
            <w:r>
              <w:rPr>
                <w:b/>
                <w:color w:val="FFFFFF"/>
                <w:sz w:val="18"/>
              </w:rPr>
              <w:t>2019</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404D4878" w14:textId="77777777" w:rsidR="004D4A28" w:rsidRDefault="004D4A28" w:rsidP="00361368">
            <w:pPr>
              <w:spacing w:line="259" w:lineRule="auto"/>
              <w:ind w:right="26"/>
              <w:jc w:val="center"/>
            </w:pPr>
            <w:r>
              <w:rPr>
                <w:b/>
                <w:color w:val="FFFFFF"/>
                <w:sz w:val="18"/>
              </w:rPr>
              <w:t xml:space="preserve">2020 </w:t>
            </w:r>
          </w:p>
        </w:tc>
        <w:tc>
          <w:tcPr>
            <w:tcW w:w="755" w:type="dxa"/>
            <w:tcBorders>
              <w:top w:val="single" w:sz="2" w:space="0" w:color="000000"/>
              <w:left w:val="single" w:sz="2" w:space="0" w:color="000000"/>
              <w:bottom w:val="single" w:sz="2" w:space="0" w:color="000000"/>
              <w:right w:val="single" w:sz="2" w:space="0" w:color="000000"/>
            </w:tcBorders>
            <w:shd w:val="clear" w:color="auto" w:fill="6D2A78"/>
          </w:tcPr>
          <w:p w14:paraId="6FE1F304" w14:textId="77777777" w:rsidR="004D4A28" w:rsidRDefault="004D4A28" w:rsidP="00361368">
            <w:pPr>
              <w:spacing w:line="259" w:lineRule="auto"/>
              <w:ind w:right="23"/>
              <w:jc w:val="center"/>
            </w:pPr>
            <w:r>
              <w:rPr>
                <w:b/>
                <w:color w:val="FFFFFF"/>
                <w:sz w:val="18"/>
              </w:rPr>
              <w:t xml:space="preserve">2025 </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4A34CEF9" w14:textId="77777777" w:rsidR="004D4A28" w:rsidRDefault="004D4A28" w:rsidP="00361368">
            <w:pPr>
              <w:spacing w:line="259" w:lineRule="auto"/>
              <w:ind w:right="26"/>
              <w:jc w:val="center"/>
            </w:pPr>
            <w:r>
              <w:rPr>
                <w:b/>
                <w:color w:val="FFFFFF"/>
                <w:sz w:val="18"/>
              </w:rPr>
              <w:t xml:space="preserve">2030 </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66F4FD4C" w14:textId="77777777" w:rsidR="004D4A28" w:rsidRDefault="004D4A28" w:rsidP="00361368">
            <w:pPr>
              <w:spacing w:line="259" w:lineRule="auto"/>
              <w:ind w:right="23"/>
              <w:jc w:val="center"/>
            </w:pPr>
            <w:r>
              <w:rPr>
                <w:b/>
                <w:color w:val="FFFFFF"/>
                <w:sz w:val="18"/>
              </w:rPr>
              <w:t xml:space="preserve">2035 </w:t>
            </w:r>
          </w:p>
        </w:tc>
        <w:tc>
          <w:tcPr>
            <w:tcW w:w="756" w:type="dxa"/>
            <w:tcBorders>
              <w:top w:val="single" w:sz="2" w:space="0" w:color="000000"/>
              <w:left w:val="single" w:sz="2" w:space="0" w:color="000000"/>
              <w:bottom w:val="single" w:sz="2" w:space="0" w:color="000000"/>
              <w:right w:val="single" w:sz="2" w:space="0" w:color="000000"/>
            </w:tcBorders>
            <w:shd w:val="clear" w:color="auto" w:fill="6D2A78"/>
          </w:tcPr>
          <w:p w14:paraId="5FA63A74" w14:textId="77777777" w:rsidR="004D4A28" w:rsidRDefault="004D4A28" w:rsidP="00361368">
            <w:pPr>
              <w:spacing w:line="259" w:lineRule="auto"/>
              <w:ind w:right="23"/>
              <w:jc w:val="center"/>
              <w:rPr>
                <w:b/>
                <w:color w:val="FFFFFF"/>
                <w:sz w:val="18"/>
              </w:rPr>
            </w:pPr>
            <w:r>
              <w:rPr>
                <w:b/>
                <w:color w:val="FFFFFF"/>
                <w:sz w:val="18"/>
              </w:rPr>
              <w:t>2050</w:t>
            </w:r>
          </w:p>
        </w:tc>
      </w:tr>
      <w:tr w:rsidR="004D4A28" w14:paraId="463BC97D" w14:textId="77777777" w:rsidTr="00361368">
        <w:trPr>
          <w:trHeight w:val="401"/>
        </w:trPr>
        <w:tc>
          <w:tcPr>
            <w:tcW w:w="868" w:type="dxa"/>
            <w:tcBorders>
              <w:top w:val="single" w:sz="2" w:space="0" w:color="000000"/>
              <w:left w:val="single" w:sz="2" w:space="0" w:color="000000"/>
              <w:bottom w:val="single" w:sz="2" w:space="0" w:color="000000"/>
              <w:right w:val="single" w:sz="2" w:space="0" w:color="000000"/>
            </w:tcBorders>
            <w:shd w:val="clear" w:color="auto" w:fill="6D2A78"/>
          </w:tcPr>
          <w:p w14:paraId="0BE914FA" w14:textId="77777777" w:rsidR="004D4A28" w:rsidRPr="00AA2B36" w:rsidRDefault="004D4A28" w:rsidP="00361368">
            <w:pPr>
              <w:spacing w:line="259" w:lineRule="auto"/>
              <w:rPr>
                <w:color w:val="FFFFFF" w:themeColor="background1"/>
              </w:rPr>
            </w:pPr>
            <w:r w:rsidRPr="00365886">
              <w:rPr>
                <w:color w:val="FFFFFF" w:themeColor="background1"/>
              </w:rPr>
              <w:t>kt</w:t>
            </w:r>
            <w:r w:rsidRPr="00AA2B36">
              <w:rPr>
                <w:color w:val="FFFFFF" w:themeColor="background1"/>
              </w:rPr>
              <w:t>CO</w:t>
            </w:r>
            <w:r w:rsidRPr="00AA2B36">
              <w:rPr>
                <w:color w:val="FFFFFF" w:themeColor="background1"/>
                <w:vertAlign w:val="subscript"/>
              </w:rPr>
              <w:t>2</w:t>
            </w:r>
            <w:r w:rsidRPr="00365886">
              <w:rPr>
                <w:color w:val="FFFFFF" w:themeColor="background1"/>
                <w:vertAlign w:val="subscript"/>
              </w:rPr>
              <w:t>e</w:t>
            </w:r>
          </w:p>
        </w:tc>
        <w:tc>
          <w:tcPr>
            <w:tcW w:w="4534" w:type="dxa"/>
            <w:gridSpan w:val="6"/>
            <w:tcBorders>
              <w:top w:val="single" w:sz="2" w:space="0" w:color="000000"/>
              <w:left w:val="single" w:sz="2" w:space="0" w:color="000000"/>
              <w:bottom w:val="single" w:sz="2" w:space="0" w:color="000000"/>
              <w:right w:val="single" w:sz="2" w:space="0" w:color="000000"/>
            </w:tcBorders>
            <w:shd w:val="clear" w:color="auto" w:fill="6D2A78"/>
          </w:tcPr>
          <w:p w14:paraId="07D679FD" w14:textId="77777777" w:rsidR="004D4A28" w:rsidRDefault="004D4A28" w:rsidP="00361368">
            <w:pPr>
              <w:spacing w:line="259" w:lineRule="auto"/>
              <w:ind w:right="23"/>
              <w:jc w:val="center"/>
              <w:rPr>
                <w:b/>
                <w:color w:val="FFFFFF"/>
                <w:sz w:val="18"/>
              </w:rPr>
            </w:pPr>
            <w:r>
              <w:rPr>
                <w:b/>
                <w:color w:val="FFFFFF"/>
                <w:sz w:val="18"/>
              </w:rPr>
              <w:t>Observé</w:t>
            </w:r>
          </w:p>
        </w:tc>
        <w:tc>
          <w:tcPr>
            <w:tcW w:w="4535" w:type="dxa"/>
            <w:gridSpan w:val="6"/>
            <w:tcBorders>
              <w:top w:val="single" w:sz="2" w:space="0" w:color="000000"/>
              <w:left w:val="single" w:sz="2" w:space="0" w:color="000000"/>
              <w:bottom w:val="single" w:sz="2" w:space="0" w:color="000000"/>
              <w:right w:val="single" w:sz="2" w:space="0" w:color="000000"/>
            </w:tcBorders>
            <w:shd w:val="clear" w:color="auto" w:fill="6D2A78"/>
          </w:tcPr>
          <w:p w14:paraId="4A12971B" w14:textId="77777777" w:rsidR="004D4A28" w:rsidRDefault="004D4A28" w:rsidP="00361368">
            <w:pPr>
              <w:spacing w:line="259" w:lineRule="auto"/>
              <w:ind w:right="23"/>
              <w:jc w:val="center"/>
              <w:rPr>
                <w:b/>
                <w:color w:val="FFFFFF"/>
                <w:sz w:val="18"/>
              </w:rPr>
            </w:pPr>
            <w:r>
              <w:rPr>
                <w:b/>
                <w:color w:val="FFFFFF"/>
                <w:sz w:val="18"/>
              </w:rPr>
              <w:t>Projeté</w:t>
            </w:r>
          </w:p>
        </w:tc>
      </w:tr>
      <w:tr w:rsidR="004D4A28" w14:paraId="4FB5D622" w14:textId="77777777" w:rsidTr="00361368">
        <w:trPr>
          <w:trHeight w:val="342"/>
        </w:trPr>
        <w:tc>
          <w:tcPr>
            <w:tcW w:w="868" w:type="dxa"/>
            <w:tcBorders>
              <w:top w:val="single" w:sz="2" w:space="0" w:color="000000"/>
              <w:left w:val="single" w:sz="2" w:space="0" w:color="000000"/>
              <w:bottom w:val="single" w:sz="2" w:space="0" w:color="000000"/>
              <w:right w:val="single" w:sz="2" w:space="0" w:color="000000"/>
            </w:tcBorders>
            <w:shd w:val="clear" w:color="auto" w:fill="ECE6E2"/>
          </w:tcPr>
          <w:p w14:paraId="7EADA2B6"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CO</w:t>
            </w:r>
            <w:r w:rsidRPr="00AA2B36">
              <w:rPr>
                <w:rFonts w:asciiTheme="minorHAnsi" w:hAnsiTheme="minorHAnsi"/>
                <w:sz w:val="18"/>
                <w:szCs w:val="18"/>
                <w:vertAlign w:val="subscript"/>
              </w:rPr>
              <w:t>2</w:t>
            </w:r>
            <w:r w:rsidRPr="00AA2B36">
              <w:rPr>
                <w:rFonts w:asciiTheme="minorHAnsi" w:hAnsiTheme="minorHAnsi"/>
                <w:sz w:val="18"/>
                <w:szCs w:val="18"/>
              </w:rPr>
              <w:t xml:space="preserve"> hors UTCF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482C4E"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398425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D8A6D7"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392916</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78585A3"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414788</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6477B0"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425444</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505AA1"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386872</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B19519"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341631</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B1CC48" w14:textId="77777777" w:rsidR="004D4A28" w:rsidRPr="00AA2B36" w:rsidRDefault="004D4A28" w:rsidP="00361368">
            <w:pPr>
              <w:spacing w:line="259" w:lineRule="auto"/>
              <w:ind w:left="64"/>
              <w:jc w:val="center"/>
              <w:rPr>
                <w:rFonts w:asciiTheme="minorHAnsi" w:hAnsiTheme="minorHAnsi"/>
                <w:sz w:val="18"/>
                <w:szCs w:val="18"/>
              </w:rPr>
            </w:pPr>
            <w:r>
              <w:rPr>
                <w:sz w:val="18"/>
                <w:szCs w:val="18"/>
              </w:rPr>
              <w:t>326725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F6A4B9" w14:textId="77777777" w:rsidR="004D4A28" w:rsidRPr="00AA2B36" w:rsidRDefault="004D4A28" w:rsidP="00361368">
            <w:pPr>
              <w:spacing w:line="259" w:lineRule="auto"/>
              <w:ind w:left="64"/>
              <w:jc w:val="center"/>
              <w:rPr>
                <w:rFonts w:asciiTheme="minorHAnsi" w:hAnsiTheme="minorHAnsi"/>
                <w:sz w:val="18"/>
                <w:szCs w:val="18"/>
              </w:rPr>
            </w:pPr>
            <w:r w:rsidRPr="00364545">
              <w:rPr>
                <w:rFonts w:asciiTheme="minorHAnsi" w:hAnsiTheme="minorHAnsi"/>
                <w:sz w:val="18"/>
              </w:rPr>
              <w:t xml:space="preserve">291487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1A1A62"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292205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72FEE3" w14:textId="77777777" w:rsidR="004D4A28" w:rsidRPr="00AA2B36" w:rsidRDefault="004D4A28" w:rsidP="00361368">
            <w:pPr>
              <w:spacing w:line="259" w:lineRule="auto"/>
              <w:ind w:left="59"/>
              <w:jc w:val="center"/>
              <w:rPr>
                <w:rFonts w:asciiTheme="minorHAnsi" w:hAnsiTheme="minorHAnsi"/>
                <w:sz w:val="18"/>
                <w:szCs w:val="18"/>
              </w:rPr>
            </w:pPr>
            <w:bookmarkStart w:id="148" w:name="OLE_LINK28"/>
            <w:r w:rsidRPr="00364545">
              <w:rPr>
                <w:rFonts w:asciiTheme="minorHAnsi" w:hAnsiTheme="minorHAnsi"/>
                <w:sz w:val="18"/>
              </w:rPr>
              <w:t xml:space="preserve">272039 </w:t>
            </w:r>
            <w:bookmarkEnd w:id="148"/>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A929C6"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262355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B46C92"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241265 </w:t>
            </w:r>
          </w:p>
        </w:tc>
      </w:tr>
      <w:tr w:rsidR="004D4A28" w14:paraId="6734D648" w14:textId="77777777" w:rsidTr="00361368">
        <w:trPr>
          <w:trHeight w:val="347"/>
        </w:trPr>
        <w:tc>
          <w:tcPr>
            <w:tcW w:w="868" w:type="dxa"/>
            <w:tcBorders>
              <w:top w:val="single" w:sz="2" w:space="0" w:color="000000"/>
              <w:left w:val="single" w:sz="2" w:space="0" w:color="000000"/>
              <w:bottom w:val="single" w:sz="2" w:space="0" w:color="000000"/>
              <w:right w:val="single" w:sz="2" w:space="0" w:color="000000"/>
            </w:tcBorders>
          </w:tcPr>
          <w:p w14:paraId="0DE4BFEE"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CO</w:t>
            </w:r>
            <w:r w:rsidRPr="00AA2B36">
              <w:rPr>
                <w:rFonts w:asciiTheme="minorHAnsi" w:hAnsiTheme="minorHAnsi"/>
                <w:sz w:val="18"/>
                <w:szCs w:val="18"/>
                <w:vertAlign w:val="subscript"/>
              </w:rPr>
              <w:t>2</w:t>
            </w:r>
            <w:r w:rsidRPr="00AA2B36">
              <w:rPr>
                <w:rFonts w:asciiTheme="minorHAnsi" w:hAnsiTheme="minorHAnsi"/>
                <w:sz w:val="18"/>
                <w:szCs w:val="18"/>
              </w:rPr>
              <w:t xml:space="preserve"> avec UTCF </w:t>
            </w:r>
          </w:p>
        </w:tc>
        <w:tc>
          <w:tcPr>
            <w:tcW w:w="755" w:type="dxa"/>
            <w:tcBorders>
              <w:top w:val="single" w:sz="2" w:space="0" w:color="000000"/>
              <w:left w:val="single" w:sz="2" w:space="0" w:color="000000"/>
              <w:bottom w:val="single" w:sz="2" w:space="0" w:color="000000"/>
              <w:right w:val="single" w:sz="2" w:space="0" w:color="000000"/>
            </w:tcBorders>
            <w:vAlign w:val="center"/>
          </w:tcPr>
          <w:p w14:paraId="1BA3BE51" w14:textId="77777777" w:rsidR="004D4A28" w:rsidRPr="00AA2B36" w:rsidRDefault="004D4A28" w:rsidP="00361368">
            <w:pPr>
              <w:spacing w:line="259" w:lineRule="auto"/>
              <w:ind w:left="59"/>
              <w:jc w:val="center"/>
              <w:rPr>
                <w:rFonts w:asciiTheme="minorHAnsi" w:hAnsiTheme="minorHAnsi"/>
                <w:sz w:val="18"/>
                <w:szCs w:val="18"/>
              </w:rPr>
            </w:pPr>
            <w:bookmarkStart w:id="149" w:name="OLE_LINK22"/>
            <w:r>
              <w:rPr>
                <w:sz w:val="18"/>
                <w:szCs w:val="18"/>
              </w:rPr>
              <w:t>370280</w:t>
            </w:r>
            <w:bookmarkEnd w:id="149"/>
          </w:p>
        </w:tc>
        <w:tc>
          <w:tcPr>
            <w:tcW w:w="756" w:type="dxa"/>
            <w:tcBorders>
              <w:top w:val="single" w:sz="2" w:space="0" w:color="000000"/>
              <w:left w:val="single" w:sz="2" w:space="0" w:color="000000"/>
              <w:bottom w:val="single" w:sz="2" w:space="0" w:color="000000"/>
              <w:right w:val="single" w:sz="2" w:space="0" w:color="000000"/>
            </w:tcBorders>
            <w:vAlign w:val="center"/>
          </w:tcPr>
          <w:p w14:paraId="73C8ED62"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361121</w:t>
            </w:r>
          </w:p>
        </w:tc>
        <w:tc>
          <w:tcPr>
            <w:tcW w:w="756" w:type="dxa"/>
            <w:tcBorders>
              <w:top w:val="single" w:sz="2" w:space="0" w:color="000000"/>
              <w:left w:val="single" w:sz="2" w:space="0" w:color="000000"/>
              <w:bottom w:val="single" w:sz="2" w:space="0" w:color="000000"/>
              <w:right w:val="single" w:sz="2" w:space="0" w:color="000000"/>
            </w:tcBorders>
            <w:vAlign w:val="center"/>
          </w:tcPr>
          <w:p w14:paraId="7E47BF22"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390194</w:t>
            </w:r>
          </w:p>
        </w:tc>
        <w:tc>
          <w:tcPr>
            <w:tcW w:w="756" w:type="dxa"/>
            <w:tcBorders>
              <w:top w:val="single" w:sz="2" w:space="0" w:color="000000"/>
              <w:left w:val="single" w:sz="2" w:space="0" w:color="000000"/>
              <w:bottom w:val="single" w:sz="2" w:space="0" w:color="000000"/>
              <w:right w:val="single" w:sz="2" w:space="0" w:color="000000"/>
            </w:tcBorders>
            <w:vAlign w:val="center"/>
          </w:tcPr>
          <w:p w14:paraId="217C8958"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373972</w:t>
            </w:r>
          </w:p>
        </w:tc>
        <w:tc>
          <w:tcPr>
            <w:tcW w:w="755" w:type="dxa"/>
            <w:tcBorders>
              <w:top w:val="single" w:sz="2" w:space="0" w:color="000000"/>
              <w:left w:val="single" w:sz="2" w:space="0" w:color="000000"/>
              <w:bottom w:val="single" w:sz="2" w:space="0" w:color="000000"/>
              <w:right w:val="single" w:sz="2" w:space="0" w:color="000000"/>
            </w:tcBorders>
            <w:vAlign w:val="center"/>
          </w:tcPr>
          <w:p w14:paraId="41ADB089"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344171</w:t>
            </w:r>
          </w:p>
        </w:tc>
        <w:tc>
          <w:tcPr>
            <w:tcW w:w="756" w:type="dxa"/>
            <w:tcBorders>
              <w:top w:val="single" w:sz="2" w:space="0" w:color="000000"/>
              <w:left w:val="single" w:sz="2" w:space="0" w:color="000000"/>
              <w:bottom w:val="single" w:sz="2" w:space="0" w:color="000000"/>
              <w:right w:val="single" w:sz="2" w:space="0" w:color="000000"/>
            </w:tcBorders>
            <w:vAlign w:val="center"/>
          </w:tcPr>
          <w:p w14:paraId="3F5A611E"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303032</w:t>
            </w:r>
          </w:p>
        </w:tc>
        <w:tc>
          <w:tcPr>
            <w:tcW w:w="756" w:type="dxa"/>
            <w:tcBorders>
              <w:top w:val="single" w:sz="2" w:space="0" w:color="000000"/>
              <w:left w:val="single" w:sz="2" w:space="0" w:color="000000"/>
              <w:bottom w:val="single" w:sz="2" w:space="0" w:color="000000"/>
              <w:right w:val="single" w:sz="2" w:space="0" w:color="000000"/>
            </w:tcBorders>
            <w:vAlign w:val="center"/>
          </w:tcPr>
          <w:p w14:paraId="094CA494"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310432</w:t>
            </w:r>
          </w:p>
        </w:tc>
        <w:tc>
          <w:tcPr>
            <w:tcW w:w="756" w:type="dxa"/>
            <w:tcBorders>
              <w:top w:val="single" w:sz="2" w:space="0" w:color="000000"/>
              <w:left w:val="single" w:sz="2" w:space="0" w:color="000000"/>
              <w:bottom w:val="single" w:sz="2" w:space="0" w:color="000000"/>
              <w:right w:val="single" w:sz="2" w:space="0" w:color="000000"/>
            </w:tcBorders>
            <w:vAlign w:val="center"/>
          </w:tcPr>
          <w:p w14:paraId="5C526BB9" w14:textId="77777777" w:rsidR="004D4A28" w:rsidRPr="00AA2B36" w:rsidRDefault="004D4A28" w:rsidP="00361368">
            <w:pPr>
              <w:spacing w:line="259" w:lineRule="auto"/>
              <w:ind w:left="59"/>
              <w:jc w:val="center"/>
              <w:rPr>
                <w:rFonts w:asciiTheme="minorHAnsi" w:hAnsiTheme="minorHAnsi"/>
                <w:sz w:val="18"/>
                <w:szCs w:val="18"/>
              </w:rPr>
            </w:pPr>
            <w:bookmarkStart w:id="150" w:name="OLE_LINK24"/>
            <w:r w:rsidRPr="00364545">
              <w:rPr>
                <w:rFonts w:asciiTheme="minorHAnsi" w:hAnsiTheme="minorHAnsi"/>
                <w:sz w:val="18"/>
              </w:rPr>
              <w:t xml:space="preserve">254402 </w:t>
            </w:r>
            <w:bookmarkEnd w:id="150"/>
          </w:p>
        </w:tc>
        <w:tc>
          <w:tcPr>
            <w:tcW w:w="755" w:type="dxa"/>
            <w:tcBorders>
              <w:top w:val="single" w:sz="2" w:space="0" w:color="000000"/>
              <w:left w:val="single" w:sz="2" w:space="0" w:color="000000"/>
              <w:bottom w:val="single" w:sz="2" w:space="0" w:color="000000"/>
              <w:right w:val="single" w:sz="2" w:space="0" w:color="000000"/>
            </w:tcBorders>
            <w:vAlign w:val="center"/>
          </w:tcPr>
          <w:p w14:paraId="60FB8D9E" w14:textId="77777777" w:rsidR="004D4A28" w:rsidRPr="00AA2B36" w:rsidRDefault="004D4A28" w:rsidP="00361368">
            <w:pPr>
              <w:spacing w:line="259" w:lineRule="auto"/>
              <w:ind w:left="59"/>
              <w:jc w:val="center"/>
              <w:rPr>
                <w:rFonts w:asciiTheme="minorHAnsi" w:hAnsiTheme="minorHAnsi"/>
                <w:sz w:val="18"/>
                <w:szCs w:val="18"/>
              </w:rPr>
            </w:pPr>
            <w:bookmarkStart w:id="151" w:name="OLE_LINK25"/>
            <w:r w:rsidRPr="00364545">
              <w:rPr>
                <w:rFonts w:asciiTheme="minorHAnsi" w:hAnsiTheme="minorHAnsi"/>
                <w:sz w:val="18"/>
              </w:rPr>
              <w:t xml:space="preserve">259213 </w:t>
            </w:r>
            <w:bookmarkEnd w:id="151"/>
          </w:p>
        </w:tc>
        <w:tc>
          <w:tcPr>
            <w:tcW w:w="756" w:type="dxa"/>
            <w:tcBorders>
              <w:top w:val="single" w:sz="2" w:space="0" w:color="000000"/>
              <w:left w:val="single" w:sz="2" w:space="0" w:color="000000"/>
              <w:bottom w:val="single" w:sz="2" w:space="0" w:color="000000"/>
              <w:right w:val="single" w:sz="2" w:space="0" w:color="000000"/>
            </w:tcBorders>
            <w:vAlign w:val="center"/>
          </w:tcPr>
          <w:p w14:paraId="2D74D871"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241362 </w:t>
            </w:r>
          </w:p>
        </w:tc>
        <w:tc>
          <w:tcPr>
            <w:tcW w:w="756" w:type="dxa"/>
            <w:tcBorders>
              <w:top w:val="single" w:sz="2" w:space="0" w:color="000000"/>
              <w:left w:val="single" w:sz="2" w:space="0" w:color="000000"/>
              <w:bottom w:val="single" w:sz="2" w:space="0" w:color="000000"/>
              <w:right w:val="single" w:sz="2" w:space="0" w:color="000000"/>
            </w:tcBorders>
            <w:vAlign w:val="center"/>
          </w:tcPr>
          <w:p w14:paraId="76A02C0F"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236549 </w:t>
            </w:r>
          </w:p>
        </w:tc>
        <w:tc>
          <w:tcPr>
            <w:tcW w:w="756" w:type="dxa"/>
            <w:tcBorders>
              <w:top w:val="single" w:sz="2" w:space="0" w:color="000000"/>
              <w:left w:val="single" w:sz="2" w:space="0" w:color="000000"/>
              <w:bottom w:val="single" w:sz="2" w:space="0" w:color="000000"/>
              <w:right w:val="single" w:sz="2" w:space="0" w:color="000000"/>
            </w:tcBorders>
            <w:vAlign w:val="center"/>
          </w:tcPr>
          <w:p w14:paraId="79C72073"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224391 </w:t>
            </w:r>
          </w:p>
        </w:tc>
      </w:tr>
      <w:tr w:rsidR="004D4A28" w14:paraId="177A3C40" w14:textId="77777777" w:rsidTr="00361368">
        <w:trPr>
          <w:trHeight w:val="344"/>
        </w:trPr>
        <w:tc>
          <w:tcPr>
            <w:tcW w:w="868" w:type="dxa"/>
            <w:tcBorders>
              <w:top w:val="single" w:sz="2" w:space="0" w:color="000000"/>
              <w:left w:val="single" w:sz="2" w:space="0" w:color="000000"/>
              <w:bottom w:val="single" w:sz="2" w:space="0" w:color="000000"/>
              <w:right w:val="single" w:sz="2" w:space="0" w:color="000000"/>
            </w:tcBorders>
            <w:shd w:val="clear" w:color="auto" w:fill="ECE6E2"/>
          </w:tcPr>
          <w:p w14:paraId="710D87C2"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CH</w:t>
            </w:r>
            <w:r w:rsidRPr="00AA2B36">
              <w:rPr>
                <w:rFonts w:asciiTheme="minorHAnsi" w:hAnsiTheme="minorHAnsi"/>
                <w:sz w:val="18"/>
                <w:szCs w:val="18"/>
                <w:vertAlign w:val="subscript"/>
              </w:rPr>
              <w:t>4</w:t>
            </w:r>
            <w:r w:rsidRPr="00AA2B36">
              <w:rPr>
                <w:rFonts w:asciiTheme="minorHAnsi" w:hAnsiTheme="minorHAnsi"/>
                <w:sz w:val="18"/>
                <w:szCs w:val="18"/>
              </w:rPr>
              <w:t xml:space="preserve"> hors UTCF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1E0421"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69161</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913A22"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70383</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700384"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68603</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43BEA3"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63632</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F54B55"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61663</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57C6BC"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57862</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6FDF61"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55740</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D97836"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55161.5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E57FB6"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53575.1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616FFD"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52448.1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61214F3"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51718.6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BA9887"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51049.8 </w:t>
            </w:r>
          </w:p>
        </w:tc>
      </w:tr>
      <w:tr w:rsidR="004D4A28" w14:paraId="11DEBF63" w14:textId="77777777" w:rsidTr="00361368">
        <w:trPr>
          <w:trHeight w:val="347"/>
        </w:trPr>
        <w:tc>
          <w:tcPr>
            <w:tcW w:w="868" w:type="dxa"/>
            <w:tcBorders>
              <w:top w:val="single" w:sz="2" w:space="0" w:color="000000"/>
              <w:left w:val="single" w:sz="2" w:space="0" w:color="000000"/>
              <w:bottom w:val="single" w:sz="2" w:space="0" w:color="000000"/>
              <w:right w:val="single" w:sz="2" w:space="0" w:color="000000"/>
            </w:tcBorders>
          </w:tcPr>
          <w:p w14:paraId="4766287C"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CH</w:t>
            </w:r>
            <w:r w:rsidRPr="00AA2B36">
              <w:rPr>
                <w:rFonts w:asciiTheme="minorHAnsi" w:hAnsiTheme="minorHAnsi"/>
                <w:sz w:val="18"/>
                <w:szCs w:val="18"/>
                <w:vertAlign w:val="subscript"/>
              </w:rPr>
              <w:t>4</w:t>
            </w:r>
            <w:r w:rsidRPr="00AA2B36">
              <w:rPr>
                <w:rFonts w:asciiTheme="minorHAnsi" w:hAnsiTheme="minorHAnsi"/>
                <w:sz w:val="18"/>
                <w:szCs w:val="18"/>
              </w:rPr>
              <w:t xml:space="preserve"> avec UTCF </w:t>
            </w:r>
          </w:p>
        </w:tc>
        <w:tc>
          <w:tcPr>
            <w:tcW w:w="755" w:type="dxa"/>
            <w:tcBorders>
              <w:top w:val="single" w:sz="2" w:space="0" w:color="000000"/>
              <w:left w:val="single" w:sz="2" w:space="0" w:color="000000"/>
              <w:bottom w:val="single" w:sz="2" w:space="0" w:color="000000"/>
              <w:right w:val="single" w:sz="2" w:space="0" w:color="000000"/>
            </w:tcBorders>
            <w:vAlign w:val="center"/>
          </w:tcPr>
          <w:p w14:paraId="352BF098"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70094</w:t>
            </w:r>
          </w:p>
        </w:tc>
        <w:tc>
          <w:tcPr>
            <w:tcW w:w="756" w:type="dxa"/>
            <w:tcBorders>
              <w:top w:val="single" w:sz="2" w:space="0" w:color="000000"/>
              <w:left w:val="single" w:sz="2" w:space="0" w:color="000000"/>
              <w:bottom w:val="single" w:sz="2" w:space="0" w:color="000000"/>
              <w:right w:val="single" w:sz="2" w:space="0" w:color="000000"/>
            </w:tcBorders>
            <w:vAlign w:val="center"/>
          </w:tcPr>
          <w:p w14:paraId="71B9BEFF"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74053</w:t>
            </w:r>
          </w:p>
        </w:tc>
        <w:tc>
          <w:tcPr>
            <w:tcW w:w="756" w:type="dxa"/>
            <w:tcBorders>
              <w:top w:val="single" w:sz="2" w:space="0" w:color="000000"/>
              <w:left w:val="single" w:sz="2" w:space="0" w:color="000000"/>
              <w:bottom w:val="single" w:sz="2" w:space="0" w:color="000000"/>
              <w:right w:val="single" w:sz="2" w:space="0" w:color="000000"/>
            </w:tcBorders>
            <w:vAlign w:val="center"/>
          </w:tcPr>
          <w:p w14:paraId="7DE13D49"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70296</w:t>
            </w:r>
          </w:p>
        </w:tc>
        <w:tc>
          <w:tcPr>
            <w:tcW w:w="756" w:type="dxa"/>
            <w:tcBorders>
              <w:top w:val="single" w:sz="2" w:space="0" w:color="000000"/>
              <w:left w:val="single" w:sz="2" w:space="0" w:color="000000"/>
              <w:bottom w:val="single" w:sz="2" w:space="0" w:color="000000"/>
              <w:right w:val="single" w:sz="2" w:space="0" w:color="000000"/>
            </w:tcBorders>
            <w:vAlign w:val="center"/>
          </w:tcPr>
          <w:p w14:paraId="44F91514"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64820</w:t>
            </w:r>
          </w:p>
        </w:tc>
        <w:tc>
          <w:tcPr>
            <w:tcW w:w="755" w:type="dxa"/>
            <w:tcBorders>
              <w:top w:val="single" w:sz="2" w:space="0" w:color="000000"/>
              <w:left w:val="single" w:sz="2" w:space="0" w:color="000000"/>
              <w:bottom w:val="single" w:sz="2" w:space="0" w:color="000000"/>
              <w:right w:val="single" w:sz="2" w:space="0" w:color="000000"/>
            </w:tcBorders>
            <w:vAlign w:val="center"/>
          </w:tcPr>
          <w:p w14:paraId="22AA67F9"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62793</w:t>
            </w:r>
          </w:p>
        </w:tc>
        <w:tc>
          <w:tcPr>
            <w:tcW w:w="756" w:type="dxa"/>
            <w:tcBorders>
              <w:top w:val="single" w:sz="2" w:space="0" w:color="000000"/>
              <w:left w:val="single" w:sz="2" w:space="0" w:color="000000"/>
              <w:bottom w:val="single" w:sz="2" w:space="0" w:color="000000"/>
              <w:right w:val="single" w:sz="2" w:space="0" w:color="000000"/>
            </w:tcBorders>
            <w:vAlign w:val="center"/>
          </w:tcPr>
          <w:p w14:paraId="7E638EC6"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58940</w:t>
            </w:r>
          </w:p>
        </w:tc>
        <w:tc>
          <w:tcPr>
            <w:tcW w:w="756" w:type="dxa"/>
            <w:tcBorders>
              <w:top w:val="single" w:sz="2" w:space="0" w:color="000000"/>
              <w:left w:val="single" w:sz="2" w:space="0" w:color="000000"/>
              <w:bottom w:val="single" w:sz="2" w:space="0" w:color="000000"/>
              <w:right w:val="single" w:sz="2" w:space="0" w:color="000000"/>
            </w:tcBorders>
            <w:vAlign w:val="center"/>
          </w:tcPr>
          <w:p w14:paraId="4C694188"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56877</w:t>
            </w:r>
          </w:p>
        </w:tc>
        <w:tc>
          <w:tcPr>
            <w:tcW w:w="756" w:type="dxa"/>
            <w:tcBorders>
              <w:top w:val="single" w:sz="2" w:space="0" w:color="000000"/>
              <w:left w:val="single" w:sz="2" w:space="0" w:color="000000"/>
              <w:bottom w:val="single" w:sz="2" w:space="0" w:color="000000"/>
              <w:right w:val="single" w:sz="2" w:space="0" w:color="000000"/>
            </w:tcBorders>
            <w:vAlign w:val="center"/>
          </w:tcPr>
          <w:p w14:paraId="7D03E521"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56289.0 </w:t>
            </w:r>
          </w:p>
        </w:tc>
        <w:tc>
          <w:tcPr>
            <w:tcW w:w="755" w:type="dxa"/>
            <w:tcBorders>
              <w:top w:val="single" w:sz="2" w:space="0" w:color="000000"/>
              <w:left w:val="single" w:sz="2" w:space="0" w:color="000000"/>
              <w:bottom w:val="single" w:sz="2" w:space="0" w:color="000000"/>
              <w:right w:val="single" w:sz="2" w:space="0" w:color="000000"/>
            </w:tcBorders>
            <w:vAlign w:val="center"/>
          </w:tcPr>
          <w:p w14:paraId="197A2451"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54702.2 </w:t>
            </w:r>
          </w:p>
        </w:tc>
        <w:tc>
          <w:tcPr>
            <w:tcW w:w="756" w:type="dxa"/>
            <w:tcBorders>
              <w:top w:val="single" w:sz="2" w:space="0" w:color="000000"/>
              <w:left w:val="single" w:sz="2" w:space="0" w:color="000000"/>
              <w:bottom w:val="single" w:sz="2" w:space="0" w:color="000000"/>
              <w:right w:val="single" w:sz="2" w:space="0" w:color="000000"/>
            </w:tcBorders>
            <w:vAlign w:val="center"/>
          </w:tcPr>
          <w:p w14:paraId="7DCFFEAE" w14:textId="77777777" w:rsidR="004D4A28" w:rsidRPr="00AA2B36" w:rsidRDefault="004D4A28" w:rsidP="00361368">
            <w:pPr>
              <w:spacing w:line="259" w:lineRule="auto"/>
              <w:ind w:left="59"/>
              <w:jc w:val="center"/>
              <w:rPr>
                <w:rFonts w:asciiTheme="minorHAnsi" w:hAnsiTheme="minorHAnsi"/>
                <w:sz w:val="18"/>
                <w:szCs w:val="18"/>
              </w:rPr>
            </w:pPr>
            <w:bookmarkStart w:id="152" w:name="OLE_LINK31"/>
            <w:r w:rsidRPr="00364545">
              <w:rPr>
                <w:rFonts w:asciiTheme="minorHAnsi" w:hAnsiTheme="minorHAnsi"/>
                <w:sz w:val="18"/>
              </w:rPr>
              <w:t xml:space="preserve">53575.1 </w:t>
            </w:r>
            <w:bookmarkEnd w:id="152"/>
          </w:p>
        </w:tc>
        <w:tc>
          <w:tcPr>
            <w:tcW w:w="756" w:type="dxa"/>
            <w:tcBorders>
              <w:top w:val="single" w:sz="2" w:space="0" w:color="000000"/>
              <w:left w:val="single" w:sz="2" w:space="0" w:color="000000"/>
              <w:bottom w:val="single" w:sz="2" w:space="0" w:color="000000"/>
              <w:right w:val="single" w:sz="2" w:space="0" w:color="000000"/>
            </w:tcBorders>
            <w:vAlign w:val="center"/>
          </w:tcPr>
          <w:p w14:paraId="2F6A4F73"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52845.5 </w:t>
            </w:r>
          </w:p>
        </w:tc>
        <w:tc>
          <w:tcPr>
            <w:tcW w:w="756" w:type="dxa"/>
            <w:tcBorders>
              <w:top w:val="single" w:sz="2" w:space="0" w:color="000000"/>
              <w:left w:val="single" w:sz="2" w:space="0" w:color="000000"/>
              <w:bottom w:val="single" w:sz="2" w:space="0" w:color="000000"/>
              <w:right w:val="single" w:sz="2" w:space="0" w:color="000000"/>
            </w:tcBorders>
            <w:vAlign w:val="center"/>
          </w:tcPr>
          <w:p w14:paraId="1C76BA88"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52176.8 </w:t>
            </w:r>
          </w:p>
        </w:tc>
      </w:tr>
      <w:tr w:rsidR="004D4A28" w14:paraId="2D46559D" w14:textId="77777777" w:rsidTr="00361368">
        <w:trPr>
          <w:trHeight w:val="342"/>
        </w:trPr>
        <w:tc>
          <w:tcPr>
            <w:tcW w:w="868" w:type="dxa"/>
            <w:tcBorders>
              <w:top w:val="single" w:sz="2" w:space="0" w:color="000000"/>
              <w:left w:val="single" w:sz="2" w:space="0" w:color="000000"/>
              <w:bottom w:val="single" w:sz="2" w:space="0" w:color="000000"/>
              <w:right w:val="single" w:sz="2" w:space="0" w:color="000000"/>
            </w:tcBorders>
            <w:shd w:val="clear" w:color="auto" w:fill="ECE6E2"/>
          </w:tcPr>
          <w:p w14:paraId="2960F37C"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N</w:t>
            </w:r>
            <w:r w:rsidRPr="00AA2B36">
              <w:rPr>
                <w:rFonts w:asciiTheme="minorHAnsi" w:hAnsiTheme="minorHAnsi"/>
                <w:sz w:val="18"/>
                <w:szCs w:val="18"/>
                <w:vertAlign w:val="subscript"/>
              </w:rPr>
              <w:t>2</w:t>
            </w:r>
            <w:r w:rsidRPr="00AA2B36">
              <w:rPr>
                <w:rFonts w:asciiTheme="minorHAnsi" w:hAnsiTheme="minorHAnsi"/>
                <w:sz w:val="18"/>
                <w:szCs w:val="18"/>
              </w:rPr>
              <w:t xml:space="preserve">O hors UTCF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769B092"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64725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A78051"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65937</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0F294DE"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53681</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545E2CA"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46307</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1A2690"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40478</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465194"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39895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B490DB"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38071</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25DF3A"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38446.9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F17A5A"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37839.2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EFB712"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36921.5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4F085A"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36417.5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00443B"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35003.5 </w:t>
            </w:r>
          </w:p>
        </w:tc>
      </w:tr>
      <w:tr w:rsidR="004D4A28" w14:paraId="50971F2A" w14:textId="77777777" w:rsidTr="00361368">
        <w:trPr>
          <w:trHeight w:val="347"/>
        </w:trPr>
        <w:tc>
          <w:tcPr>
            <w:tcW w:w="868" w:type="dxa"/>
            <w:tcBorders>
              <w:top w:val="single" w:sz="2" w:space="0" w:color="000000"/>
              <w:left w:val="single" w:sz="2" w:space="0" w:color="000000"/>
              <w:bottom w:val="single" w:sz="2" w:space="0" w:color="000000"/>
              <w:right w:val="single" w:sz="2" w:space="0" w:color="000000"/>
            </w:tcBorders>
          </w:tcPr>
          <w:p w14:paraId="7E4F3B21"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N</w:t>
            </w:r>
            <w:r w:rsidRPr="00AA2B36">
              <w:rPr>
                <w:rFonts w:asciiTheme="minorHAnsi" w:hAnsiTheme="minorHAnsi"/>
                <w:sz w:val="18"/>
                <w:szCs w:val="18"/>
                <w:vertAlign w:val="subscript"/>
              </w:rPr>
              <w:t>2</w:t>
            </w:r>
            <w:r w:rsidRPr="00AA2B36">
              <w:rPr>
                <w:rFonts w:asciiTheme="minorHAnsi" w:hAnsiTheme="minorHAnsi"/>
                <w:sz w:val="18"/>
                <w:szCs w:val="18"/>
              </w:rPr>
              <w:t xml:space="preserve">O avec UTCF </w:t>
            </w:r>
          </w:p>
        </w:tc>
        <w:tc>
          <w:tcPr>
            <w:tcW w:w="755" w:type="dxa"/>
            <w:tcBorders>
              <w:top w:val="single" w:sz="2" w:space="0" w:color="000000"/>
              <w:left w:val="single" w:sz="2" w:space="0" w:color="000000"/>
              <w:bottom w:val="single" w:sz="2" w:space="0" w:color="000000"/>
              <w:right w:val="single" w:sz="2" w:space="0" w:color="000000"/>
            </w:tcBorders>
            <w:vAlign w:val="center"/>
          </w:tcPr>
          <w:p w14:paraId="409C4BB0"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67951</w:t>
            </w:r>
          </w:p>
        </w:tc>
        <w:tc>
          <w:tcPr>
            <w:tcW w:w="756" w:type="dxa"/>
            <w:tcBorders>
              <w:top w:val="single" w:sz="2" w:space="0" w:color="000000"/>
              <w:left w:val="single" w:sz="2" w:space="0" w:color="000000"/>
              <w:bottom w:val="single" w:sz="2" w:space="0" w:color="000000"/>
              <w:right w:val="single" w:sz="2" w:space="0" w:color="000000"/>
            </w:tcBorders>
            <w:vAlign w:val="center"/>
          </w:tcPr>
          <w:p w14:paraId="47106B97"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69183</w:t>
            </w:r>
          </w:p>
        </w:tc>
        <w:tc>
          <w:tcPr>
            <w:tcW w:w="756" w:type="dxa"/>
            <w:tcBorders>
              <w:top w:val="single" w:sz="2" w:space="0" w:color="000000"/>
              <w:left w:val="single" w:sz="2" w:space="0" w:color="000000"/>
              <w:bottom w:val="single" w:sz="2" w:space="0" w:color="000000"/>
              <w:right w:val="single" w:sz="2" w:space="0" w:color="000000"/>
            </w:tcBorders>
            <w:vAlign w:val="center"/>
          </w:tcPr>
          <w:p w14:paraId="5BFC52BA"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56873</w:t>
            </w:r>
          </w:p>
        </w:tc>
        <w:tc>
          <w:tcPr>
            <w:tcW w:w="756" w:type="dxa"/>
            <w:tcBorders>
              <w:top w:val="single" w:sz="2" w:space="0" w:color="000000"/>
              <w:left w:val="single" w:sz="2" w:space="0" w:color="000000"/>
              <w:bottom w:val="single" w:sz="2" w:space="0" w:color="000000"/>
              <w:right w:val="single" w:sz="2" w:space="0" w:color="000000"/>
            </w:tcBorders>
            <w:vAlign w:val="center"/>
          </w:tcPr>
          <w:p w14:paraId="79FE7F5C"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49279</w:t>
            </w:r>
          </w:p>
        </w:tc>
        <w:tc>
          <w:tcPr>
            <w:tcW w:w="755" w:type="dxa"/>
            <w:tcBorders>
              <w:top w:val="single" w:sz="2" w:space="0" w:color="000000"/>
              <w:left w:val="single" w:sz="2" w:space="0" w:color="000000"/>
              <w:bottom w:val="single" w:sz="2" w:space="0" w:color="000000"/>
              <w:right w:val="single" w:sz="2" w:space="0" w:color="000000"/>
            </w:tcBorders>
            <w:vAlign w:val="center"/>
          </w:tcPr>
          <w:p w14:paraId="3368EBCD"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43694</w:t>
            </w:r>
          </w:p>
        </w:tc>
        <w:tc>
          <w:tcPr>
            <w:tcW w:w="756" w:type="dxa"/>
            <w:tcBorders>
              <w:top w:val="single" w:sz="2" w:space="0" w:color="000000"/>
              <w:left w:val="single" w:sz="2" w:space="0" w:color="000000"/>
              <w:bottom w:val="single" w:sz="2" w:space="0" w:color="000000"/>
              <w:right w:val="single" w:sz="2" w:space="0" w:color="000000"/>
            </w:tcBorders>
            <w:vAlign w:val="center"/>
          </w:tcPr>
          <w:p w14:paraId="5B2AE938"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42840</w:t>
            </w:r>
          </w:p>
        </w:tc>
        <w:tc>
          <w:tcPr>
            <w:tcW w:w="756" w:type="dxa"/>
            <w:tcBorders>
              <w:top w:val="single" w:sz="2" w:space="0" w:color="000000"/>
              <w:left w:val="single" w:sz="2" w:space="0" w:color="000000"/>
              <w:bottom w:val="single" w:sz="2" w:space="0" w:color="000000"/>
              <w:right w:val="single" w:sz="2" w:space="0" w:color="000000"/>
            </w:tcBorders>
            <w:vAlign w:val="center"/>
          </w:tcPr>
          <w:p w14:paraId="1841E9B4"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40939</w:t>
            </w:r>
          </w:p>
        </w:tc>
        <w:tc>
          <w:tcPr>
            <w:tcW w:w="756" w:type="dxa"/>
            <w:tcBorders>
              <w:top w:val="single" w:sz="2" w:space="0" w:color="000000"/>
              <w:left w:val="single" w:sz="2" w:space="0" w:color="000000"/>
              <w:bottom w:val="single" w:sz="2" w:space="0" w:color="000000"/>
              <w:right w:val="single" w:sz="2" w:space="0" w:color="000000"/>
            </w:tcBorders>
            <w:vAlign w:val="center"/>
          </w:tcPr>
          <w:p w14:paraId="33AF687F"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41566.3 </w:t>
            </w:r>
          </w:p>
        </w:tc>
        <w:tc>
          <w:tcPr>
            <w:tcW w:w="755" w:type="dxa"/>
            <w:tcBorders>
              <w:top w:val="single" w:sz="2" w:space="0" w:color="000000"/>
              <w:left w:val="single" w:sz="2" w:space="0" w:color="000000"/>
              <w:bottom w:val="single" w:sz="2" w:space="0" w:color="000000"/>
              <w:right w:val="single" w:sz="2" w:space="0" w:color="000000"/>
            </w:tcBorders>
            <w:vAlign w:val="center"/>
          </w:tcPr>
          <w:p w14:paraId="6B489C43"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40958.6 </w:t>
            </w:r>
          </w:p>
        </w:tc>
        <w:tc>
          <w:tcPr>
            <w:tcW w:w="756" w:type="dxa"/>
            <w:tcBorders>
              <w:top w:val="single" w:sz="2" w:space="0" w:color="000000"/>
              <w:left w:val="single" w:sz="2" w:space="0" w:color="000000"/>
              <w:bottom w:val="single" w:sz="2" w:space="0" w:color="000000"/>
              <w:right w:val="single" w:sz="2" w:space="0" w:color="000000"/>
            </w:tcBorders>
            <w:vAlign w:val="center"/>
          </w:tcPr>
          <w:p w14:paraId="5B9FA528"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40040.9 </w:t>
            </w:r>
          </w:p>
        </w:tc>
        <w:tc>
          <w:tcPr>
            <w:tcW w:w="756" w:type="dxa"/>
            <w:tcBorders>
              <w:top w:val="single" w:sz="2" w:space="0" w:color="000000"/>
              <w:left w:val="single" w:sz="2" w:space="0" w:color="000000"/>
              <w:bottom w:val="single" w:sz="2" w:space="0" w:color="000000"/>
              <w:right w:val="single" w:sz="2" w:space="0" w:color="000000"/>
            </w:tcBorders>
            <w:vAlign w:val="center"/>
          </w:tcPr>
          <w:p w14:paraId="168FE240"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39537.0 </w:t>
            </w:r>
          </w:p>
        </w:tc>
        <w:tc>
          <w:tcPr>
            <w:tcW w:w="756" w:type="dxa"/>
            <w:tcBorders>
              <w:top w:val="single" w:sz="2" w:space="0" w:color="000000"/>
              <w:left w:val="single" w:sz="2" w:space="0" w:color="000000"/>
              <w:bottom w:val="single" w:sz="2" w:space="0" w:color="000000"/>
              <w:right w:val="single" w:sz="2" w:space="0" w:color="000000"/>
            </w:tcBorders>
            <w:vAlign w:val="center"/>
          </w:tcPr>
          <w:p w14:paraId="28E76840"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38123.0 </w:t>
            </w:r>
          </w:p>
        </w:tc>
      </w:tr>
      <w:tr w:rsidR="004D4A28" w14:paraId="635D9336" w14:textId="77777777" w:rsidTr="00361368">
        <w:trPr>
          <w:trHeight w:val="344"/>
        </w:trPr>
        <w:tc>
          <w:tcPr>
            <w:tcW w:w="868" w:type="dxa"/>
            <w:tcBorders>
              <w:top w:val="single" w:sz="2" w:space="0" w:color="000000"/>
              <w:left w:val="single" w:sz="2" w:space="0" w:color="000000"/>
              <w:bottom w:val="single" w:sz="2" w:space="0" w:color="000000"/>
              <w:right w:val="single" w:sz="2" w:space="0" w:color="000000"/>
            </w:tcBorders>
            <w:shd w:val="clear" w:color="auto" w:fill="ECE6E2"/>
          </w:tcPr>
          <w:p w14:paraId="509365C6"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 xml:space="preserve">HFCs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B43CC3" w14:textId="77777777" w:rsidR="004D4A28" w:rsidRPr="00AA2B36" w:rsidRDefault="004D4A28" w:rsidP="00361368">
            <w:pPr>
              <w:spacing w:line="259" w:lineRule="auto"/>
              <w:ind w:left="59"/>
              <w:rPr>
                <w:rFonts w:asciiTheme="minorHAnsi" w:hAnsiTheme="minorHAnsi"/>
                <w:sz w:val="18"/>
                <w:szCs w:val="18"/>
              </w:rPr>
            </w:pPr>
            <w:r>
              <w:rPr>
                <w:sz w:val="18"/>
                <w:szCs w:val="18"/>
              </w:rPr>
              <w:t>4402</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8BEAE5"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1702</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BF15CE"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6736</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B445AB"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12862</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E1960E"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16930</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463DE6"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17494</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C17DD7"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12992</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05806A"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12721.1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1C3E25"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7816.6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88F0E6"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5052.7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8E9120"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3427.2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627635"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1830.7 </w:t>
            </w:r>
          </w:p>
        </w:tc>
      </w:tr>
      <w:tr w:rsidR="004D4A28" w14:paraId="17FCEF32" w14:textId="77777777" w:rsidTr="00361368">
        <w:trPr>
          <w:trHeight w:val="347"/>
        </w:trPr>
        <w:tc>
          <w:tcPr>
            <w:tcW w:w="868" w:type="dxa"/>
            <w:tcBorders>
              <w:top w:val="single" w:sz="2" w:space="0" w:color="000000"/>
              <w:left w:val="single" w:sz="2" w:space="0" w:color="000000"/>
              <w:bottom w:val="single" w:sz="2" w:space="0" w:color="000000"/>
              <w:right w:val="single" w:sz="2" w:space="0" w:color="000000"/>
            </w:tcBorders>
          </w:tcPr>
          <w:p w14:paraId="17E57528"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 xml:space="preserve">PFCs </w:t>
            </w:r>
          </w:p>
        </w:tc>
        <w:tc>
          <w:tcPr>
            <w:tcW w:w="755" w:type="dxa"/>
            <w:tcBorders>
              <w:top w:val="single" w:sz="2" w:space="0" w:color="000000"/>
              <w:left w:val="single" w:sz="2" w:space="0" w:color="000000"/>
              <w:bottom w:val="single" w:sz="2" w:space="0" w:color="000000"/>
              <w:right w:val="single" w:sz="2" w:space="0" w:color="000000"/>
            </w:tcBorders>
            <w:vAlign w:val="center"/>
          </w:tcPr>
          <w:p w14:paraId="58CC40A5"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5202</w:t>
            </w:r>
          </w:p>
        </w:tc>
        <w:tc>
          <w:tcPr>
            <w:tcW w:w="756" w:type="dxa"/>
            <w:tcBorders>
              <w:top w:val="single" w:sz="2" w:space="0" w:color="000000"/>
              <w:left w:val="single" w:sz="2" w:space="0" w:color="000000"/>
              <w:bottom w:val="single" w:sz="2" w:space="0" w:color="000000"/>
              <w:right w:val="single" w:sz="2" w:space="0" w:color="000000"/>
            </w:tcBorders>
            <w:vAlign w:val="center"/>
          </w:tcPr>
          <w:p w14:paraId="2ED8CDDD"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3065</w:t>
            </w:r>
          </w:p>
        </w:tc>
        <w:tc>
          <w:tcPr>
            <w:tcW w:w="756" w:type="dxa"/>
            <w:tcBorders>
              <w:top w:val="single" w:sz="2" w:space="0" w:color="000000"/>
              <w:left w:val="single" w:sz="2" w:space="0" w:color="000000"/>
              <w:bottom w:val="single" w:sz="2" w:space="0" w:color="000000"/>
              <w:right w:val="single" w:sz="2" w:space="0" w:color="000000"/>
            </w:tcBorders>
            <w:vAlign w:val="center"/>
          </w:tcPr>
          <w:p w14:paraId="4E5E5B8B"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2997</w:t>
            </w:r>
          </w:p>
        </w:tc>
        <w:tc>
          <w:tcPr>
            <w:tcW w:w="756" w:type="dxa"/>
            <w:tcBorders>
              <w:top w:val="single" w:sz="2" w:space="0" w:color="000000"/>
              <w:left w:val="single" w:sz="2" w:space="0" w:color="000000"/>
              <w:bottom w:val="single" w:sz="2" w:space="0" w:color="000000"/>
              <w:right w:val="single" w:sz="2" w:space="0" w:color="000000"/>
            </w:tcBorders>
            <w:vAlign w:val="center"/>
          </w:tcPr>
          <w:p w14:paraId="14EACF8C"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1760</w:t>
            </w:r>
          </w:p>
        </w:tc>
        <w:tc>
          <w:tcPr>
            <w:tcW w:w="755" w:type="dxa"/>
            <w:tcBorders>
              <w:top w:val="single" w:sz="2" w:space="0" w:color="000000"/>
              <w:left w:val="single" w:sz="2" w:space="0" w:color="000000"/>
              <w:bottom w:val="single" w:sz="2" w:space="0" w:color="000000"/>
              <w:right w:val="single" w:sz="2" w:space="0" w:color="000000"/>
            </w:tcBorders>
            <w:vAlign w:val="center"/>
          </w:tcPr>
          <w:p w14:paraId="0F28DE7E"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617</w:t>
            </w:r>
          </w:p>
        </w:tc>
        <w:tc>
          <w:tcPr>
            <w:tcW w:w="756" w:type="dxa"/>
            <w:tcBorders>
              <w:top w:val="single" w:sz="2" w:space="0" w:color="000000"/>
              <w:left w:val="single" w:sz="2" w:space="0" w:color="000000"/>
              <w:bottom w:val="single" w:sz="2" w:space="0" w:color="000000"/>
              <w:right w:val="single" w:sz="2" w:space="0" w:color="000000"/>
            </w:tcBorders>
            <w:vAlign w:val="center"/>
          </w:tcPr>
          <w:p w14:paraId="2DEC36D4"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537</w:t>
            </w:r>
          </w:p>
        </w:tc>
        <w:tc>
          <w:tcPr>
            <w:tcW w:w="756" w:type="dxa"/>
            <w:tcBorders>
              <w:top w:val="single" w:sz="2" w:space="0" w:color="000000"/>
              <w:left w:val="single" w:sz="2" w:space="0" w:color="000000"/>
              <w:bottom w:val="single" w:sz="2" w:space="0" w:color="000000"/>
              <w:right w:val="single" w:sz="2" w:space="0" w:color="000000"/>
            </w:tcBorders>
            <w:vAlign w:val="center"/>
          </w:tcPr>
          <w:p w14:paraId="5A003F8D"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615</w:t>
            </w:r>
          </w:p>
        </w:tc>
        <w:tc>
          <w:tcPr>
            <w:tcW w:w="756" w:type="dxa"/>
            <w:tcBorders>
              <w:top w:val="single" w:sz="2" w:space="0" w:color="000000"/>
              <w:left w:val="single" w:sz="2" w:space="0" w:color="000000"/>
              <w:bottom w:val="single" w:sz="2" w:space="0" w:color="000000"/>
              <w:right w:val="single" w:sz="2" w:space="0" w:color="000000"/>
            </w:tcBorders>
            <w:vAlign w:val="center"/>
          </w:tcPr>
          <w:p w14:paraId="5692EA93"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462.9 </w:t>
            </w:r>
          </w:p>
        </w:tc>
        <w:tc>
          <w:tcPr>
            <w:tcW w:w="755" w:type="dxa"/>
            <w:tcBorders>
              <w:top w:val="single" w:sz="2" w:space="0" w:color="000000"/>
              <w:left w:val="single" w:sz="2" w:space="0" w:color="000000"/>
              <w:bottom w:val="single" w:sz="2" w:space="0" w:color="000000"/>
              <w:right w:val="single" w:sz="2" w:space="0" w:color="000000"/>
            </w:tcBorders>
            <w:vAlign w:val="center"/>
          </w:tcPr>
          <w:p w14:paraId="5D3DE7E3"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290.7 </w:t>
            </w:r>
          </w:p>
        </w:tc>
        <w:tc>
          <w:tcPr>
            <w:tcW w:w="756" w:type="dxa"/>
            <w:tcBorders>
              <w:top w:val="single" w:sz="2" w:space="0" w:color="000000"/>
              <w:left w:val="single" w:sz="2" w:space="0" w:color="000000"/>
              <w:bottom w:val="single" w:sz="2" w:space="0" w:color="000000"/>
              <w:right w:val="single" w:sz="2" w:space="0" w:color="000000"/>
            </w:tcBorders>
            <w:vAlign w:val="center"/>
          </w:tcPr>
          <w:p w14:paraId="2AF5CB2E"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217.7 </w:t>
            </w:r>
          </w:p>
        </w:tc>
        <w:tc>
          <w:tcPr>
            <w:tcW w:w="756" w:type="dxa"/>
            <w:tcBorders>
              <w:top w:val="single" w:sz="2" w:space="0" w:color="000000"/>
              <w:left w:val="single" w:sz="2" w:space="0" w:color="000000"/>
              <w:bottom w:val="single" w:sz="2" w:space="0" w:color="000000"/>
              <w:right w:val="single" w:sz="2" w:space="0" w:color="000000"/>
            </w:tcBorders>
            <w:vAlign w:val="center"/>
          </w:tcPr>
          <w:p w14:paraId="328063C7"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156.5 </w:t>
            </w:r>
          </w:p>
        </w:tc>
        <w:tc>
          <w:tcPr>
            <w:tcW w:w="756" w:type="dxa"/>
            <w:tcBorders>
              <w:top w:val="single" w:sz="2" w:space="0" w:color="000000"/>
              <w:left w:val="single" w:sz="2" w:space="0" w:color="000000"/>
              <w:bottom w:val="single" w:sz="2" w:space="0" w:color="000000"/>
              <w:right w:val="single" w:sz="2" w:space="0" w:color="000000"/>
            </w:tcBorders>
            <w:vAlign w:val="center"/>
          </w:tcPr>
          <w:p w14:paraId="02808863"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130.9 </w:t>
            </w:r>
          </w:p>
        </w:tc>
      </w:tr>
      <w:tr w:rsidR="004D4A28" w14:paraId="1D3679D4" w14:textId="77777777" w:rsidTr="00361368">
        <w:trPr>
          <w:trHeight w:val="342"/>
        </w:trPr>
        <w:tc>
          <w:tcPr>
            <w:tcW w:w="868" w:type="dxa"/>
            <w:tcBorders>
              <w:top w:val="single" w:sz="2" w:space="0" w:color="000000"/>
              <w:left w:val="single" w:sz="2" w:space="0" w:color="000000"/>
              <w:bottom w:val="single" w:sz="2" w:space="0" w:color="000000"/>
              <w:right w:val="single" w:sz="2" w:space="0" w:color="000000"/>
            </w:tcBorders>
            <w:shd w:val="clear" w:color="auto" w:fill="ECE6E2"/>
          </w:tcPr>
          <w:p w14:paraId="5D71119A"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SF</w:t>
            </w:r>
            <w:r w:rsidRPr="00AA2B36">
              <w:rPr>
                <w:rFonts w:asciiTheme="minorHAnsi" w:hAnsiTheme="minorHAnsi"/>
                <w:sz w:val="18"/>
                <w:szCs w:val="18"/>
                <w:vertAlign w:val="subscript"/>
              </w:rPr>
              <w:t>6</w:t>
            </w:r>
            <w:r w:rsidRPr="00AA2B36">
              <w:rPr>
                <w:rFonts w:asciiTheme="minorHAnsi" w:hAnsiTheme="minorHAnsi"/>
                <w:sz w:val="18"/>
                <w:szCs w:val="18"/>
              </w:rPr>
              <w:t xml:space="preserve">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BD39E1"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2155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624D05"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2467</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131A250"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2180</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2CCDAD"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1355</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DB2E02"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875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80B322"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498</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64DFDE"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385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ED0A30"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387.4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AC924E"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358.1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757D06"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359.2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4A1BFC"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360.2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204CFE"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363.0 </w:t>
            </w:r>
          </w:p>
        </w:tc>
      </w:tr>
      <w:tr w:rsidR="004D4A28" w14:paraId="2BE653A0" w14:textId="77777777" w:rsidTr="00361368">
        <w:trPr>
          <w:trHeight w:val="347"/>
        </w:trPr>
        <w:tc>
          <w:tcPr>
            <w:tcW w:w="868" w:type="dxa"/>
            <w:tcBorders>
              <w:top w:val="single" w:sz="2" w:space="0" w:color="000000"/>
              <w:left w:val="single" w:sz="2" w:space="0" w:color="000000"/>
              <w:bottom w:val="single" w:sz="2" w:space="0" w:color="000000"/>
              <w:right w:val="single" w:sz="2" w:space="0" w:color="000000"/>
            </w:tcBorders>
          </w:tcPr>
          <w:p w14:paraId="4DEC6D6A" w14:textId="77777777" w:rsidR="004D4A28" w:rsidRPr="00AA2B36" w:rsidRDefault="004D4A28" w:rsidP="00361368">
            <w:pPr>
              <w:spacing w:line="259" w:lineRule="auto"/>
              <w:rPr>
                <w:rFonts w:asciiTheme="minorHAnsi" w:hAnsiTheme="minorHAnsi"/>
                <w:sz w:val="18"/>
                <w:szCs w:val="18"/>
              </w:rPr>
            </w:pPr>
            <w:r w:rsidRPr="00AA2B36">
              <w:rPr>
                <w:rFonts w:asciiTheme="minorHAnsi" w:hAnsiTheme="minorHAnsi"/>
                <w:sz w:val="18"/>
                <w:szCs w:val="18"/>
              </w:rPr>
              <w:t>NF</w:t>
            </w:r>
            <w:r w:rsidRPr="00AA2B36">
              <w:rPr>
                <w:rFonts w:asciiTheme="minorHAnsi" w:hAnsiTheme="minorHAnsi"/>
                <w:sz w:val="18"/>
                <w:szCs w:val="18"/>
                <w:vertAlign w:val="subscript"/>
              </w:rPr>
              <w:t>3</w:t>
            </w:r>
            <w:r w:rsidRPr="00AA2B36">
              <w:rPr>
                <w:rFonts w:asciiTheme="minorHAnsi" w:hAnsiTheme="minorHAnsi"/>
                <w:sz w:val="18"/>
                <w:szCs w:val="18"/>
              </w:rPr>
              <w:t xml:space="preserve"> </w:t>
            </w:r>
          </w:p>
        </w:tc>
        <w:tc>
          <w:tcPr>
            <w:tcW w:w="755" w:type="dxa"/>
            <w:tcBorders>
              <w:top w:val="single" w:sz="2" w:space="0" w:color="000000"/>
              <w:left w:val="single" w:sz="2" w:space="0" w:color="000000"/>
              <w:bottom w:val="single" w:sz="2" w:space="0" w:color="000000"/>
              <w:right w:val="single" w:sz="2" w:space="0" w:color="000000"/>
            </w:tcBorders>
            <w:vAlign w:val="center"/>
          </w:tcPr>
          <w:p w14:paraId="022E6C94"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16</w:t>
            </w:r>
          </w:p>
        </w:tc>
        <w:tc>
          <w:tcPr>
            <w:tcW w:w="756" w:type="dxa"/>
            <w:tcBorders>
              <w:top w:val="single" w:sz="2" w:space="0" w:color="000000"/>
              <w:left w:val="single" w:sz="2" w:space="0" w:color="000000"/>
              <w:bottom w:val="single" w:sz="2" w:space="0" w:color="000000"/>
              <w:right w:val="single" w:sz="2" w:space="0" w:color="000000"/>
            </w:tcBorders>
            <w:vAlign w:val="center"/>
          </w:tcPr>
          <w:p w14:paraId="4A0820EA"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w:t>
            </w:r>
          </w:p>
        </w:tc>
        <w:tc>
          <w:tcPr>
            <w:tcW w:w="756" w:type="dxa"/>
            <w:tcBorders>
              <w:top w:val="single" w:sz="2" w:space="0" w:color="000000"/>
              <w:left w:val="single" w:sz="2" w:space="0" w:color="000000"/>
              <w:bottom w:val="single" w:sz="2" w:space="0" w:color="000000"/>
              <w:right w:val="single" w:sz="2" w:space="0" w:color="000000"/>
            </w:tcBorders>
            <w:vAlign w:val="center"/>
          </w:tcPr>
          <w:p w14:paraId="34E37EDD"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20</w:t>
            </w:r>
          </w:p>
        </w:tc>
        <w:tc>
          <w:tcPr>
            <w:tcW w:w="756" w:type="dxa"/>
            <w:tcBorders>
              <w:top w:val="single" w:sz="2" w:space="0" w:color="000000"/>
              <w:left w:val="single" w:sz="2" w:space="0" w:color="000000"/>
              <w:bottom w:val="single" w:sz="2" w:space="0" w:color="000000"/>
              <w:right w:val="single" w:sz="2" w:space="0" w:color="000000"/>
            </w:tcBorders>
            <w:vAlign w:val="center"/>
          </w:tcPr>
          <w:p w14:paraId="1686A434"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31</w:t>
            </w:r>
          </w:p>
        </w:tc>
        <w:tc>
          <w:tcPr>
            <w:tcW w:w="755" w:type="dxa"/>
            <w:tcBorders>
              <w:top w:val="single" w:sz="2" w:space="0" w:color="000000"/>
              <w:left w:val="single" w:sz="2" w:space="0" w:color="000000"/>
              <w:bottom w:val="single" w:sz="2" w:space="0" w:color="000000"/>
              <w:right w:val="single" w:sz="2" w:space="0" w:color="000000"/>
            </w:tcBorders>
            <w:vAlign w:val="center"/>
          </w:tcPr>
          <w:p w14:paraId="4656100B"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32</w:t>
            </w:r>
          </w:p>
        </w:tc>
        <w:tc>
          <w:tcPr>
            <w:tcW w:w="756" w:type="dxa"/>
            <w:tcBorders>
              <w:top w:val="single" w:sz="2" w:space="0" w:color="000000"/>
              <w:left w:val="single" w:sz="2" w:space="0" w:color="000000"/>
              <w:bottom w:val="single" w:sz="2" w:space="0" w:color="000000"/>
              <w:right w:val="single" w:sz="2" w:space="0" w:color="000000"/>
            </w:tcBorders>
            <w:vAlign w:val="center"/>
          </w:tcPr>
          <w:p w14:paraId="6EB255D4" w14:textId="77777777" w:rsidR="004D4A28" w:rsidRPr="00AA2B36" w:rsidRDefault="004D4A28" w:rsidP="00361368">
            <w:pPr>
              <w:spacing w:line="259" w:lineRule="auto"/>
              <w:ind w:left="59"/>
              <w:jc w:val="center"/>
              <w:rPr>
                <w:rFonts w:asciiTheme="minorHAnsi" w:hAnsiTheme="minorHAnsi"/>
                <w:sz w:val="18"/>
                <w:szCs w:val="18"/>
              </w:rPr>
            </w:pPr>
            <w:r>
              <w:rPr>
                <w:sz w:val="18"/>
                <w:szCs w:val="18"/>
              </w:rPr>
              <w:t>6</w:t>
            </w:r>
          </w:p>
        </w:tc>
        <w:tc>
          <w:tcPr>
            <w:tcW w:w="756" w:type="dxa"/>
            <w:tcBorders>
              <w:top w:val="single" w:sz="2" w:space="0" w:color="000000"/>
              <w:left w:val="single" w:sz="2" w:space="0" w:color="000000"/>
              <w:bottom w:val="single" w:sz="2" w:space="0" w:color="000000"/>
              <w:right w:val="single" w:sz="2" w:space="0" w:color="000000"/>
            </w:tcBorders>
            <w:vAlign w:val="center"/>
          </w:tcPr>
          <w:p w14:paraId="4A938C11" w14:textId="77777777" w:rsidR="004D4A28" w:rsidRPr="00AA2B36" w:rsidRDefault="004D4A28" w:rsidP="00361368">
            <w:pPr>
              <w:spacing w:line="259" w:lineRule="auto"/>
              <w:ind w:left="59"/>
              <w:jc w:val="center"/>
              <w:rPr>
                <w:rFonts w:asciiTheme="minorHAnsi" w:hAnsiTheme="minorHAnsi"/>
                <w:sz w:val="18"/>
                <w:szCs w:val="18"/>
              </w:rPr>
            </w:pPr>
            <w:r w:rsidRPr="00634E4C">
              <w:rPr>
                <w:sz w:val="18"/>
              </w:rPr>
              <w:t>10</w:t>
            </w:r>
          </w:p>
        </w:tc>
        <w:tc>
          <w:tcPr>
            <w:tcW w:w="756" w:type="dxa"/>
            <w:tcBorders>
              <w:top w:val="single" w:sz="2" w:space="0" w:color="000000"/>
              <w:left w:val="single" w:sz="2" w:space="0" w:color="000000"/>
              <w:bottom w:val="single" w:sz="2" w:space="0" w:color="000000"/>
              <w:right w:val="single" w:sz="2" w:space="0" w:color="000000"/>
            </w:tcBorders>
            <w:vAlign w:val="center"/>
          </w:tcPr>
          <w:p w14:paraId="1971514E"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9.4 </w:t>
            </w:r>
          </w:p>
        </w:tc>
        <w:tc>
          <w:tcPr>
            <w:tcW w:w="755" w:type="dxa"/>
            <w:tcBorders>
              <w:top w:val="single" w:sz="2" w:space="0" w:color="000000"/>
              <w:left w:val="single" w:sz="2" w:space="0" w:color="000000"/>
              <w:bottom w:val="single" w:sz="2" w:space="0" w:color="000000"/>
              <w:right w:val="single" w:sz="2" w:space="0" w:color="000000"/>
            </w:tcBorders>
            <w:vAlign w:val="center"/>
          </w:tcPr>
          <w:p w14:paraId="2B48CABE"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10.4 </w:t>
            </w:r>
          </w:p>
        </w:tc>
        <w:tc>
          <w:tcPr>
            <w:tcW w:w="756" w:type="dxa"/>
            <w:tcBorders>
              <w:top w:val="single" w:sz="2" w:space="0" w:color="000000"/>
              <w:left w:val="single" w:sz="2" w:space="0" w:color="000000"/>
              <w:bottom w:val="single" w:sz="2" w:space="0" w:color="000000"/>
              <w:right w:val="single" w:sz="2" w:space="0" w:color="000000"/>
            </w:tcBorders>
            <w:vAlign w:val="center"/>
          </w:tcPr>
          <w:p w14:paraId="2296B7B6"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10.4 </w:t>
            </w:r>
          </w:p>
        </w:tc>
        <w:tc>
          <w:tcPr>
            <w:tcW w:w="756" w:type="dxa"/>
            <w:tcBorders>
              <w:top w:val="single" w:sz="2" w:space="0" w:color="000000"/>
              <w:left w:val="single" w:sz="2" w:space="0" w:color="000000"/>
              <w:bottom w:val="single" w:sz="2" w:space="0" w:color="000000"/>
              <w:right w:val="single" w:sz="2" w:space="0" w:color="000000"/>
            </w:tcBorders>
            <w:vAlign w:val="center"/>
          </w:tcPr>
          <w:p w14:paraId="0B128F0C"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10.4 </w:t>
            </w:r>
          </w:p>
        </w:tc>
        <w:tc>
          <w:tcPr>
            <w:tcW w:w="756" w:type="dxa"/>
            <w:tcBorders>
              <w:top w:val="single" w:sz="2" w:space="0" w:color="000000"/>
              <w:left w:val="single" w:sz="2" w:space="0" w:color="000000"/>
              <w:bottom w:val="single" w:sz="2" w:space="0" w:color="000000"/>
              <w:right w:val="single" w:sz="2" w:space="0" w:color="000000"/>
            </w:tcBorders>
            <w:vAlign w:val="center"/>
          </w:tcPr>
          <w:p w14:paraId="62066F3D" w14:textId="77777777" w:rsidR="004D4A28" w:rsidRPr="00AA2B36" w:rsidRDefault="004D4A28" w:rsidP="00361368">
            <w:pPr>
              <w:spacing w:line="259" w:lineRule="auto"/>
              <w:ind w:left="59"/>
              <w:jc w:val="center"/>
              <w:rPr>
                <w:rFonts w:asciiTheme="minorHAnsi" w:hAnsiTheme="minorHAnsi"/>
                <w:sz w:val="18"/>
                <w:szCs w:val="18"/>
              </w:rPr>
            </w:pPr>
            <w:r w:rsidRPr="00364545">
              <w:rPr>
                <w:rFonts w:asciiTheme="minorHAnsi" w:hAnsiTheme="minorHAnsi"/>
                <w:sz w:val="18"/>
              </w:rPr>
              <w:t xml:space="preserve">10.5 </w:t>
            </w:r>
          </w:p>
        </w:tc>
      </w:tr>
      <w:tr w:rsidR="004D4A28" w14:paraId="2D5F7C80" w14:textId="77777777" w:rsidTr="00361368">
        <w:trPr>
          <w:trHeight w:val="344"/>
        </w:trPr>
        <w:tc>
          <w:tcPr>
            <w:tcW w:w="868" w:type="dxa"/>
            <w:tcBorders>
              <w:top w:val="single" w:sz="2" w:space="0" w:color="000000"/>
              <w:left w:val="single" w:sz="2" w:space="0" w:color="000000"/>
              <w:bottom w:val="single" w:sz="2" w:space="0" w:color="000000"/>
              <w:right w:val="single" w:sz="2" w:space="0" w:color="000000"/>
            </w:tcBorders>
            <w:shd w:val="clear" w:color="auto" w:fill="ECE6E2"/>
          </w:tcPr>
          <w:p w14:paraId="3E22DA25" w14:textId="77777777" w:rsidR="004D4A28" w:rsidRPr="00AA2B36" w:rsidRDefault="004D4A28" w:rsidP="00361368">
            <w:pPr>
              <w:spacing w:line="259" w:lineRule="auto"/>
              <w:rPr>
                <w:rFonts w:asciiTheme="minorHAnsi" w:hAnsiTheme="minorHAnsi"/>
                <w:b/>
                <w:sz w:val="18"/>
                <w:szCs w:val="18"/>
              </w:rPr>
            </w:pPr>
            <w:r w:rsidRPr="00AA2B36">
              <w:rPr>
                <w:rFonts w:asciiTheme="minorHAnsi" w:hAnsiTheme="minorHAnsi"/>
                <w:b/>
                <w:sz w:val="18"/>
                <w:szCs w:val="18"/>
              </w:rPr>
              <w:t xml:space="preserve">Ensemble (hors UTCF)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17A00C"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544086</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63C7B2"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536476</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F0E19D"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549005</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0C17BC"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551391</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F736A6" w14:textId="77777777" w:rsidR="004D4A28" w:rsidRPr="00AA2B36" w:rsidRDefault="004D4A28" w:rsidP="00361368">
            <w:pPr>
              <w:spacing w:line="259" w:lineRule="auto"/>
              <w:ind w:left="64"/>
              <w:jc w:val="center"/>
              <w:rPr>
                <w:rFonts w:asciiTheme="minorHAnsi" w:hAnsiTheme="minorHAnsi"/>
                <w:b/>
                <w:sz w:val="18"/>
                <w:szCs w:val="18"/>
              </w:rPr>
            </w:pPr>
            <w:r w:rsidRPr="00664108">
              <w:rPr>
                <w:b/>
                <w:sz w:val="18"/>
                <w:szCs w:val="18"/>
              </w:rPr>
              <w:t>507468</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F876B7"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457924</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EF206C"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434540</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BBB62F" w14:textId="77777777" w:rsidR="004D4A28" w:rsidRPr="00AA2B36" w:rsidRDefault="004D4A28" w:rsidP="00361368">
            <w:pPr>
              <w:spacing w:line="259" w:lineRule="auto"/>
              <w:ind w:left="59"/>
              <w:jc w:val="center"/>
              <w:rPr>
                <w:rFonts w:asciiTheme="minorHAnsi" w:hAnsiTheme="minorHAnsi"/>
                <w:b/>
                <w:sz w:val="18"/>
                <w:szCs w:val="18"/>
              </w:rPr>
            </w:pPr>
            <w:r w:rsidRPr="00364545">
              <w:rPr>
                <w:rFonts w:asciiTheme="minorHAnsi" w:hAnsiTheme="minorHAnsi"/>
                <w:b/>
                <w:sz w:val="18"/>
              </w:rPr>
              <w:t xml:space="preserve">398676 </w:t>
            </w:r>
          </w:p>
        </w:tc>
        <w:tc>
          <w:tcPr>
            <w:tcW w:w="75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4918F1" w14:textId="77777777" w:rsidR="004D4A28" w:rsidRPr="00AA2B36" w:rsidRDefault="004D4A28" w:rsidP="00361368">
            <w:pPr>
              <w:spacing w:line="259" w:lineRule="auto"/>
              <w:ind w:left="59"/>
              <w:jc w:val="center"/>
              <w:rPr>
                <w:rFonts w:asciiTheme="minorHAnsi" w:hAnsiTheme="minorHAnsi"/>
                <w:b/>
                <w:sz w:val="18"/>
                <w:szCs w:val="18"/>
              </w:rPr>
            </w:pPr>
            <w:r w:rsidRPr="00364545">
              <w:rPr>
                <w:rFonts w:asciiTheme="minorHAnsi" w:hAnsiTheme="minorHAnsi"/>
                <w:b/>
                <w:sz w:val="18"/>
              </w:rPr>
              <w:t xml:space="preserve">392095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4EB6BC" w14:textId="77777777" w:rsidR="004D4A28" w:rsidRPr="00AA2B36" w:rsidRDefault="004D4A28" w:rsidP="00361368">
            <w:pPr>
              <w:spacing w:line="259" w:lineRule="auto"/>
              <w:ind w:left="59"/>
              <w:jc w:val="center"/>
              <w:rPr>
                <w:rFonts w:asciiTheme="minorHAnsi" w:hAnsiTheme="minorHAnsi"/>
                <w:b/>
                <w:sz w:val="18"/>
                <w:szCs w:val="18"/>
              </w:rPr>
            </w:pPr>
            <w:r w:rsidRPr="00364545">
              <w:rPr>
                <w:rFonts w:asciiTheme="minorHAnsi" w:hAnsiTheme="minorHAnsi"/>
                <w:b/>
                <w:sz w:val="18"/>
              </w:rPr>
              <w:t xml:space="preserve">367049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C51453" w14:textId="77777777" w:rsidR="004D4A28" w:rsidRPr="00AA2B36" w:rsidRDefault="004D4A28" w:rsidP="00361368">
            <w:pPr>
              <w:spacing w:line="259" w:lineRule="auto"/>
              <w:ind w:left="59"/>
              <w:jc w:val="center"/>
              <w:rPr>
                <w:rFonts w:asciiTheme="minorHAnsi" w:hAnsiTheme="minorHAnsi"/>
                <w:b/>
                <w:sz w:val="18"/>
                <w:szCs w:val="18"/>
              </w:rPr>
            </w:pPr>
            <w:r w:rsidRPr="00364545">
              <w:rPr>
                <w:rFonts w:asciiTheme="minorHAnsi" w:hAnsiTheme="minorHAnsi"/>
                <w:b/>
                <w:sz w:val="18"/>
              </w:rPr>
              <w:t xml:space="preserve">354446 </w:t>
            </w:r>
          </w:p>
        </w:tc>
        <w:tc>
          <w:tcPr>
            <w:tcW w:w="75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A99FAC" w14:textId="77777777" w:rsidR="004D4A28" w:rsidRPr="00AA2B36" w:rsidRDefault="004D4A28" w:rsidP="00361368">
            <w:pPr>
              <w:spacing w:line="259" w:lineRule="auto"/>
              <w:ind w:left="59"/>
              <w:jc w:val="center"/>
              <w:rPr>
                <w:rFonts w:asciiTheme="minorHAnsi" w:hAnsiTheme="minorHAnsi"/>
                <w:b/>
                <w:sz w:val="18"/>
                <w:szCs w:val="18"/>
              </w:rPr>
            </w:pPr>
            <w:r w:rsidRPr="00364545">
              <w:rPr>
                <w:rFonts w:asciiTheme="minorHAnsi" w:hAnsiTheme="minorHAnsi"/>
                <w:b/>
                <w:sz w:val="18"/>
              </w:rPr>
              <w:t xml:space="preserve">329653 </w:t>
            </w:r>
          </w:p>
        </w:tc>
      </w:tr>
      <w:tr w:rsidR="004D4A28" w14:paraId="5DD0E14B" w14:textId="77777777" w:rsidTr="00361368">
        <w:trPr>
          <w:trHeight w:val="346"/>
        </w:trPr>
        <w:tc>
          <w:tcPr>
            <w:tcW w:w="868" w:type="dxa"/>
            <w:tcBorders>
              <w:top w:val="single" w:sz="2" w:space="0" w:color="000000"/>
              <w:left w:val="single" w:sz="2" w:space="0" w:color="000000"/>
              <w:bottom w:val="single" w:sz="2" w:space="0" w:color="000000"/>
              <w:right w:val="single" w:sz="2" w:space="0" w:color="000000"/>
            </w:tcBorders>
          </w:tcPr>
          <w:p w14:paraId="43380D5F" w14:textId="77777777" w:rsidR="004D4A28" w:rsidRPr="00AA2B36" w:rsidRDefault="004D4A28" w:rsidP="00361368">
            <w:pPr>
              <w:spacing w:line="259" w:lineRule="auto"/>
              <w:rPr>
                <w:rFonts w:asciiTheme="minorHAnsi" w:hAnsiTheme="minorHAnsi"/>
                <w:b/>
                <w:sz w:val="18"/>
                <w:szCs w:val="18"/>
              </w:rPr>
            </w:pPr>
            <w:r w:rsidRPr="00AA2B36">
              <w:rPr>
                <w:rFonts w:asciiTheme="minorHAnsi" w:hAnsiTheme="minorHAnsi"/>
                <w:b/>
                <w:sz w:val="18"/>
                <w:szCs w:val="18"/>
              </w:rPr>
              <w:t xml:space="preserve">Ensemble (avec UTCF) </w:t>
            </w:r>
          </w:p>
        </w:tc>
        <w:tc>
          <w:tcPr>
            <w:tcW w:w="755" w:type="dxa"/>
            <w:tcBorders>
              <w:top w:val="single" w:sz="2" w:space="0" w:color="000000"/>
              <w:left w:val="single" w:sz="2" w:space="0" w:color="000000"/>
              <w:bottom w:val="single" w:sz="2" w:space="0" w:color="000000"/>
              <w:right w:val="single" w:sz="2" w:space="0" w:color="000000"/>
            </w:tcBorders>
            <w:vAlign w:val="center"/>
          </w:tcPr>
          <w:p w14:paraId="5865CB4E"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520100</w:t>
            </w:r>
          </w:p>
        </w:tc>
        <w:tc>
          <w:tcPr>
            <w:tcW w:w="756" w:type="dxa"/>
            <w:tcBorders>
              <w:top w:val="single" w:sz="2" w:space="0" w:color="000000"/>
              <w:left w:val="single" w:sz="2" w:space="0" w:color="000000"/>
              <w:bottom w:val="single" w:sz="2" w:space="0" w:color="000000"/>
              <w:right w:val="single" w:sz="2" w:space="0" w:color="000000"/>
            </w:tcBorders>
            <w:vAlign w:val="center"/>
          </w:tcPr>
          <w:p w14:paraId="5435485A"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511596</w:t>
            </w:r>
          </w:p>
        </w:tc>
        <w:tc>
          <w:tcPr>
            <w:tcW w:w="756" w:type="dxa"/>
            <w:tcBorders>
              <w:top w:val="single" w:sz="2" w:space="0" w:color="000000"/>
              <w:left w:val="single" w:sz="2" w:space="0" w:color="000000"/>
              <w:bottom w:val="single" w:sz="2" w:space="0" w:color="000000"/>
              <w:right w:val="single" w:sz="2" w:space="0" w:color="000000"/>
            </w:tcBorders>
            <w:vAlign w:val="center"/>
          </w:tcPr>
          <w:p w14:paraId="1B257672"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529296</w:t>
            </w:r>
          </w:p>
        </w:tc>
        <w:tc>
          <w:tcPr>
            <w:tcW w:w="756" w:type="dxa"/>
            <w:tcBorders>
              <w:top w:val="single" w:sz="2" w:space="0" w:color="000000"/>
              <w:left w:val="single" w:sz="2" w:space="0" w:color="000000"/>
              <w:bottom w:val="single" w:sz="2" w:space="0" w:color="000000"/>
              <w:right w:val="single" w:sz="2" w:space="0" w:color="000000"/>
            </w:tcBorders>
            <w:vAlign w:val="center"/>
          </w:tcPr>
          <w:p w14:paraId="073DAD6A"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504080</w:t>
            </w:r>
          </w:p>
        </w:tc>
        <w:tc>
          <w:tcPr>
            <w:tcW w:w="755" w:type="dxa"/>
            <w:tcBorders>
              <w:top w:val="single" w:sz="2" w:space="0" w:color="000000"/>
              <w:left w:val="single" w:sz="2" w:space="0" w:color="000000"/>
              <w:bottom w:val="single" w:sz="2" w:space="0" w:color="000000"/>
              <w:right w:val="single" w:sz="2" w:space="0" w:color="000000"/>
            </w:tcBorders>
            <w:vAlign w:val="center"/>
          </w:tcPr>
          <w:p w14:paraId="64325F3F"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469113</w:t>
            </w:r>
          </w:p>
        </w:tc>
        <w:tc>
          <w:tcPr>
            <w:tcW w:w="756" w:type="dxa"/>
            <w:tcBorders>
              <w:top w:val="single" w:sz="2" w:space="0" w:color="000000"/>
              <w:left w:val="single" w:sz="2" w:space="0" w:color="000000"/>
              <w:bottom w:val="single" w:sz="2" w:space="0" w:color="000000"/>
              <w:right w:val="single" w:sz="2" w:space="0" w:color="000000"/>
            </w:tcBorders>
            <w:vAlign w:val="center"/>
          </w:tcPr>
          <w:p w14:paraId="7B7CE660"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423346</w:t>
            </w:r>
          </w:p>
        </w:tc>
        <w:tc>
          <w:tcPr>
            <w:tcW w:w="756" w:type="dxa"/>
            <w:tcBorders>
              <w:top w:val="single" w:sz="2" w:space="0" w:color="000000"/>
              <w:left w:val="single" w:sz="2" w:space="0" w:color="000000"/>
              <w:bottom w:val="single" w:sz="2" w:space="0" w:color="000000"/>
              <w:right w:val="single" w:sz="2" w:space="0" w:color="000000"/>
            </w:tcBorders>
            <w:vAlign w:val="center"/>
          </w:tcPr>
          <w:p w14:paraId="019EDFB3" w14:textId="77777777" w:rsidR="004D4A28" w:rsidRPr="00AA2B36" w:rsidRDefault="004D4A28" w:rsidP="00361368">
            <w:pPr>
              <w:spacing w:line="259" w:lineRule="auto"/>
              <w:ind w:left="59"/>
              <w:jc w:val="center"/>
              <w:rPr>
                <w:rFonts w:asciiTheme="minorHAnsi" w:hAnsiTheme="minorHAnsi"/>
                <w:b/>
                <w:sz w:val="18"/>
                <w:szCs w:val="18"/>
              </w:rPr>
            </w:pPr>
            <w:r w:rsidRPr="00664108">
              <w:rPr>
                <w:b/>
                <w:sz w:val="18"/>
                <w:szCs w:val="18"/>
              </w:rPr>
              <w:t>422252</w:t>
            </w:r>
          </w:p>
        </w:tc>
        <w:tc>
          <w:tcPr>
            <w:tcW w:w="756" w:type="dxa"/>
            <w:tcBorders>
              <w:top w:val="single" w:sz="2" w:space="0" w:color="000000"/>
              <w:left w:val="single" w:sz="2" w:space="0" w:color="000000"/>
              <w:bottom w:val="single" w:sz="2" w:space="0" w:color="000000"/>
              <w:right w:val="single" w:sz="2" w:space="0" w:color="000000"/>
            </w:tcBorders>
            <w:vAlign w:val="center"/>
          </w:tcPr>
          <w:p w14:paraId="46F87C04" w14:textId="77777777" w:rsidR="004D4A28" w:rsidRPr="00AA2B36" w:rsidRDefault="004D4A28" w:rsidP="00361368">
            <w:pPr>
              <w:spacing w:line="259" w:lineRule="auto"/>
              <w:ind w:left="59"/>
              <w:jc w:val="center"/>
              <w:rPr>
                <w:rFonts w:asciiTheme="minorHAnsi" w:hAnsiTheme="minorHAnsi"/>
                <w:b/>
                <w:sz w:val="18"/>
                <w:szCs w:val="18"/>
              </w:rPr>
            </w:pPr>
            <w:r>
              <w:rPr>
                <w:rFonts w:asciiTheme="minorHAnsi" w:hAnsiTheme="minorHAnsi"/>
                <w:b/>
                <w:sz w:val="18"/>
              </w:rPr>
              <w:t xml:space="preserve"> </w:t>
            </w:r>
            <w:r w:rsidRPr="00364545">
              <w:rPr>
                <w:rFonts w:asciiTheme="minorHAnsi" w:hAnsiTheme="minorHAnsi"/>
                <w:b/>
                <w:sz w:val="18"/>
              </w:rPr>
              <w:t xml:space="preserve">365838 </w:t>
            </w:r>
          </w:p>
        </w:tc>
        <w:tc>
          <w:tcPr>
            <w:tcW w:w="755" w:type="dxa"/>
            <w:tcBorders>
              <w:top w:val="single" w:sz="2" w:space="0" w:color="000000"/>
              <w:left w:val="single" w:sz="2" w:space="0" w:color="000000"/>
              <w:bottom w:val="single" w:sz="2" w:space="0" w:color="000000"/>
              <w:right w:val="single" w:sz="2" w:space="0" w:color="000000"/>
            </w:tcBorders>
            <w:vAlign w:val="center"/>
          </w:tcPr>
          <w:p w14:paraId="45BA82D1" w14:textId="77777777" w:rsidR="004D4A28" w:rsidRPr="00AA2B36" w:rsidRDefault="004D4A28" w:rsidP="00361368">
            <w:pPr>
              <w:spacing w:line="259" w:lineRule="auto"/>
              <w:ind w:left="59"/>
              <w:jc w:val="center"/>
              <w:rPr>
                <w:rFonts w:asciiTheme="minorHAnsi" w:hAnsiTheme="minorHAnsi"/>
                <w:b/>
                <w:sz w:val="18"/>
                <w:szCs w:val="18"/>
              </w:rPr>
            </w:pPr>
            <w:r w:rsidRPr="00364545">
              <w:rPr>
                <w:rFonts w:asciiTheme="minorHAnsi" w:hAnsiTheme="minorHAnsi"/>
                <w:b/>
                <w:sz w:val="18"/>
              </w:rPr>
              <w:t xml:space="preserve">363349 </w:t>
            </w:r>
          </w:p>
        </w:tc>
        <w:tc>
          <w:tcPr>
            <w:tcW w:w="756" w:type="dxa"/>
            <w:tcBorders>
              <w:top w:val="single" w:sz="2" w:space="0" w:color="000000"/>
              <w:left w:val="single" w:sz="2" w:space="0" w:color="000000"/>
              <w:bottom w:val="single" w:sz="2" w:space="0" w:color="000000"/>
              <w:right w:val="single" w:sz="2" w:space="0" w:color="000000"/>
            </w:tcBorders>
            <w:vAlign w:val="center"/>
          </w:tcPr>
          <w:p w14:paraId="1F39574E" w14:textId="77777777" w:rsidR="004D4A28" w:rsidRPr="00AA2B36" w:rsidRDefault="004D4A28" w:rsidP="00361368">
            <w:pPr>
              <w:spacing w:line="259" w:lineRule="auto"/>
              <w:ind w:left="59"/>
              <w:jc w:val="center"/>
              <w:rPr>
                <w:rFonts w:asciiTheme="minorHAnsi" w:hAnsiTheme="minorHAnsi"/>
                <w:b/>
                <w:sz w:val="18"/>
                <w:szCs w:val="18"/>
              </w:rPr>
            </w:pPr>
            <w:r w:rsidRPr="00364545">
              <w:rPr>
                <w:rFonts w:asciiTheme="minorHAnsi" w:hAnsiTheme="minorHAnsi"/>
                <w:b/>
                <w:sz w:val="18"/>
              </w:rPr>
              <w:t xml:space="preserve">340618 </w:t>
            </w:r>
          </w:p>
        </w:tc>
        <w:tc>
          <w:tcPr>
            <w:tcW w:w="756" w:type="dxa"/>
            <w:tcBorders>
              <w:top w:val="single" w:sz="2" w:space="0" w:color="000000"/>
              <w:left w:val="single" w:sz="2" w:space="0" w:color="000000"/>
              <w:bottom w:val="single" w:sz="2" w:space="0" w:color="000000"/>
              <w:right w:val="single" w:sz="2" w:space="0" w:color="000000"/>
            </w:tcBorders>
            <w:vAlign w:val="center"/>
          </w:tcPr>
          <w:p w14:paraId="75D71AD5" w14:textId="77777777" w:rsidR="004D4A28" w:rsidRPr="00AA2B36" w:rsidRDefault="004D4A28" w:rsidP="00361368">
            <w:pPr>
              <w:spacing w:line="259" w:lineRule="auto"/>
              <w:ind w:left="63"/>
              <w:jc w:val="center"/>
              <w:rPr>
                <w:rFonts w:asciiTheme="minorHAnsi" w:hAnsiTheme="minorHAnsi"/>
                <w:b/>
                <w:sz w:val="18"/>
                <w:szCs w:val="18"/>
              </w:rPr>
            </w:pPr>
            <w:r w:rsidRPr="00364545">
              <w:rPr>
                <w:rFonts w:asciiTheme="minorHAnsi" w:hAnsiTheme="minorHAnsi"/>
                <w:b/>
                <w:sz w:val="18"/>
              </w:rPr>
              <w:t xml:space="preserve">332886 </w:t>
            </w:r>
          </w:p>
        </w:tc>
        <w:tc>
          <w:tcPr>
            <w:tcW w:w="756" w:type="dxa"/>
            <w:tcBorders>
              <w:top w:val="single" w:sz="2" w:space="0" w:color="000000"/>
              <w:left w:val="single" w:sz="2" w:space="0" w:color="000000"/>
              <w:bottom w:val="single" w:sz="2" w:space="0" w:color="000000"/>
              <w:right w:val="single" w:sz="2" w:space="0" w:color="000000"/>
            </w:tcBorders>
            <w:vAlign w:val="center"/>
          </w:tcPr>
          <w:p w14:paraId="582D52DE" w14:textId="77777777" w:rsidR="004D4A28" w:rsidRPr="00AA2B36" w:rsidRDefault="004D4A28" w:rsidP="00361368">
            <w:pPr>
              <w:spacing w:line="259" w:lineRule="auto"/>
              <w:ind w:left="63"/>
              <w:jc w:val="center"/>
              <w:rPr>
                <w:rFonts w:asciiTheme="minorHAnsi" w:hAnsiTheme="minorHAnsi"/>
                <w:b/>
                <w:sz w:val="18"/>
                <w:szCs w:val="18"/>
              </w:rPr>
            </w:pPr>
            <w:r w:rsidRPr="00364545">
              <w:rPr>
                <w:rFonts w:asciiTheme="minorHAnsi" w:hAnsiTheme="minorHAnsi"/>
                <w:b/>
                <w:sz w:val="18"/>
              </w:rPr>
              <w:t xml:space="preserve">317026 </w:t>
            </w:r>
          </w:p>
        </w:tc>
      </w:tr>
    </w:tbl>
    <w:bookmarkEnd w:id="147"/>
    <w:p w14:paraId="315FE180" w14:textId="77777777" w:rsidR="004D4A28" w:rsidRDefault="004D4A28" w:rsidP="004D4A28">
      <w:pPr>
        <w:pStyle w:val="Default"/>
        <w:rPr>
          <w:sz w:val="16"/>
          <w:szCs w:val="16"/>
        </w:rPr>
      </w:pPr>
      <w:r>
        <w:rPr>
          <w:i/>
          <w:iCs/>
          <w:sz w:val="16"/>
          <w:szCs w:val="16"/>
        </w:rPr>
        <w:t xml:space="preserve">Lecture du tableau : Énergie = catégorie CRF1 ; procédés industriels et solvants = catégorie CRF2 et 3 ; agriculture (hors énergie) = catégorie CRF4 ; traitements des déchets = catégorie CRF 6. </w:t>
      </w:r>
    </w:p>
    <w:p w14:paraId="465AAA84" w14:textId="77777777" w:rsidR="004D4A28" w:rsidRDefault="004D4A28" w:rsidP="004D4A28">
      <w:pPr>
        <w:pStyle w:val="Caption"/>
      </w:pPr>
      <w:bookmarkStart w:id="153" w:name="_Toc123916509"/>
      <w:r>
        <w:t xml:space="preserve">Tableau </w:t>
      </w:r>
      <w:r w:rsidR="00757301">
        <w:fldChar w:fldCharType="begin"/>
      </w:r>
      <w:r w:rsidR="00757301">
        <w:instrText xml:space="preserve"> SEQ Tableau \* ARABIC </w:instrText>
      </w:r>
      <w:r w:rsidR="00757301">
        <w:fldChar w:fldCharType="separate"/>
      </w:r>
      <w:r>
        <w:rPr>
          <w:noProof/>
        </w:rPr>
        <w:t>17</w:t>
      </w:r>
      <w:r w:rsidR="00757301">
        <w:rPr>
          <w:noProof/>
        </w:rPr>
        <w:fldChar w:fldCharType="end"/>
      </w:r>
      <w:r>
        <w:t> : Projections d’émissions de GES par gaz (en ktCO</w:t>
      </w:r>
      <w:r w:rsidRPr="007F09F7">
        <w:rPr>
          <w:vertAlign w:val="subscript"/>
        </w:rPr>
        <w:t>2</w:t>
      </w:r>
      <w:r w:rsidRPr="004F1EC8">
        <w:rPr>
          <w:vertAlign w:val="subscript"/>
        </w:rPr>
        <w:t>e</w:t>
      </w:r>
      <w:r>
        <w:t>) au périmètre Kyoto dans le scénario AME 2021 (avec mesures existantes)</w:t>
      </w:r>
      <w:bookmarkEnd w:id="153"/>
    </w:p>
    <w:p w14:paraId="1F4C5A94" w14:textId="77777777" w:rsidR="004D4A28" w:rsidRDefault="004D4A28" w:rsidP="004D4A28">
      <w:pPr>
        <w:pStyle w:val="Caption"/>
      </w:pPr>
      <w:r>
        <w:t>Source : Inventaire CCNUCC, Citepa/MTE, soumission 2022 et projections d’émissions MTE, 2021</w:t>
      </w:r>
    </w:p>
    <w:p w14:paraId="4F3BA453" w14:textId="77777777" w:rsidR="004D4A28" w:rsidRDefault="004D4A28" w:rsidP="004D4A28">
      <w:pPr>
        <w:jc w:val="center"/>
      </w:pPr>
      <w:r>
        <w:rPr>
          <w:noProof/>
        </w:rPr>
        <w:drawing>
          <wp:inline distT="0" distB="0" distL="0" distR="0" wp14:anchorId="3F3523E0" wp14:editId="74AE23DC">
            <wp:extent cx="6318250" cy="3632382"/>
            <wp:effectExtent l="0" t="0" r="6350" b="6350"/>
            <wp:docPr id="28701" name="Graphique 28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1BE5B6" w14:textId="77777777" w:rsidR="004D4A28" w:rsidRDefault="004D4A28" w:rsidP="004D4A28">
      <w:pPr>
        <w:jc w:val="center"/>
      </w:pPr>
    </w:p>
    <w:p w14:paraId="4F483DA0" w14:textId="77777777" w:rsidR="004D4A28" w:rsidRDefault="004D4A28" w:rsidP="004D4A28">
      <w:pPr>
        <w:pStyle w:val="Caption"/>
      </w:pPr>
      <w:bookmarkStart w:id="154" w:name="_Toc123916469"/>
      <w:r>
        <w:t xml:space="preserve">Figure </w:t>
      </w:r>
      <w:r w:rsidR="00757301">
        <w:fldChar w:fldCharType="begin"/>
      </w:r>
      <w:r w:rsidR="00757301">
        <w:instrText xml:space="preserve"> SEQ Figure \* ARABIC </w:instrText>
      </w:r>
      <w:r w:rsidR="00757301">
        <w:fldChar w:fldCharType="separate"/>
      </w:r>
      <w:r>
        <w:rPr>
          <w:noProof/>
        </w:rPr>
        <w:t>58</w:t>
      </w:r>
      <w:r w:rsidR="00757301">
        <w:rPr>
          <w:noProof/>
        </w:rPr>
        <w:fldChar w:fldCharType="end"/>
      </w:r>
      <w:r>
        <w:t> : Projection par gaz hors UTCATF en ktCO</w:t>
      </w:r>
      <w:r w:rsidRPr="007F09F7">
        <w:rPr>
          <w:vertAlign w:val="subscript"/>
        </w:rPr>
        <w:t>2</w:t>
      </w:r>
      <w:r w:rsidRPr="004F1EC8">
        <w:rPr>
          <w:vertAlign w:val="subscript"/>
        </w:rPr>
        <w:t>e</w:t>
      </w:r>
      <w:r>
        <w:t>, au format Kyoto, scénario AME 2021</w:t>
      </w:r>
      <w:bookmarkEnd w:id="154"/>
    </w:p>
    <w:p w14:paraId="2170FA0B" w14:textId="77777777" w:rsidR="004D4A28" w:rsidRPr="001E34E8" w:rsidRDefault="004D4A28" w:rsidP="004D4A28">
      <w:pPr>
        <w:pStyle w:val="Caption"/>
      </w:pPr>
      <w:r>
        <w:t>Source : Inventaire CCNUCC, Citepa/MTE, soumission 2022 et projections d’émissions MTE, 2021</w:t>
      </w:r>
    </w:p>
    <w:p w14:paraId="06354673" w14:textId="77777777" w:rsidR="004D4A28" w:rsidRDefault="004D4A28" w:rsidP="004D4A28">
      <w:pPr>
        <w:rPr>
          <w:rFonts w:eastAsiaTheme="majorEastAsia"/>
          <w:noProof/>
        </w:rPr>
      </w:pPr>
    </w:p>
    <w:p w14:paraId="44DC6412" w14:textId="77777777" w:rsidR="004D4A28" w:rsidRPr="001E34E8" w:rsidRDefault="004D4A28" w:rsidP="004D4A28">
      <w:pPr>
        <w:jc w:val="center"/>
      </w:pPr>
      <w:r w:rsidRPr="00BA4A6C">
        <w:t xml:space="preserve"> </w:t>
      </w:r>
    </w:p>
    <w:p w14:paraId="55F7EC84" w14:textId="77777777" w:rsidR="004D4A28" w:rsidRDefault="004D4A28" w:rsidP="004D4A28">
      <w:pPr>
        <w:pStyle w:val="Caption"/>
      </w:pPr>
      <w:bookmarkStart w:id="155" w:name="_Toc123916470"/>
      <w:r>
        <w:rPr>
          <w:noProof/>
        </w:rPr>
        <w:drawing>
          <wp:inline distT="0" distB="0" distL="0" distR="0" wp14:anchorId="57A2A6CE" wp14:editId="15E61EA8">
            <wp:extent cx="6318250" cy="3420110"/>
            <wp:effectExtent l="0" t="0" r="6350" b="8890"/>
            <wp:docPr id="28702" name="Graphique 28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3965F6"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59</w:t>
      </w:r>
      <w:r w:rsidR="00757301">
        <w:rPr>
          <w:noProof/>
        </w:rPr>
        <w:fldChar w:fldCharType="end"/>
      </w:r>
      <w:r>
        <w:t> : Projection par gaz avec UTCATF en ktCO</w:t>
      </w:r>
      <w:r w:rsidRPr="007F09F7">
        <w:rPr>
          <w:vertAlign w:val="subscript"/>
        </w:rPr>
        <w:t>2</w:t>
      </w:r>
      <w:r w:rsidRPr="004F1EC8">
        <w:rPr>
          <w:vertAlign w:val="subscript"/>
        </w:rPr>
        <w:t>e</w:t>
      </w:r>
      <w:r>
        <w:t>, au format Kyoto, scénario AME 2021</w:t>
      </w:r>
      <w:bookmarkEnd w:id="155"/>
    </w:p>
    <w:p w14:paraId="6C095852" w14:textId="77777777" w:rsidR="004D4A28" w:rsidRDefault="004D4A28" w:rsidP="004D4A28">
      <w:pPr>
        <w:pStyle w:val="Caption"/>
      </w:pPr>
      <w:r>
        <w:t>Source : Inventaire CCNUCC, Citepa/MTES, soumission 2022 et projections d’émissions MTES, 2021</w:t>
      </w:r>
    </w:p>
    <w:p w14:paraId="3D8E2658" w14:textId="77777777" w:rsidR="004D4A28" w:rsidRPr="00D737AE" w:rsidRDefault="004D4A28" w:rsidP="004D4A28"/>
    <w:p w14:paraId="1161CED2" w14:textId="77777777" w:rsidR="004D4A28" w:rsidRDefault="004D4A28" w:rsidP="00573042">
      <w:pPr>
        <w:pStyle w:val="titreencadre"/>
        <w:numPr>
          <w:ilvl w:val="3"/>
          <w:numId w:val="59"/>
        </w:numPr>
        <w:spacing w:before="120" w:after="60" w:line="240" w:lineRule="auto"/>
      </w:pPr>
      <w:r>
        <w:t>AMS 2018</w:t>
      </w:r>
    </w:p>
    <w:p w14:paraId="70480163" w14:textId="77777777" w:rsidR="004D4A28" w:rsidRDefault="004D4A28" w:rsidP="004D4A28"/>
    <w:tbl>
      <w:tblPr>
        <w:tblStyle w:val="TableGrid0"/>
        <w:tblW w:w="10338" w:type="dxa"/>
        <w:tblInd w:w="7" w:type="dxa"/>
        <w:tblLayout w:type="fixed"/>
        <w:tblCellMar>
          <w:top w:w="106" w:type="dxa"/>
          <w:left w:w="27" w:type="dxa"/>
        </w:tblCellMar>
        <w:tblLook w:val="04A0" w:firstRow="1" w:lastRow="0" w:firstColumn="1" w:lastColumn="0" w:noHBand="0" w:noVBand="1"/>
      </w:tblPr>
      <w:tblGrid>
        <w:gridCol w:w="521"/>
        <w:gridCol w:w="826"/>
        <w:gridCol w:w="825"/>
        <w:gridCol w:w="825"/>
        <w:gridCol w:w="825"/>
        <w:gridCol w:w="828"/>
        <w:gridCol w:w="664"/>
        <w:gridCol w:w="172"/>
        <w:gridCol w:w="741"/>
        <w:gridCol w:w="851"/>
        <w:gridCol w:w="850"/>
        <w:gridCol w:w="851"/>
        <w:gridCol w:w="709"/>
        <w:gridCol w:w="850"/>
      </w:tblGrid>
      <w:tr w:rsidR="004D4A28" w14:paraId="3EB5B586" w14:textId="77777777" w:rsidTr="00361368">
        <w:trPr>
          <w:trHeight w:val="401"/>
        </w:trPr>
        <w:tc>
          <w:tcPr>
            <w:tcW w:w="521" w:type="dxa"/>
            <w:tcBorders>
              <w:top w:val="single" w:sz="2" w:space="0" w:color="000000"/>
              <w:left w:val="single" w:sz="2" w:space="0" w:color="000000"/>
              <w:bottom w:val="single" w:sz="2" w:space="0" w:color="000000"/>
              <w:right w:val="single" w:sz="2" w:space="0" w:color="000000"/>
            </w:tcBorders>
            <w:shd w:val="clear" w:color="auto" w:fill="6D2A78"/>
          </w:tcPr>
          <w:p w14:paraId="156A2E86" w14:textId="77777777" w:rsidR="004D4A28" w:rsidRPr="00E8711A" w:rsidRDefault="004D4A28" w:rsidP="00361368">
            <w:pPr>
              <w:spacing w:line="259" w:lineRule="auto"/>
              <w:rPr>
                <w:b/>
              </w:rPr>
            </w:pPr>
            <w:r w:rsidRPr="00E8711A">
              <w:rPr>
                <w:b/>
                <w:color w:val="FFFFFF" w:themeColor="background1"/>
              </w:rPr>
              <w:t>AMS 2018</w:t>
            </w:r>
          </w:p>
        </w:tc>
        <w:tc>
          <w:tcPr>
            <w:tcW w:w="826" w:type="dxa"/>
            <w:tcBorders>
              <w:top w:val="single" w:sz="2" w:space="0" w:color="000000"/>
              <w:left w:val="single" w:sz="2" w:space="0" w:color="000000"/>
              <w:bottom w:val="single" w:sz="2" w:space="0" w:color="000000"/>
              <w:right w:val="single" w:sz="2" w:space="0" w:color="000000"/>
            </w:tcBorders>
            <w:shd w:val="clear" w:color="auto" w:fill="6D2A78"/>
          </w:tcPr>
          <w:p w14:paraId="25879263" w14:textId="77777777" w:rsidR="004D4A28" w:rsidRDefault="004D4A28" w:rsidP="00361368">
            <w:pPr>
              <w:spacing w:line="259" w:lineRule="auto"/>
              <w:ind w:right="23"/>
              <w:jc w:val="center"/>
            </w:pPr>
            <w:r>
              <w:rPr>
                <w:b/>
                <w:color w:val="FFFFFF"/>
                <w:sz w:val="18"/>
              </w:rPr>
              <w:t xml:space="preserve">1990 </w:t>
            </w:r>
          </w:p>
        </w:tc>
        <w:tc>
          <w:tcPr>
            <w:tcW w:w="825" w:type="dxa"/>
            <w:tcBorders>
              <w:top w:val="single" w:sz="2" w:space="0" w:color="000000"/>
              <w:left w:val="single" w:sz="2" w:space="0" w:color="000000"/>
              <w:bottom w:val="single" w:sz="2" w:space="0" w:color="000000"/>
              <w:right w:val="single" w:sz="2" w:space="0" w:color="000000"/>
            </w:tcBorders>
            <w:shd w:val="clear" w:color="auto" w:fill="6D2A78"/>
          </w:tcPr>
          <w:p w14:paraId="5D07B349" w14:textId="77777777" w:rsidR="004D4A28" w:rsidRDefault="004D4A28" w:rsidP="00361368">
            <w:pPr>
              <w:spacing w:line="259" w:lineRule="auto"/>
              <w:ind w:right="26"/>
              <w:jc w:val="center"/>
              <w:rPr>
                <w:b/>
                <w:color w:val="FFFFFF"/>
                <w:sz w:val="18"/>
              </w:rPr>
            </w:pPr>
            <w:r>
              <w:rPr>
                <w:b/>
                <w:color w:val="FFFFFF"/>
                <w:sz w:val="18"/>
              </w:rPr>
              <w:t>1995</w:t>
            </w:r>
          </w:p>
        </w:tc>
        <w:tc>
          <w:tcPr>
            <w:tcW w:w="825" w:type="dxa"/>
            <w:tcBorders>
              <w:top w:val="single" w:sz="2" w:space="0" w:color="000000"/>
              <w:left w:val="single" w:sz="2" w:space="0" w:color="000000"/>
              <w:bottom w:val="single" w:sz="2" w:space="0" w:color="000000"/>
              <w:right w:val="single" w:sz="2" w:space="0" w:color="000000"/>
            </w:tcBorders>
            <w:shd w:val="clear" w:color="auto" w:fill="6D2A78"/>
          </w:tcPr>
          <w:p w14:paraId="0B75D0C3" w14:textId="77777777" w:rsidR="004D4A28" w:rsidRDefault="004D4A28" w:rsidP="00361368">
            <w:pPr>
              <w:spacing w:line="259" w:lineRule="auto"/>
              <w:ind w:right="26"/>
              <w:jc w:val="center"/>
            </w:pPr>
            <w:r>
              <w:rPr>
                <w:b/>
                <w:color w:val="FFFFFF"/>
                <w:sz w:val="18"/>
              </w:rPr>
              <w:t xml:space="preserve">2000 </w:t>
            </w:r>
          </w:p>
        </w:tc>
        <w:tc>
          <w:tcPr>
            <w:tcW w:w="825" w:type="dxa"/>
            <w:tcBorders>
              <w:top w:val="single" w:sz="2" w:space="0" w:color="000000"/>
              <w:left w:val="single" w:sz="2" w:space="0" w:color="000000"/>
              <w:bottom w:val="single" w:sz="2" w:space="0" w:color="000000"/>
              <w:right w:val="single" w:sz="2" w:space="0" w:color="000000"/>
            </w:tcBorders>
            <w:shd w:val="clear" w:color="auto" w:fill="6D2A78"/>
          </w:tcPr>
          <w:p w14:paraId="41D68921" w14:textId="77777777" w:rsidR="004D4A28" w:rsidRDefault="004D4A28" w:rsidP="00361368">
            <w:pPr>
              <w:spacing w:line="259" w:lineRule="auto"/>
              <w:ind w:right="23"/>
              <w:jc w:val="center"/>
            </w:pPr>
            <w:r>
              <w:rPr>
                <w:b/>
                <w:color w:val="FFFFFF"/>
                <w:sz w:val="18"/>
              </w:rPr>
              <w:t xml:space="preserve">2005 </w:t>
            </w:r>
          </w:p>
        </w:tc>
        <w:tc>
          <w:tcPr>
            <w:tcW w:w="828" w:type="dxa"/>
            <w:tcBorders>
              <w:top w:val="single" w:sz="2" w:space="0" w:color="000000"/>
              <w:left w:val="single" w:sz="2" w:space="0" w:color="000000"/>
              <w:bottom w:val="single" w:sz="2" w:space="0" w:color="000000"/>
              <w:right w:val="single" w:sz="2" w:space="0" w:color="000000"/>
            </w:tcBorders>
            <w:shd w:val="clear" w:color="auto" w:fill="6D2A78"/>
          </w:tcPr>
          <w:p w14:paraId="5E578AFB" w14:textId="77777777" w:rsidR="004D4A28" w:rsidRDefault="004D4A28" w:rsidP="00361368">
            <w:pPr>
              <w:spacing w:line="259" w:lineRule="auto"/>
              <w:ind w:right="26"/>
              <w:jc w:val="center"/>
            </w:pPr>
            <w:r>
              <w:rPr>
                <w:b/>
                <w:color w:val="FFFFFF"/>
                <w:sz w:val="18"/>
              </w:rPr>
              <w:t xml:space="preserve">2010 </w:t>
            </w:r>
          </w:p>
        </w:tc>
        <w:tc>
          <w:tcPr>
            <w:tcW w:w="664" w:type="dxa"/>
            <w:tcBorders>
              <w:top w:val="single" w:sz="2" w:space="0" w:color="000000"/>
              <w:left w:val="single" w:sz="2" w:space="0" w:color="000000"/>
              <w:bottom w:val="single" w:sz="2" w:space="0" w:color="000000"/>
              <w:right w:val="single" w:sz="2" w:space="0" w:color="000000"/>
            </w:tcBorders>
            <w:shd w:val="clear" w:color="auto" w:fill="6D2A78"/>
          </w:tcPr>
          <w:p w14:paraId="5F7BB0C6" w14:textId="77777777" w:rsidR="004D4A28" w:rsidRDefault="004D4A28" w:rsidP="00361368">
            <w:pPr>
              <w:spacing w:line="259" w:lineRule="auto"/>
              <w:ind w:right="23"/>
              <w:jc w:val="center"/>
            </w:pPr>
            <w:r>
              <w:rPr>
                <w:b/>
                <w:color w:val="FFFFFF"/>
                <w:sz w:val="18"/>
              </w:rPr>
              <w:t xml:space="preserve">2015 </w:t>
            </w:r>
          </w:p>
        </w:tc>
        <w:tc>
          <w:tcPr>
            <w:tcW w:w="913" w:type="dxa"/>
            <w:gridSpan w:val="2"/>
            <w:tcBorders>
              <w:top w:val="single" w:sz="2" w:space="0" w:color="000000"/>
              <w:left w:val="single" w:sz="2" w:space="0" w:color="000000"/>
              <w:bottom w:val="single" w:sz="2" w:space="0" w:color="000000"/>
              <w:right w:val="single" w:sz="2" w:space="0" w:color="000000"/>
            </w:tcBorders>
            <w:shd w:val="clear" w:color="auto" w:fill="6D2A78"/>
          </w:tcPr>
          <w:p w14:paraId="273983DB" w14:textId="77777777" w:rsidR="004D4A28" w:rsidRDefault="004D4A28" w:rsidP="00361368">
            <w:pPr>
              <w:spacing w:line="259" w:lineRule="auto"/>
              <w:ind w:right="26"/>
              <w:jc w:val="center"/>
              <w:rPr>
                <w:b/>
                <w:color w:val="FFFFFF"/>
                <w:sz w:val="18"/>
              </w:rPr>
            </w:pPr>
            <w:r>
              <w:rPr>
                <w:b/>
                <w:color w:val="FFFFFF"/>
                <w:sz w:val="18"/>
              </w:rPr>
              <w:t>2019</w:t>
            </w:r>
          </w:p>
        </w:tc>
        <w:tc>
          <w:tcPr>
            <w:tcW w:w="851" w:type="dxa"/>
            <w:tcBorders>
              <w:top w:val="single" w:sz="2" w:space="0" w:color="000000"/>
              <w:left w:val="single" w:sz="2" w:space="0" w:color="000000"/>
              <w:bottom w:val="single" w:sz="2" w:space="0" w:color="000000"/>
              <w:right w:val="single" w:sz="2" w:space="0" w:color="000000"/>
            </w:tcBorders>
            <w:shd w:val="clear" w:color="auto" w:fill="6D2A78"/>
          </w:tcPr>
          <w:p w14:paraId="64843FEC" w14:textId="77777777" w:rsidR="004D4A28" w:rsidRDefault="004D4A28" w:rsidP="00361368">
            <w:pPr>
              <w:spacing w:line="259" w:lineRule="auto"/>
              <w:ind w:right="26"/>
              <w:jc w:val="center"/>
            </w:pPr>
            <w:r>
              <w:rPr>
                <w:b/>
                <w:color w:val="FFFFFF"/>
                <w:sz w:val="18"/>
              </w:rPr>
              <w:t xml:space="preserve">2020 </w:t>
            </w:r>
          </w:p>
        </w:tc>
        <w:tc>
          <w:tcPr>
            <w:tcW w:w="850" w:type="dxa"/>
            <w:tcBorders>
              <w:top w:val="single" w:sz="2" w:space="0" w:color="000000"/>
              <w:left w:val="single" w:sz="2" w:space="0" w:color="000000"/>
              <w:bottom w:val="single" w:sz="2" w:space="0" w:color="000000"/>
              <w:right w:val="single" w:sz="2" w:space="0" w:color="000000"/>
            </w:tcBorders>
            <w:shd w:val="clear" w:color="auto" w:fill="6D2A78"/>
          </w:tcPr>
          <w:p w14:paraId="409538FF" w14:textId="77777777" w:rsidR="004D4A28" w:rsidRDefault="004D4A28" w:rsidP="00361368">
            <w:pPr>
              <w:spacing w:line="259" w:lineRule="auto"/>
              <w:ind w:right="23"/>
              <w:jc w:val="center"/>
            </w:pPr>
            <w:r>
              <w:rPr>
                <w:b/>
                <w:color w:val="FFFFFF"/>
                <w:sz w:val="18"/>
              </w:rPr>
              <w:t xml:space="preserve">2025 </w:t>
            </w:r>
          </w:p>
        </w:tc>
        <w:tc>
          <w:tcPr>
            <w:tcW w:w="851" w:type="dxa"/>
            <w:tcBorders>
              <w:top w:val="single" w:sz="2" w:space="0" w:color="000000"/>
              <w:left w:val="single" w:sz="2" w:space="0" w:color="000000"/>
              <w:bottom w:val="single" w:sz="2" w:space="0" w:color="000000"/>
              <w:right w:val="single" w:sz="2" w:space="0" w:color="000000"/>
            </w:tcBorders>
            <w:shd w:val="clear" w:color="auto" w:fill="6D2A78"/>
          </w:tcPr>
          <w:p w14:paraId="37B85692" w14:textId="77777777" w:rsidR="004D4A28" w:rsidRDefault="004D4A28" w:rsidP="00361368">
            <w:pPr>
              <w:spacing w:line="259" w:lineRule="auto"/>
              <w:ind w:right="26"/>
              <w:jc w:val="center"/>
            </w:pPr>
            <w:r>
              <w:rPr>
                <w:b/>
                <w:color w:val="FFFFFF"/>
                <w:sz w:val="18"/>
              </w:rPr>
              <w:t xml:space="preserve">2030 </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35DDE0E7" w14:textId="77777777" w:rsidR="004D4A28" w:rsidRDefault="004D4A28" w:rsidP="00361368">
            <w:pPr>
              <w:spacing w:line="259" w:lineRule="auto"/>
              <w:ind w:right="23"/>
              <w:jc w:val="center"/>
            </w:pPr>
            <w:r>
              <w:rPr>
                <w:b/>
                <w:color w:val="FFFFFF"/>
                <w:sz w:val="18"/>
              </w:rPr>
              <w:t xml:space="preserve">2035 </w:t>
            </w:r>
          </w:p>
        </w:tc>
        <w:tc>
          <w:tcPr>
            <w:tcW w:w="850" w:type="dxa"/>
            <w:tcBorders>
              <w:top w:val="single" w:sz="2" w:space="0" w:color="000000"/>
              <w:left w:val="single" w:sz="2" w:space="0" w:color="000000"/>
              <w:bottom w:val="single" w:sz="2" w:space="0" w:color="000000"/>
              <w:right w:val="single" w:sz="2" w:space="0" w:color="000000"/>
            </w:tcBorders>
            <w:shd w:val="clear" w:color="auto" w:fill="6D2A78"/>
          </w:tcPr>
          <w:p w14:paraId="1C09CACC" w14:textId="77777777" w:rsidR="004D4A28" w:rsidRDefault="004D4A28" w:rsidP="00361368">
            <w:pPr>
              <w:spacing w:line="259" w:lineRule="auto"/>
              <w:ind w:right="23"/>
              <w:jc w:val="center"/>
              <w:rPr>
                <w:b/>
                <w:color w:val="FFFFFF"/>
                <w:sz w:val="18"/>
              </w:rPr>
            </w:pPr>
            <w:r>
              <w:rPr>
                <w:b/>
                <w:color w:val="FFFFFF"/>
                <w:sz w:val="18"/>
              </w:rPr>
              <w:t>2050</w:t>
            </w:r>
          </w:p>
        </w:tc>
      </w:tr>
      <w:tr w:rsidR="004D4A28" w14:paraId="07ABF4CC" w14:textId="77777777" w:rsidTr="00361368">
        <w:trPr>
          <w:trHeight w:val="401"/>
        </w:trPr>
        <w:tc>
          <w:tcPr>
            <w:tcW w:w="521" w:type="dxa"/>
            <w:tcBorders>
              <w:top w:val="single" w:sz="2" w:space="0" w:color="000000"/>
              <w:left w:val="single" w:sz="2" w:space="0" w:color="000000"/>
              <w:bottom w:val="single" w:sz="2" w:space="0" w:color="000000"/>
              <w:right w:val="single" w:sz="2" w:space="0" w:color="000000"/>
            </w:tcBorders>
            <w:shd w:val="clear" w:color="auto" w:fill="6D2A78"/>
          </w:tcPr>
          <w:p w14:paraId="5C019F1C" w14:textId="77777777" w:rsidR="004D4A28" w:rsidRDefault="004D4A28" w:rsidP="00361368">
            <w:pPr>
              <w:spacing w:line="259" w:lineRule="auto"/>
            </w:pPr>
            <w:r w:rsidRPr="00E8711A">
              <w:rPr>
                <w:color w:val="FFFFFF" w:themeColor="background1"/>
              </w:rPr>
              <w:t>kt</w:t>
            </w:r>
            <w:r>
              <w:t>CO</w:t>
            </w:r>
            <w:r w:rsidRPr="007F09F7">
              <w:rPr>
                <w:vertAlign w:val="subscript"/>
              </w:rPr>
              <w:t>2</w:t>
            </w:r>
            <w:r w:rsidRPr="004F1EC8">
              <w:rPr>
                <w:color w:val="FFFFFF" w:themeColor="background1"/>
                <w:vertAlign w:val="subscript"/>
              </w:rPr>
              <w:t>e</w:t>
            </w:r>
          </w:p>
        </w:tc>
        <w:tc>
          <w:tcPr>
            <w:tcW w:w="5706" w:type="dxa"/>
            <w:gridSpan w:val="8"/>
            <w:tcBorders>
              <w:top w:val="single" w:sz="2" w:space="0" w:color="000000"/>
              <w:left w:val="single" w:sz="2" w:space="0" w:color="000000"/>
              <w:bottom w:val="single" w:sz="2" w:space="0" w:color="000000"/>
              <w:right w:val="single" w:sz="2" w:space="0" w:color="000000"/>
            </w:tcBorders>
            <w:shd w:val="clear" w:color="auto" w:fill="6D2A78"/>
          </w:tcPr>
          <w:p w14:paraId="4541CF50" w14:textId="77777777" w:rsidR="004D4A28" w:rsidRDefault="004D4A28" w:rsidP="00361368">
            <w:pPr>
              <w:spacing w:line="259" w:lineRule="auto"/>
              <w:ind w:right="23"/>
              <w:jc w:val="center"/>
              <w:rPr>
                <w:b/>
                <w:color w:val="FFFFFF"/>
                <w:sz w:val="18"/>
              </w:rPr>
            </w:pPr>
            <w:r>
              <w:rPr>
                <w:b/>
                <w:color w:val="FFFFFF"/>
                <w:sz w:val="18"/>
              </w:rPr>
              <w:t>Observé</w:t>
            </w:r>
          </w:p>
        </w:tc>
        <w:tc>
          <w:tcPr>
            <w:tcW w:w="4111" w:type="dxa"/>
            <w:gridSpan w:val="5"/>
            <w:tcBorders>
              <w:top w:val="single" w:sz="2" w:space="0" w:color="000000"/>
              <w:left w:val="single" w:sz="2" w:space="0" w:color="000000"/>
              <w:bottom w:val="single" w:sz="2" w:space="0" w:color="000000"/>
              <w:right w:val="single" w:sz="2" w:space="0" w:color="000000"/>
            </w:tcBorders>
            <w:shd w:val="clear" w:color="auto" w:fill="6D2A78"/>
          </w:tcPr>
          <w:p w14:paraId="08BAF740" w14:textId="77777777" w:rsidR="004D4A28" w:rsidRDefault="004D4A28" w:rsidP="00361368">
            <w:pPr>
              <w:spacing w:line="259" w:lineRule="auto"/>
              <w:ind w:right="23"/>
              <w:jc w:val="center"/>
              <w:rPr>
                <w:b/>
                <w:color w:val="FFFFFF"/>
                <w:sz w:val="18"/>
              </w:rPr>
            </w:pPr>
            <w:r>
              <w:rPr>
                <w:b/>
                <w:color w:val="FFFFFF"/>
                <w:sz w:val="18"/>
              </w:rPr>
              <w:t>Projeté</w:t>
            </w:r>
          </w:p>
        </w:tc>
      </w:tr>
      <w:tr w:rsidR="009433BD" w14:paraId="7ABF0C5F" w14:textId="77777777" w:rsidTr="00361368">
        <w:trPr>
          <w:trHeight w:val="342"/>
        </w:trPr>
        <w:tc>
          <w:tcPr>
            <w:tcW w:w="521" w:type="dxa"/>
            <w:tcBorders>
              <w:top w:val="single" w:sz="2" w:space="0" w:color="000000"/>
              <w:left w:val="single" w:sz="2" w:space="0" w:color="000000"/>
              <w:bottom w:val="single" w:sz="2" w:space="0" w:color="000000"/>
              <w:right w:val="single" w:sz="2" w:space="0" w:color="000000"/>
            </w:tcBorders>
            <w:shd w:val="clear" w:color="auto" w:fill="ECE6E2"/>
          </w:tcPr>
          <w:p w14:paraId="6ADADF78" w14:textId="77777777" w:rsidR="009433BD" w:rsidRDefault="009433BD" w:rsidP="009433BD">
            <w:pPr>
              <w:spacing w:line="259" w:lineRule="auto"/>
              <w:jc w:val="left"/>
            </w:pPr>
            <w:r>
              <w:t>CO</w:t>
            </w:r>
            <w:r w:rsidRPr="007F09F7">
              <w:rPr>
                <w:vertAlign w:val="subscript"/>
              </w:rPr>
              <w:t>2</w:t>
            </w:r>
            <w:r>
              <w:rPr>
                <w:sz w:val="18"/>
              </w:rPr>
              <w:t xml:space="preserve"> hors UTCF </w:t>
            </w:r>
          </w:p>
        </w:tc>
        <w:tc>
          <w:tcPr>
            <w:tcW w:w="82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BBE29F" w14:textId="77777777" w:rsidR="009433BD" w:rsidRPr="00E220B9" w:rsidRDefault="009433BD" w:rsidP="009433BD">
            <w:pPr>
              <w:spacing w:line="259" w:lineRule="auto"/>
              <w:ind w:left="59"/>
              <w:jc w:val="left"/>
              <w:rPr>
                <w:sz w:val="16"/>
                <w:szCs w:val="16"/>
              </w:rPr>
            </w:pPr>
            <w:r>
              <w:rPr>
                <w:sz w:val="18"/>
                <w:szCs w:val="18"/>
              </w:rPr>
              <w:t>398425</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F1DA7B" w14:textId="77777777" w:rsidR="009433BD" w:rsidRPr="00E220B9" w:rsidRDefault="009433BD" w:rsidP="009433BD">
            <w:pPr>
              <w:spacing w:line="259" w:lineRule="auto"/>
              <w:ind w:left="59"/>
              <w:jc w:val="left"/>
              <w:rPr>
                <w:sz w:val="16"/>
                <w:szCs w:val="16"/>
              </w:rPr>
            </w:pPr>
            <w:r>
              <w:rPr>
                <w:sz w:val="18"/>
                <w:szCs w:val="18"/>
              </w:rPr>
              <w:t>392916</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579007" w14:textId="77777777" w:rsidR="009433BD" w:rsidRPr="00E220B9" w:rsidRDefault="009433BD" w:rsidP="009433BD">
            <w:pPr>
              <w:spacing w:line="259" w:lineRule="auto"/>
              <w:ind w:left="59"/>
              <w:jc w:val="left"/>
              <w:rPr>
                <w:sz w:val="16"/>
                <w:szCs w:val="16"/>
              </w:rPr>
            </w:pPr>
            <w:r>
              <w:rPr>
                <w:sz w:val="18"/>
                <w:szCs w:val="18"/>
              </w:rPr>
              <w:t>414788</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3D333C" w14:textId="77777777" w:rsidR="009433BD" w:rsidRPr="00E220B9" w:rsidRDefault="009433BD" w:rsidP="009433BD">
            <w:pPr>
              <w:spacing w:line="259" w:lineRule="auto"/>
              <w:ind w:left="59"/>
              <w:jc w:val="left"/>
              <w:rPr>
                <w:sz w:val="16"/>
                <w:szCs w:val="16"/>
              </w:rPr>
            </w:pPr>
            <w:r>
              <w:rPr>
                <w:sz w:val="18"/>
                <w:szCs w:val="18"/>
              </w:rPr>
              <w:t>425444</w:t>
            </w:r>
          </w:p>
        </w:tc>
        <w:tc>
          <w:tcPr>
            <w:tcW w:w="82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E364B5" w14:textId="77777777" w:rsidR="009433BD" w:rsidRPr="00E220B9" w:rsidRDefault="009433BD" w:rsidP="009433BD">
            <w:pPr>
              <w:spacing w:line="259" w:lineRule="auto"/>
              <w:ind w:left="59"/>
              <w:jc w:val="left"/>
              <w:rPr>
                <w:sz w:val="16"/>
                <w:szCs w:val="16"/>
              </w:rPr>
            </w:pPr>
            <w:r>
              <w:rPr>
                <w:sz w:val="18"/>
                <w:szCs w:val="18"/>
              </w:rPr>
              <w:t>386872</w:t>
            </w:r>
          </w:p>
        </w:tc>
        <w:tc>
          <w:tcPr>
            <w:tcW w:w="836" w:type="dxa"/>
            <w:gridSpan w:val="2"/>
            <w:tcBorders>
              <w:top w:val="single" w:sz="2" w:space="0" w:color="000000"/>
              <w:left w:val="single" w:sz="2" w:space="0" w:color="000000"/>
              <w:bottom w:val="single" w:sz="2" w:space="0" w:color="000000"/>
              <w:right w:val="single" w:sz="2" w:space="0" w:color="000000"/>
            </w:tcBorders>
            <w:shd w:val="clear" w:color="auto" w:fill="ECE6E2"/>
            <w:vAlign w:val="center"/>
          </w:tcPr>
          <w:p w14:paraId="7A9B3A68" w14:textId="77777777" w:rsidR="009433BD" w:rsidRPr="00E220B9" w:rsidRDefault="009433BD" w:rsidP="009433BD">
            <w:pPr>
              <w:spacing w:line="259" w:lineRule="auto"/>
              <w:ind w:left="59"/>
              <w:jc w:val="left"/>
              <w:rPr>
                <w:sz w:val="16"/>
                <w:szCs w:val="16"/>
              </w:rPr>
            </w:pPr>
            <w:r>
              <w:rPr>
                <w:sz w:val="18"/>
                <w:szCs w:val="18"/>
              </w:rPr>
              <w:t>341631</w:t>
            </w:r>
          </w:p>
        </w:tc>
        <w:tc>
          <w:tcPr>
            <w:tcW w:w="74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1CB300" w14:textId="77777777" w:rsidR="009433BD" w:rsidRPr="00E220B9" w:rsidRDefault="009433BD" w:rsidP="009433BD">
            <w:pPr>
              <w:spacing w:line="259" w:lineRule="auto"/>
              <w:ind w:left="64"/>
              <w:jc w:val="left"/>
              <w:rPr>
                <w:rFonts w:ascii="Calibri" w:hAnsi="Calibri" w:cs="Calibri"/>
                <w:sz w:val="20"/>
                <w:szCs w:val="20"/>
              </w:rPr>
            </w:pPr>
            <w:r>
              <w:rPr>
                <w:sz w:val="18"/>
                <w:szCs w:val="18"/>
              </w:rPr>
              <w:t>326725</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0BCD5B" w14:textId="77777777" w:rsidR="009433BD" w:rsidRPr="00E220B9" w:rsidRDefault="009433BD" w:rsidP="009433BD">
            <w:pPr>
              <w:spacing w:line="259" w:lineRule="auto"/>
              <w:ind w:left="64"/>
              <w:jc w:val="left"/>
              <w:rPr>
                <w:sz w:val="16"/>
                <w:szCs w:val="16"/>
              </w:rPr>
            </w:pPr>
            <w:r>
              <w:rPr>
                <w:rFonts w:asciiTheme="majorHAnsi" w:hAnsiTheme="majorHAnsi"/>
                <w:sz w:val="18"/>
                <w:szCs w:val="18"/>
              </w:rPr>
              <w:t>325904</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D20B67" w14:textId="77777777" w:rsidR="009433BD" w:rsidRPr="00E220B9" w:rsidRDefault="009433BD" w:rsidP="009433BD">
            <w:pPr>
              <w:spacing w:line="259" w:lineRule="auto"/>
              <w:ind w:left="59"/>
              <w:jc w:val="left"/>
              <w:rPr>
                <w:sz w:val="16"/>
                <w:szCs w:val="16"/>
              </w:rPr>
            </w:pPr>
            <w:r>
              <w:rPr>
                <w:rFonts w:asciiTheme="majorHAnsi" w:hAnsiTheme="majorHAnsi"/>
                <w:sz w:val="18"/>
                <w:szCs w:val="18"/>
              </w:rPr>
              <w:t>273167</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0C451C" w14:textId="77777777" w:rsidR="009433BD" w:rsidRPr="00E220B9" w:rsidRDefault="009433BD" w:rsidP="009433BD">
            <w:pPr>
              <w:spacing w:line="259" w:lineRule="auto"/>
              <w:ind w:left="59"/>
              <w:jc w:val="left"/>
              <w:rPr>
                <w:sz w:val="16"/>
                <w:szCs w:val="16"/>
              </w:rPr>
            </w:pPr>
            <w:r>
              <w:rPr>
                <w:rFonts w:asciiTheme="majorHAnsi" w:hAnsiTheme="majorHAnsi"/>
                <w:sz w:val="18"/>
                <w:szCs w:val="18"/>
              </w:rPr>
              <w:t>220992</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C42314" w14:textId="77777777" w:rsidR="009433BD" w:rsidRPr="00E220B9" w:rsidRDefault="009433BD" w:rsidP="009433BD">
            <w:pPr>
              <w:spacing w:line="259" w:lineRule="auto"/>
              <w:ind w:left="59"/>
              <w:jc w:val="left"/>
              <w:rPr>
                <w:sz w:val="16"/>
                <w:szCs w:val="16"/>
              </w:rPr>
            </w:pPr>
            <w:r>
              <w:rPr>
                <w:rFonts w:asciiTheme="majorHAnsi" w:hAnsiTheme="majorHAnsi"/>
                <w:sz w:val="18"/>
                <w:szCs w:val="18"/>
              </w:rPr>
              <w:t>167257</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82A349" w14:textId="1B1735B4" w:rsidR="009433BD" w:rsidRPr="00E220B9" w:rsidRDefault="009433BD" w:rsidP="009433BD">
            <w:pPr>
              <w:spacing w:line="259" w:lineRule="auto"/>
              <w:ind w:left="59"/>
              <w:jc w:val="left"/>
              <w:rPr>
                <w:sz w:val="16"/>
                <w:szCs w:val="16"/>
              </w:rPr>
            </w:pPr>
            <w:r w:rsidRPr="000B08DE">
              <w:rPr>
                <w:sz w:val="18"/>
              </w:rPr>
              <w:t>6447</w:t>
            </w:r>
          </w:p>
        </w:tc>
      </w:tr>
      <w:tr w:rsidR="009433BD" w14:paraId="48872511" w14:textId="77777777" w:rsidTr="00361368">
        <w:trPr>
          <w:trHeight w:val="347"/>
        </w:trPr>
        <w:tc>
          <w:tcPr>
            <w:tcW w:w="521" w:type="dxa"/>
            <w:tcBorders>
              <w:top w:val="single" w:sz="2" w:space="0" w:color="000000"/>
              <w:left w:val="single" w:sz="2" w:space="0" w:color="000000"/>
              <w:bottom w:val="single" w:sz="2" w:space="0" w:color="000000"/>
              <w:right w:val="single" w:sz="2" w:space="0" w:color="000000"/>
            </w:tcBorders>
          </w:tcPr>
          <w:p w14:paraId="0E4A8516" w14:textId="77777777" w:rsidR="009433BD" w:rsidRDefault="009433BD" w:rsidP="009433BD">
            <w:pPr>
              <w:spacing w:line="259" w:lineRule="auto"/>
              <w:jc w:val="left"/>
            </w:pPr>
            <w:r>
              <w:t>CO</w:t>
            </w:r>
            <w:r w:rsidRPr="007F09F7">
              <w:rPr>
                <w:vertAlign w:val="subscript"/>
              </w:rPr>
              <w:t>2</w:t>
            </w:r>
            <w:r>
              <w:rPr>
                <w:sz w:val="18"/>
              </w:rPr>
              <w:t xml:space="preserve"> avec UTCF </w:t>
            </w:r>
          </w:p>
        </w:tc>
        <w:tc>
          <w:tcPr>
            <w:tcW w:w="826" w:type="dxa"/>
            <w:tcBorders>
              <w:top w:val="single" w:sz="2" w:space="0" w:color="000000"/>
              <w:left w:val="single" w:sz="2" w:space="0" w:color="000000"/>
              <w:bottom w:val="single" w:sz="2" w:space="0" w:color="000000"/>
              <w:right w:val="single" w:sz="2" w:space="0" w:color="000000"/>
            </w:tcBorders>
            <w:vAlign w:val="center"/>
          </w:tcPr>
          <w:p w14:paraId="5BE0581C" w14:textId="77777777" w:rsidR="009433BD" w:rsidRPr="00E220B9" w:rsidRDefault="009433BD" w:rsidP="009433BD">
            <w:pPr>
              <w:spacing w:line="259" w:lineRule="auto"/>
              <w:ind w:left="59"/>
              <w:jc w:val="left"/>
              <w:rPr>
                <w:sz w:val="16"/>
                <w:szCs w:val="16"/>
              </w:rPr>
            </w:pPr>
            <w:r>
              <w:rPr>
                <w:sz w:val="18"/>
                <w:szCs w:val="18"/>
              </w:rPr>
              <w:t>370280</w:t>
            </w:r>
          </w:p>
        </w:tc>
        <w:tc>
          <w:tcPr>
            <w:tcW w:w="825" w:type="dxa"/>
            <w:tcBorders>
              <w:top w:val="single" w:sz="2" w:space="0" w:color="000000"/>
              <w:left w:val="single" w:sz="2" w:space="0" w:color="000000"/>
              <w:bottom w:val="single" w:sz="2" w:space="0" w:color="000000"/>
              <w:right w:val="single" w:sz="2" w:space="0" w:color="000000"/>
            </w:tcBorders>
            <w:vAlign w:val="center"/>
          </w:tcPr>
          <w:p w14:paraId="48A11013" w14:textId="77777777" w:rsidR="009433BD" w:rsidRPr="00E220B9" w:rsidRDefault="009433BD" w:rsidP="009433BD">
            <w:pPr>
              <w:spacing w:line="259" w:lineRule="auto"/>
              <w:ind w:left="59"/>
              <w:jc w:val="left"/>
              <w:rPr>
                <w:sz w:val="16"/>
                <w:szCs w:val="16"/>
              </w:rPr>
            </w:pPr>
            <w:r>
              <w:rPr>
                <w:sz w:val="18"/>
                <w:szCs w:val="18"/>
              </w:rPr>
              <w:t>361121</w:t>
            </w:r>
          </w:p>
        </w:tc>
        <w:tc>
          <w:tcPr>
            <w:tcW w:w="825" w:type="dxa"/>
            <w:tcBorders>
              <w:top w:val="single" w:sz="2" w:space="0" w:color="000000"/>
              <w:left w:val="single" w:sz="2" w:space="0" w:color="000000"/>
              <w:bottom w:val="single" w:sz="2" w:space="0" w:color="000000"/>
              <w:right w:val="single" w:sz="2" w:space="0" w:color="000000"/>
            </w:tcBorders>
            <w:vAlign w:val="center"/>
          </w:tcPr>
          <w:p w14:paraId="65F283F0" w14:textId="77777777" w:rsidR="009433BD" w:rsidRPr="00E220B9" w:rsidRDefault="009433BD" w:rsidP="009433BD">
            <w:pPr>
              <w:spacing w:line="259" w:lineRule="auto"/>
              <w:ind w:left="59"/>
              <w:jc w:val="left"/>
              <w:rPr>
                <w:sz w:val="16"/>
                <w:szCs w:val="16"/>
              </w:rPr>
            </w:pPr>
            <w:r>
              <w:rPr>
                <w:sz w:val="18"/>
                <w:szCs w:val="18"/>
              </w:rPr>
              <w:t>390194</w:t>
            </w:r>
          </w:p>
        </w:tc>
        <w:tc>
          <w:tcPr>
            <w:tcW w:w="825" w:type="dxa"/>
            <w:tcBorders>
              <w:top w:val="single" w:sz="2" w:space="0" w:color="000000"/>
              <w:left w:val="single" w:sz="2" w:space="0" w:color="000000"/>
              <w:bottom w:val="single" w:sz="2" w:space="0" w:color="000000"/>
              <w:right w:val="single" w:sz="2" w:space="0" w:color="000000"/>
            </w:tcBorders>
            <w:vAlign w:val="center"/>
          </w:tcPr>
          <w:p w14:paraId="23BC82A1" w14:textId="77777777" w:rsidR="009433BD" w:rsidRPr="00E220B9" w:rsidRDefault="009433BD" w:rsidP="009433BD">
            <w:pPr>
              <w:spacing w:line="259" w:lineRule="auto"/>
              <w:ind w:left="59"/>
              <w:jc w:val="left"/>
              <w:rPr>
                <w:sz w:val="16"/>
                <w:szCs w:val="16"/>
              </w:rPr>
            </w:pPr>
            <w:r>
              <w:rPr>
                <w:sz w:val="18"/>
                <w:szCs w:val="18"/>
              </w:rPr>
              <w:t>373972</w:t>
            </w:r>
          </w:p>
        </w:tc>
        <w:tc>
          <w:tcPr>
            <w:tcW w:w="828" w:type="dxa"/>
            <w:tcBorders>
              <w:top w:val="single" w:sz="2" w:space="0" w:color="000000"/>
              <w:left w:val="single" w:sz="2" w:space="0" w:color="000000"/>
              <w:bottom w:val="single" w:sz="2" w:space="0" w:color="000000"/>
              <w:right w:val="single" w:sz="2" w:space="0" w:color="000000"/>
            </w:tcBorders>
            <w:vAlign w:val="center"/>
          </w:tcPr>
          <w:p w14:paraId="11EC184F" w14:textId="77777777" w:rsidR="009433BD" w:rsidRPr="00E220B9" w:rsidRDefault="009433BD" w:rsidP="009433BD">
            <w:pPr>
              <w:spacing w:line="259" w:lineRule="auto"/>
              <w:ind w:left="59"/>
              <w:jc w:val="left"/>
              <w:rPr>
                <w:sz w:val="16"/>
                <w:szCs w:val="16"/>
              </w:rPr>
            </w:pPr>
            <w:r>
              <w:rPr>
                <w:sz w:val="18"/>
                <w:szCs w:val="18"/>
              </w:rPr>
              <w:t>344171</w:t>
            </w:r>
          </w:p>
        </w:tc>
        <w:tc>
          <w:tcPr>
            <w:tcW w:w="836" w:type="dxa"/>
            <w:gridSpan w:val="2"/>
            <w:tcBorders>
              <w:top w:val="single" w:sz="2" w:space="0" w:color="000000"/>
              <w:left w:val="single" w:sz="2" w:space="0" w:color="000000"/>
              <w:bottom w:val="single" w:sz="2" w:space="0" w:color="000000"/>
              <w:right w:val="single" w:sz="2" w:space="0" w:color="000000"/>
            </w:tcBorders>
            <w:vAlign w:val="center"/>
          </w:tcPr>
          <w:p w14:paraId="296D3C8F" w14:textId="77777777" w:rsidR="009433BD" w:rsidRPr="00E220B9" w:rsidRDefault="009433BD" w:rsidP="009433BD">
            <w:pPr>
              <w:spacing w:line="259" w:lineRule="auto"/>
              <w:ind w:left="59"/>
              <w:jc w:val="left"/>
              <w:rPr>
                <w:sz w:val="16"/>
                <w:szCs w:val="16"/>
              </w:rPr>
            </w:pPr>
            <w:r>
              <w:rPr>
                <w:sz w:val="18"/>
                <w:szCs w:val="18"/>
              </w:rPr>
              <w:t>303032</w:t>
            </w:r>
          </w:p>
        </w:tc>
        <w:tc>
          <w:tcPr>
            <w:tcW w:w="741" w:type="dxa"/>
            <w:tcBorders>
              <w:top w:val="single" w:sz="2" w:space="0" w:color="000000"/>
              <w:left w:val="single" w:sz="2" w:space="0" w:color="000000"/>
              <w:bottom w:val="single" w:sz="2" w:space="0" w:color="000000"/>
              <w:right w:val="single" w:sz="2" w:space="0" w:color="000000"/>
            </w:tcBorders>
            <w:vAlign w:val="center"/>
          </w:tcPr>
          <w:p w14:paraId="5EB8F3B8" w14:textId="77777777" w:rsidR="009433BD" w:rsidRPr="00E220B9" w:rsidRDefault="009433BD" w:rsidP="009433BD">
            <w:pPr>
              <w:spacing w:line="259" w:lineRule="auto"/>
              <w:ind w:left="59"/>
              <w:jc w:val="left"/>
              <w:rPr>
                <w:rFonts w:ascii="Calibri" w:hAnsi="Calibri" w:cs="Calibri"/>
                <w:sz w:val="20"/>
                <w:szCs w:val="20"/>
              </w:rPr>
            </w:pPr>
            <w:r>
              <w:rPr>
                <w:sz w:val="18"/>
                <w:szCs w:val="18"/>
              </w:rPr>
              <w:t>310432</w:t>
            </w:r>
          </w:p>
        </w:tc>
        <w:tc>
          <w:tcPr>
            <w:tcW w:w="851" w:type="dxa"/>
            <w:tcBorders>
              <w:top w:val="single" w:sz="2" w:space="0" w:color="000000"/>
              <w:left w:val="single" w:sz="2" w:space="0" w:color="000000"/>
              <w:bottom w:val="single" w:sz="2" w:space="0" w:color="000000"/>
              <w:right w:val="single" w:sz="2" w:space="0" w:color="000000"/>
            </w:tcBorders>
            <w:vAlign w:val="center"/>
          </w:tcPr>
          <w:p w14:paraId="786AB567" w14:textId="77777777" w:rsidR="009433BD" w:rsidRPr="00E220B9" w:rsidRDefault="009433BD" w:rsidP="009433BD">
            <w:pPr>
              <w:spacing w:line="259" w:lineRule="auto"/>
              <w:ind w:left="59"/>
              <w:jc w:val="left"/>
              <w:rPr>
                <w:sz w:val="16"/>
                <w:szCs w:val="16"/>
              </w:rPr>
            </w:pPr>
            <w:r>
              <w:rPr>
                <w:rFonts w:asciiTheme="majorHAnsi" w:hAnsiTheme="majorHAnsi"/>
                <w:sz w:val="18"/>
                <w:szCs w:val="18"/>
              </w:rPr>
              <w:t>282686</w:t>
            </w:r>
          </w:p>
        </w:tc>
        <w:tc>
          <w:tcPr>
            <w:tcW w:w="850" w:type="dxa"/>
            <w:tcBorders>
              <w:top w:val="single" w:sz="2" w:space="0" w:color="000000"/>
              <w:left w:val="single" w:sz="2" w:space="0" w:color="000000"/>
              <w:bottom w:val="single" w:sz="2" w:space="0" w:color="000000"/>
              <w:right w:val="single" w:sz="2" w:space="0" w:color="000000"/>
            </w:tcBorders>
            <w:vAlign w:val="center"/>
          </w:tcPr>
          <w:p w14:paraId="30BE2F46" w14:textId="77777777" w:rsidR="009433BD" w:rsidRPr="00E220B9" w:rsidRDefault="009433BD" w:rsidP="009433BD">
            <w:pPr>
              <w:spacing w:line="259" w:lineRule="auto"/>
              <w:ind w:left="59"/>
              <w:jc w:val="left"/>
              <w:rPr>
                <w:sz w:val="16"/>
                <w:szCs w:val="16"/>
              </w:rPr>
            </w:pPr>
            <w:r>
              <w:rPr>
                <w:rFonts w:asciiTheme="majorHAnsi" w:hAnsiTheme="majorHAnsi"/>
                <w:sz w:val="18"/>
                <w:szCs w:val="18"/>
              </w:rPr>
              <w:t>231263</w:t>
            </w:r>
          </w:p>
        </w:tc>
        <w:tc>
          <w:tcPr>
            <w:tcW w:w="851" w:type="dxa"/>
            <w:tcBorders>
              <w:top w:val="single" w:sz="2" w:space="0" w:color="000000"/>
              <w:left w:val="single" w:sz="2" w:space="0" w:color="000000"/>
              <w:bottom w:val="single" w:sz="2" w:space="0" w:color="000000"/>
              <w:right w:val="single" w:sz="2" w:space="0" w:color="000000"/>
            </w:tcBorders>
            <w:vAlign w:val="center"/>
          </w:tcPr>
          <w:p w14:paraId="0B2857D7" w14:textId="77777777" w:rsidR="009433BD" w:rsidRPr="00E220B9" w:rsidRDefault="009433BD" w:rsidP="009433BD">
            <w:pPr>
              <w:spacing w:line="259" w:lineRule="auto"/>
              <w:ind w:left="59"/>
              <w:jc w:val="left"/>
              <w:rPr>
                <w:sz w:val="16"/>
                <w:szCs w:val="16"/>
              </w:rPr>
            </w:pPr>
            <w:r>
              <w:rPr>
                <w:rFonts w:asciiTheme="majorHAnsi" w:hAnsiTheme="majorHAnsi"/>
                <w:sz w:val="18"/>
                <w:szCs w:val="18"/>
              </w:rPr>
              <w:t>176617</w:t>
            </w:r>
          </w:p>
        </w:tc>
        <w:tc>
          <w:tcPr>
            <w:tcW w:w="709" w:type="dxa"/>
            <w:tcBorders>
              <w:top w:val="single" w:sz="2" w:space="0" w:color="000000"/>
              <w:left w:val="single" w:sz="2" w:space="0" w:color="000000"/>
              <w:bottom w:val="single" w:sz="2" w:space="0" w:color="000000"/>
              <w:right w:val="single" w:sz="2" w:space="0" w:color="000000"/>
            </w:tcBorders>
            <w:vAlign w:val="center"/>
          </w:tcPr>
          <w:p w14:paraId="25BE8A8E" w14:textId="77777777" w:rsidR="009433BD" w:rsidRPr="00E220B9" w:rsidRDefault="009433BD" w:rsidP="009433BD">
            <w:pPr>
              <w:spacing w:line="259" w:lineRule="auto"/>
              <w:ind w:left="59"/>
              <w:jc w:val="left"/>
              <w:rPr>
                <w:sz w:val="16"/>
                <w:szCs w:val="16"/>
              </w:rPr>
            </w:pPr>
            <w:r>
              <w:rPr>
                <w:rFonts w:asciiTheme="majorHAnsi" w:hAnsiTheme="majorHAnsi"/>
                <w:sz w:val="18"/>
                <w:szCs w:val="18"/>
              </w:rPr>
              <w:t>117863</w:t>
            </w:r>
          </w:p>
        </w:tc>
        <w:tc>
          <w:tcPr>
            <w:tcW w:w="850" w:type="dxa"/>
            <w:tcBorders>
              <w:top w:val="single" w:sz="2" w:space="0" w:color="000000"/>
              <w:left w:val="single" w:sz="2" w:space="0" w:color="000000"/>
              <w:bottom w:val="single" w:sz="2" w:space="0" w:color="000000"/>
              <w:right w:val="single" w:sz="2" w:space="0" w:color="000000"/>
            </w:tcBorders>
            <w:vAlign w:val="center"/>
          </w:tcPr>
          <w:p w14:paraId="19D62CF3" w14:textId="195E878A" w:rsidR="009433BD" w:rsidRPr="00E220B9" w:rsidRDefault="009433BD" w:rsidP="009433BD">
            <w:pPr>
              <w:spacing w:line="259" w:lineRule="auto"/>
              <w:ind w:left="59"/>
              <w:jc w:val="left"/>
              <w:rPr>
                <w:sz w:val="16"/>
                <w:szCs w:val="16"/>
              </w:rPr>
            </w:pPr>
            <w:r w:rsidRPr="000B08DE">
              <w:rPr>
                <w:sz w:val="18"/>
              </w:rPr>
              <w:t>-64813</w:t>
            </w:r>
          </w:p>
        </w:tc>
      </w:tr>
      <w:tr w:rsidR="009433BD" w14:paraId="131A80F2" w14:textId="77777777" w:rsidTr="00361368">
        <w:trPr>
          <w:trHeight w:val="344"/>
        </w:trPr>
        <w:tc>
          <w:tcPr>
            <w:tcW w:w="521" w:type="dxa"/>
            <w:tcBorders>
              <w:top w:val="single" w:sz="2" w:space="0" w:color="000000"/>
              <w:left w:val="single" w:sz="2" w:space="0" w:color="000000"/>
              <w:bottom w:val="single" w:sz="2" w:space="0" w:color="000000"/>
              <w:right w:val="single" w:sz="2" w:space="0" w:color="000000"/>
            </w:tcBorders>
            <w:shd w:val="clear" w:color="auto" w:fill="ECE6E2"/>
          </w:tcPr>
          <w:p w14:paraId="03A5DF43" w14:textId="77777777" w:rsidR="009433BD" w:rsidRDefault="009433BD" w:rsidP="009433BD">
            <w:pPr>
              <w:spacing w:line="259" w:lineRule="auto"/>
              <w:jc w:val="left"/>
            </w:pPr>
            <w:r w:rsidRPr="00141043">
              <w:t>CH</w:t>
            </w:r>
            <w:r w:rsidRPr="004F1EC8">
              <w:rPr>
                <w:vertAlign w:val="subscript"/>
              </w:rPr>
              <w:t>4</w:t>
            </w:r>
            <w:r>
              <w:t xml:space="preserve"> </w:t>
            </w:r>
            <w:r>
              <w:rPr>
                <w:sz w:val="18"/>
              </w:rPr>
              <w:t xml:space="preserve">hors UTCF </w:t>
            </w:r>
          </w:p>
        </w:tc>
        <w:tc>
          <w:tcPr>
            <w:tcW w:w="82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72B7E7" w14:textId="77777777" w:rsidR="009433BD" w:rsidRPr="00E220B9" w:rsidRDefault="009433BD" w:rsidP="009433BD">
            <w:pPr>
              <w:spacing w:line="259" w:lineRule="auto"/>
              <w:ind w:left="59"/>
              <w:jc w:val="left"/>
              <w:rPr>
                <w:sz w:val="16"/>
                <w:szCs w:val="16"/>
              </w:rPr>
            </w:pPr>
            <w:r>
              <w:rPr>
                <w:sz w:val="18"/>
                <w:szCs w:val="18"/>
              </w:rPr>
              <w:t>69161</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05D2FE" w14:textId="77777777" w:rsidR="009433BD" w:rsidRPr="00E220B9" w:rsidRDefault="009433BD" w:rsidP="009433BD">
            <w:pPr>
              <w:spacing w:line="259" w:lineRule="auto"/>
              <w:ind w:left="59"/>
              <w:jc w:val="left"/>
              <w:rPr>
                <w:sz w:val="16"/>
                <w:szCs w:val="16"/>
              </w:rPr>
            </w:pPr>
            <w:r>
              <w:rPr>
                <w:sz w:val="18"/>
                <w:szCs w:val="18"/>
              </w:rPr>
              <w:t>70383</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B7C04FB" w14:textId="77777777" w:rsidR="009433BD" w:rsidRPr="00E220B9" w:rsidRDefault="009433BD" w:rsidP="009433BD">
            <w:pPr>
              <w:spacing w:line="259" w:lineRule="auto"/>
              <w:ind w:left="59"/>
              <w:jc w:val="left"/>
              <w:rPr>
                <w:sz w:val="16"/>
                <w:szCs w:val="16"/>
              </w:rPr>
            </w:pPr>
            <w:r>
              <w:rPr>
                <w:sz w:val="18"/>
                <w:szCs w:val="18"/>
              </w:rPr>
              <w:t>68603</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D7FF8D" w14:textId="77777777" w:rsidR="009433BD" w:rsidRPr="00E220B9" w:rsidRDefault="009433BD" w:rsidP="009433BD">
            <w:pPr>
              <w:spacing w:line="259" w:lineRule="auto"/>
              <w:ind w:left="59"/>
              <w:jc w:val="left"/>
              <w:rPr>
                <w:sz w:val="16"/>
                <w:szCs w:val="16"/>
              </w:rPr>
            </w:pPr>
            <w:r>
              <w:rPr>
                <w:sz w:val="18"/>
                <w:szCs w:val="18"/>
              </w:rPr>
              <w:t>63632</w:t>
            </w:r>
          </w:p>
        </w:tc>
        <w:tc>
          <w:tcPr>
            <w:tcW w:w="82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73B36A" w14:textId="77777777" w:rsidR="009433BD" w:rsidRPr="00E220B9" w:rsidRDefault="009433BD" w:rsidP="009433BD">
            <w:pPr>
              <w:spacing w:line="259" w:lineRule="auto"/>
              <w:ind w:left="59"/>
              <w:jc w:val="left"/>
              <w:rPr>
                <w:sz w:val="16"/>
                <w:szCs w:val="16"/>
              </w:rPr>
            </w:pPr>
            <w:r>
              <w:rPr>
                <w:sz w:val="18"/>
                <w:szCs w:val="18"/>
              </w:rPr>
              <w:t>61663</w:t>
            </w:r>
          </w:p>
        </w:tc>
        <w:tc>
          <w:tcPr>
            <w:tcW w:w="836" w:type="dxa"/>
            <w:gridSpan w:val="2"/>
            <w:tcBorders>
              <w:top w:val="single" w:sz="2" w:space="0" w:color="000000"/>
              <w:left w:val="single" w:sz="2" w:space="0" w:color="000000"/>
              <w:bottom w:val="single" w:sz="2" w:space="0" w:color="000000"/>
              <w:right w:val="single" w:sz="2" w:space="0" w:color="000000"/>
            </w:tcBorders>
            <w:shd w:val="clear" w:color="auto" w:fill="ECE6E2"/>
            <w:vAlign w:val="center"/>
          </w:tcPr>
          <w:p w14:paraId="0DB6D8A1" w14:textId="77777777" w:rsidR="009433BD" w:rsidRPr="00E220B9" w:rsidRDefault="009433BD" w:rsidP="009433BD">
            <w:pPr>
              <w:spacing w:line="259" w:lineRule="auto"/>
              <w:ind w:left="59"/>
              <w:jc w:val="left"/>
              <w:rPr>
                <w:sz w:val="16"/>
                <w:szCs w:val="16"/>
              </w:rPr>
            </w:pPr>
            <w:r>
              <w:rPr>
                <w:sz w:val="18"/>
                <w:szCs w:val="18"/>
              </w:rPr>
              <w:t>57862</w:t>
            </w:r>
          </w:p>
        </w:tc>
        <w:tc>
          <w:tcPr>
            <w:tcW w:w="74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A15A47" w14:textId="77777777" w:rsidR="009433BD" w:rsidRPr="00E220B9" w:rsidRDefault="009433BD" w:rsidP="009433BD">
            <w:pPr>
              <w:spacing w:line="259" w:lineRule="auto"/>
              <w:ind w:left="59"/>
              <w:jc w:val="left"/>
              <w:rPr>
                <w:rFonts w:ascii="Calibri" w:hAnsi="Calibri" w:cs="Calibri"/>
                <w:sz w:val="20"/>
                <w:szCs w:val="20"/>
              </w:rPr>
            </w:pPr>
            <w:r>
              <w:rPr>
                <w:sz w:val="18"/>
                <w:szCs w:val="18"/>
              </w:rPr>
              <w:t>55740</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111BB3"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52531</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608DED"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47947</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318628"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44507</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F463D3"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41496</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5A697CD" w14:textId="5B75ECD9" w:rsidR="009433BD" w:rsidRPr="00E220B9" w:rsidRDefault="009433BD" w:rsidP="009433BD">
            <w:pPr>
              <w:spacing w:line="259" w:lineRule="auto"/>
              <w:ind w:left="59"/>
              <w:jc w:val="left"/>
              <w:rPr>
                <w:sz w:val="16"/>
                <w:szCs w:val="16"/>
              </w:rPr>
            </w:pPr>
            <w:r w:rsidRPr="000B08DE">
              <w:rPr>
                <w:sz w:val="18"/>
              </w:rPr>
              <w:t>32465</w:t>
            </w:r>
          </w:p>
        </w:tc>
      </w:tr>
      <w:tr w:rsidR="009433BD" w14:paraId="1A4EB444" w14:textId="77777777" w:rsidTr="00361368">
        <w:trPr>
          <w:trHeight w:val="347"/>
        </w:trPr>
        <w:tc>
          <w:tcPr>
            <w:tcW w:w="521" w:type="dxa"/>
            <w:tcBorders>
              <w:top w:val="single" w:sz="2" w:space="0" w:color="000000"/>
              <w:left w:val="single" w:sz="2" w:space="0" w:color="000000"/>
              <w:bottom w:val="single" w:sz="2" w:space="0" w:color="000000"/>
              <w:right w:val="single" w:sz="2" w:space="0" w:color="000000"/>
            </w:tcBorders>
          </w:tcPr>
          <w:p w14:paraId="7AD185EC" w14:textId="77777777" w:rsidR="009433BD" w:rsidRDefault="009433BD" w:rsidP="009433BD">
            <w:pPr>
              <w:spacing w:line="259" w:lineRule="auto"/>
              <w:jc w:val="left"/>
            </w:pPr>
            <w:r w:rsidRPr="00141043">
              <w:t>CH</w:t>
            </w:r>
            <w:r w:rsidRPr="004F1EC8">
              <w:rPr>
                <w:vertAlign w:val="subscript"/>
              </w:rPr>
              <w:t>4</w:t>
            </w:r>
            <w:r>
              <w:t xml:space="preserve"> </w:t>
            </w:r>
            <w:r>
              <w:rPr>
                <w:sz w:val="18"/>
              </w:rPr>
              <w:t xml:space="preserve">avec UTCF </w:t>
            </w:r>
          </w:p>
        </w:tc>
        <w:tc>
          <w:tcPr>
            <w:tcW w:w="826" w:type="dxa"/>
            <w:tcBorders>
              <w:top w:val="single" w:sz="2" w:space="0" w:color="000000"/>
              <w:left w:val="single" w:sz="2" w:space="0" w:color="000000"/>
              <w:bottom w:val="single" w:sz="2" w:space="0" w:color="000000"/>
              <w:right w:val="single" w:sz="2" w:space="0" w:color="000000"/>
            </w:tcBorders>
            <w:vAlign w:val="center"/>
          </w:tcPr>
          <w:p w14:paraId="530BAFE9" w14:textId="77777777" w:rsidR="009433BD" w:rsidRPr="00E220B9" w:rsidRDefault="009433BD" w:rsidP="009433BD">
            <w:pPr>
              <w:spacing w:line="259" w:lineRule="auto"/>
              <w:ind w:left="59"/>
              <w:jc w:val="left"/>
              <w:rPr>
                <w:sz w:val="16"/>
                <w:szCs w:val="16"/>
              </w:rPr>
            </w:pPr>
            <w:r>
              <w:rPr>
                <w:sz w:val="18"/>
                <w:szCs w:val="18"/>
              </w:rPr>
              <w:t>70094</w:t>
            </w:r>
          </w:p>
        </w:tc>
        <w:tc>
          <w:tcPr>
            <w:tcW w:w="825" w:type="dxa"/>
            <w:tcBorders>
              <w:top w:val="single" w:sz="2" w:space="0" w:color="000000"/>
              <w:left w:val="single" w:sz="2" w:space="0" w:color="000000"/>
              <w:bottom w:val="single" w:sz="2" w:space="0" w:color="000000"/>
              <w:right w:val="single" w:sz="2" w:space="0" w:color="000000"/>
            </w:tcBorders>
            <w:vAlign w:val="center"/>
          </w:tcPr>
          <w:p w14:paraId="02685D2F" w14:textId="77777777" w:rsidR="009433BD" w:rsidRPr="00E220B9" w:rsidRDefault="009433BD" w:rsidP="009433BD">
            <w:pPr>
              <w:spacing w:line="259" w:lineRule="auto"/>
              <w:ind w:left="59"/>
              <w:jc w:val="left"/>
              <w:rPr>
                <w:sz w:val="16"/>
                <w:szCs w:val="16"/>
              </w:rPr>
            </w:pPr>
            <w:r>
              <w:rPr>
                <w:sz w:val="18"/>
                <w:szCs w:val="18"/>
              </w:rPr>
              <w:t>74053</w:t>
            </w:r>
          </w:p>
        </w:tc>
        <w:tc>
          <w:tcPr>
            <w:tcW w:w="825" w:type="dxa"/>
            <w:tcBorders>
              <w:top w:val="single" w:sz="2" w:space="0" w:color="000000"/>
              <w:left w:val="single" w:sz="2" w:space="0" w:color="000000"/>
              <w:bottom w:val="single" w:sz="2" w:space="0" w:color="000000"/>
              <w:right w:val="single" w:sz="2" w:space="0" w:color="000000"/>
            </w:tcBorders>
            <w:vAlign w:val="center"/>
          </w:tcPr>
          <w:p w14:paraId="78CB77E3" w14:textId="77777777" w:rsidR="009433BD" w:rsidRPr="00E220B9" w:rsidRDefault="009433BD" w:rsidP="009433BD">
            <w:pPr>
              <w:spacing w:line="259" w:lineRule="auto"/>
              <w:ind w:left="59"/>
              <w:jc w:val="left"/>
              <w:rPr>
                <w:sz w:val="16"/>
                <w:szCs w:val="16"/>
              </w:rPr>
            </w:pPr>
            <w:r>
              <w:rPr>
                <w:sz w:val="18"/>
                <w:szCs w:val="18"/>
              </w:rPr>
              <w:t>70296</w:t>
            </w:r>
          </w:p>
        </w:tc>
        <w:tc>
          <w:tcPr>
            <w:tcW w:w="825" w:type="dxa"/>
            <w:tcBorders>
              <w:top w:val="single" w:sz="2" w:space="0" w:color="000000"/>
              <w:left w:val="single" w:sz="2" w:space="0" w:color="000000"/>
              <w:bottom w:val="single" w:sz="2" w:space="0" w:color="000000"/>
              <w:right w:val="single" w:sz="2" w:space="0" w:color="000000"/>
            </w:tcBorders>
            <w:vAlign w:val="center"/>
          </w:tcPr>
          <w:p w14:paraId="30C338ED" w14:textId="77777777" w:rsidR="009433BD" w:rsidRPr="00E220B9" w:rsidRDefault="009433BD" w:rsidP="009433BD">
            <w:pPr>
              <w:spacing w:line="259" w:lineRule="auto"/>
              <w:ind w:left="59"/>
              <w:jc w:val="left"/>
              <w:rPr>
                <w:sz w:val="16"/>
                <w:szCs w:val="16"/>
              </w:rPr>
            </w:pPr>
            <w:r>
              <w:rPr>
                <w:sz w:val="18"/>
                <w:szCs w:val="18"/>
              </w:rPr>
              <w:t>64820</w:t>
            </w:r>
          </w:p>
        </w:tc>
        <w:tc>
          <w:tcPr>
            <w:tcW w:w="828" w:type="dxa"/>
            <w:tcBorders>
              <w:top w:val="single" w:sz="2" w:space="0" w:color="000000"/>
              <w:left w:val="single" w:sz="2" w:space="0" w:color="000000"/>
              <w:bottom w:val="single" w:sz="2" w:space="0" w:color="000000"/>
              <w:right w:val="single" w:sz="2" w:space="0" w:color="000000"/>
            </w:tcBorders>
            <w:vAlign w:val="center"/>
          </w:tcPr>
          <w:p w14:paraId="4C6BB76F" w14:textId="77777777" w:rsidR="009433BD" w:rsidRPr="00E220B9" w:rsidRDefault="009433BD" w:rsidP="009433BD">
            <w:pPr>
              <w:spacing w:line="259" w:lineRule="auto"/>
              <w:ind w:left="59"/>
              <w:jc w:val="left"/>
              <w:rPr>
                <w:sz w:val="16"/>
                <w:szCs w:val="16"/>
              </w:rPr>
            </w:pPr>
            <w:r>
              <w:rPr>
                <w:sz w:val="18"/>
                <w:szCs w:val="18"/>
              </w:rPr>
              <w:t>62793</w:t>
            </w:r>
          </w:p>
        </w:tc>
        <w:tc>
          <w:tcPr>
            <w:tcW w:w="836" w:type="dxa"/>
            <w:gridSpan w:val="2"/>
            <w:tcBorders>
              <w:top w:val="single" w:sz="2" w:space="0" w:color="000000"/>
              <w:left w:val="single" w:sz="2" w:space="0" w:color="000000"/>
              <w:bottom w:val="single" w:sz="2" w:space="0" w:color="000000"/>
              <w:right w:val="single" w:sz="2" w:space="0" w:color="000000"/>
            </w:tcBorders>
            <w:vAlign w:val="center"/>
          </w:tcPr>
          <w:p w14:paraId="5B690745" w14:textId="77777777" w:rsidR="009433BD" w:rsidRPr="00E220B9" w:rsidRDefault="009433BD" w:rsidP="009433BD">
            <w:pPr>
              <w:spacing w:line="259" w:lineRule="auto"/>
              <w:ind w:left="59"/>
              <w:jc w:val="left"/>
              <w:rPr>
                <w:sz w:val="16"/>
                <w:szCs w:val="16"/>
              </w:rPr>
            </w:pPr>
            <w:r>
              <w:rPr>
                <w:sz w:val="18"/>
                <w:szCs w:val="18"/>
              </w:rPr>
              <w:t>58940</w:t>
            </w:r>
          </w:p>
        </w:tc>
        <w:tc>
          <w:tcPr>
            <w:tcW w:w="741" w:type="dxa"/>
            <w:tcBorders>
              <w:top w:val="single" w:sz="2" w:space="0" w:color="000000"/>
              <w:left w:val="single" w:sz="2" w:space="0" w:color="000000"/>
              <w:bottom w:val="single" w:sz="2" w:space="0" w:color="000000"/>
              <w:right w:val="single" w:sz="2" w:space="0" w:color="000000"/>
            </w:tcBorders>
            <w:vAlign w:val="center"/>
          </w:tcPr>
          <w:p w14:paraId="6748DC1F" w14:textId="77777777" w:rsidR="009433BD" w:rsidRPr="00E220B9" w:rsidRDefault="009433BD" w:rsidP="009433BD">
            <w:pPr>
              <w:spacing w:line="259" w:lineRule="auto"/>
              <w:ind w:left="59"/>
              <w:jc w:val="left"/>
              <w:rPr>
                <w:rFonts w:ascii="Calibri" w:hAnsi="Calibri" w:cs="Calibri"/>
                <w:sz w:val="20"/>
                <w:szCs w:val="20"/>
              </w:rPr>
            </w:pPr>
            <w:r>
              <w:rPr>
                <w:sz w:val="18"/>
                <w:szCs w:val="18"/>
              </w:rPr>
              <w:t>56877</w:t>
            </w:r>
          </w:p>
        </w:tc>
        <w:tc>
          <w:tcPr>
            <w:tcW w:w="851" w:type="dxa"/>
            <w:tcBorders>
              <w:top w:val="single" w:sz="2" w:space="0" w:color="000000"/>
              <w:left w:val="single" w:sz="2" w:space="0" w:color="000000"/>
              <w:bottom w:val="single" w:sz="2" w:space="0" w:color="000000"/>
              <w:right w:val="single" w:sz="2" w:space="0" w:color="000000"/>
            </w:tcBorders>
            <w:vAlign w:val="center"/>
          </w:tcPr>
          <w:p w14:paraId="71318D57"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53671</w:t>
            </w:r>
          </w:p>
        </w:tc>
        <w:tc>
          <w:tcPr>
            <w:tcW w:w="850" w:type="dxa"/>
            <w:tcBorders>
              <w:top w:val="single" w:sz="2" w:space="0" w:color="000000"/>
              <w:left w:val="single" w:sz="2" w:space="0" w:color="000000"/>
              <w:bottom w:val="single" w:sz="2" w:space="0" w:color="000000"/>
              <w:right w:val="single" w:sz="2" w:space="0" w:color="000000"/>
            </w:tcBorders>
            <w:vAlign w:val="center"/>
          </w:tcPr>
          <w:p w14:paraId="15083B05"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49093</w:t>
            </w:r>
          </w:p>
        </w:tc>
        <w:tc>
          <w:tcPr>
            <w:tcW w:w="851" w:type="dxa"/>
            <w:tcBorders>
              <w:top w:val="single" w:sz="2" w:space="0" w:color="000000"/>
              <w:left w:val="single" w:sz="2" w:space="0" w:color="000000"/>
              <w:bottom w:val="single" w:sz="2" w:space="0" w:color="000000"/>
              <w:right w:val="single" w:sz="2" w:space="0" w:color="000000"/>
            </w:tcBorders>
            <w:vAlign w:val="center"/>
          </w:tcPr>
          <w:p w14:paraId="77CCDE65"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45641</w:t>
            </w:r>
          </w:p>
        </w:tc>
        <w:tc>
          <w:tcPr>
            <w:tcW w:w="709" w:type="dxa"/>
            <w:tcBorders>
              <w:top w:val="single" w:sz="2" w:space="0" w:color="000000"/>
              <w:left w:val="single" w:sz="2" w:space="0" w:color="000000"/>
              <w:bottom w:val="single" w:sz="2" w:space="0" w:color="000000"/>
              <w:right w:val="single" w:sz="2" w:space="0" w:color="000000"/>
            </w:tcBorders>
            <w:vAlign w:val="center"/>
          </w:tcPr>
          <w:p w14:paraId="097CAFA6"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42610</w:t>
            </w:r>
          </w:p>
        </w:tc>
        <w:tc>
          <w:tcPr>
            <w:tcW w:w="850" w:type="dxa"/>
            <w:tcBorders>
              <w:top w:val="single" w:sz="2" w:space="0" w:color="000000"/>
              <w:left w:val="single" w:sz="2" w:space="0" w:color="000000"/>
              <w:bottom w:val="single" w:sz="2" w:space="0" w:color="000000"/>
              <w:right w:val="single" w:sz="2" w:space="0" w:color="000000"/>
            </w:tcBorders>
            <w:vAlign w:val="center"/>
          </w:tcPr>
          <w:p w14:paraId="0F6B1699" w14:textId="2A5C5F2A" w:rsidR="009433BD" w:rsidRPr="00E220B9" w:rsidRDefault="009433BD" w:rsidP="009433BD">
            <w:pPr>
              <w:spacing w:line="259" w:lineRule="auto"/>
              <w:ind w:left="59"/>
              <w:jc w:val="left"/>
              <w:rPr>
                <w:sz w:val="16"/>
                <w:szCs w:val="16"/>
              </w:rPr>
            </w:pPr>
            <w:r w:rsidRPr="000B08DE">
              <w:rPr>
                <w:sz w:val="18"/>
              </w:rPr>
              <w:t>33519</w:t>
            </w:r>
          </w:p>
        </w:tc>
      </w:tr>
      <w:tr w:rsidR="009433BD" w14:paraId="4E5D65F0" w14:textId="77777777" w:rsidTr="00361368">
        <w:trPr>
          <w:trHeight w:val="342"/>
        </w:trPr>
        <w:tc>
          <w:tcPr>
            <w:tcW w:w="521" w:type="dxa"/>
            <w:tcBorders>
              <w:top w:val="single" w:sz="2" w:space="0" w:color="000000"/>
              <w:left w:val="single" w:sz="2" w:space="0" w:color="000000"/>
              <w:bottom w:val="single" w:sz="2" w:space="0" w:color="000000"/>
              <w:right w:val="single" w:sz="2" w:space="0" w:color="000000"/>
            </w:tcBorders>
            <w:shd w:val="clear" w:color="auto" w:fill="ECE6E2"/>
          </w:tcPr>
          <w:p w14:paraId="58664F85" w14:textId="77777777" w:rsidR="009433BD" w:rsidRDefault="009433BD" w:rsidP="009433BD">
            <w:pPr>
              <w:spacing w:line="259" w:lineRule="auto"/>
              <w:jc w:val="left"/>
            </w:pPr>
            <w:r w:rsidRPr="00141043">
              <w:t>N</w:t>
            </w:r>
            <w:r w:rsidRPr="004F1EC8">
              <w:rPr>
                <w:vertAlign w:val="subscript"/>
              </w:rPr>
              <w:t>2</w:t>
            </w:r>
            <w:r w:rsidRPr="00141043">
              <w:t>O</w:t>
            </w:r>
            <w:r>
              <w:t xml:space="preserve"> </w:t>
            </w:r>
            <w:r>
              <w:rPr>
                <w:sz w:val="18"/>
              </w:rPr>
              <w:t xml:space="preserve">hors UTCF </w:t>
            </w:r>
          </w:p>
        </w:tc>
        <w:tc>
          <w:tcPr>
            <w:tcW w:w="82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0591B5" w14:textId="77777777" w:rsidR="009433BD" w:rsidRPr="00E220B9" w:rsidRDefault="009433BD" w:rsidP="009433BD">
            <w:pPr>
              <w:spacing w:line="259" w:lineRule="auto"/>
              <w:ind w:left="59"/>
              <w:jc w:val="left"/>
              <w:rPr>
                <w:sz w:val="16"/>
                <w:szCs w:val="16"/>
              </w:rPr>
            </w:pPr>
            <w:r>
              <w:rPr>
                <w:sz w:val="18"/>
                <w:szCs w:val="18"/>
              </w:rPr>
              <w:t>64725</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B3B847" w14:textId="77777777" w:rsidR="009433BD" w:rsidRPr="00E220B9" w:rsidRDefault="009433BD" w:rsidP="009433BD">
            <w:pPr>
              <w:spacing w:line="259" w:lineRule="auto"/>
              <w:ind w:left="59"/>
              <w:jc w:val="left"/>
              <w:rPr>
                <w:sz w:val="16"/>
                <w:szCs w:val="16"/>
              </w:rPr>
            </w:pPr>
            <w:r>
              <w:rPr>
                <w:sz w:val="18"/>
                <w:szCs w:val="18"/>
              </w:rPr>
              <w:t>65937</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B1485E" w14:textId="77777777" w:rsidR="009433BD" w:rsidRPr="00E220B9" w:rsidRDefault="009433BD" w:rsidP="009433BD">
            <w:pPr>
              <w:spacing w:line="259" w:lineRule="auto"/>
              <w:ind w:left="59"/>
              <w:jc w:val="left"/>
              <w:rPr>
                <w:sz w:val="16"/>
                <w:szCs w:val="16"/>
              </w:rPr>
            </w:pPr>
            <w:r>
              <w:rPr>
                <w:sz w:val="18"/>
                <w:szCs w:val="18"/>
              </w:rPr>
              <w:t>53681</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323069" w14:textId="77777777" w:rsidR="009433BD" w:rsidRPr="00E220B9" w:rsidRDefault="009433BD" w:rsidP="009433BD">
            <w:pPr>
              <w:spacing w:line="259" w:lineRule="auto"/>
              <w:ind w:left="59"/>
              <w:jc w:val="left"/>
              <w:rPr>
                <w:sz w:val="16"/>
                <w:szCs w:val="16"/>
              </w:rPr>
            </w:pPr>
            <w:r>
              <w:rPr>
                <w:sz w:val="18"/>
                <w:szCs w:val="18"/>
              </w:rPr>
              <w:t>46307</w:t>
            </w:r>
          </w:p>
        </w:tc>
        <w:tc>
          <w:tcPr>
            <w:tcW w:w="82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782C6C" w14:textId="77777777" w:rsidR="009433BD" w:rsidRPr="00E220B9" w:rsidRDefault="009433BD" w:rsidP="009433BD">
            <w:pPr>
              <w:spacing w:line="259" w:lineRule="auto"/>
              <w:ind w:left="59"/>
              <w:jc w:val="left"/>
              <w:rPr>
                <w:sz w:val="16"/>
                <w:szCs w:val="16"/>
              </w:rPr>
            </w:pPr>
            <w:r>
              <w:rPr>
                <w:sz w:val="18"/>
                <w:szCs w:val="18"/>
              </w:rPr>
              <w:t>40478</w:t>
            </w:r>
          </w:p>
        </w:tc>
        <w:tc>
          <w:tcPr>
            <w:tcW w:w="836" w:type="dxa"/>
            <w:gridSpan w:val="2"/>
            <w:tcBorders>
              <w:top w:val="single" w:sz="2" w:space="0" w:color="000000"/>
              <w:left w:val="single" w:sz="2" w:space="0" w:color="000000"/>
              <w:bottom w:val="single" w:sz="2" w:space="0" w:color="000000"/>
              <w:right w:val="single" w:sz="2" w:space="0" w:color="000000"/>
            </w:tcBorders>
            <w:shd w:val="clear" w:color="auto" w:fill="ECE6E2"/>
            <w:vAlign w:val="center"/>
          </w:tcPr>
          <w:p w14:paraId="2E4D03E0" w14:textId="77777777" w:rsidR="009433BD" w:rsidRPr="00E220B9" w:rsidRDefault="009433BD" w:rsidP="009433BD">
            <w:pPr>
              <w:spacing w:line="259" w:lineRule="auto"/>
              <w:ind w:left="59"/>
              <w:jc w:val="left"/>
              <w:rPr>
                <w:sz w:val="16"/>
                <w:szCs w:val="16"/>
              </w:rPr>
            </w:pPr>
            <w:r>
              <w:rPr>
                <w:sz w:val="18"/>
                <w:szCs w:val="18"/>
              </w:rPr>
              <w:t>39895</w:t>
            </w:r>
          </w:p>
        </w:tc>
        <w:tc>
          <w:tcPr>
            <w:tcW w:w="74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9A7DA4" w14:textId="77777777" w:rsidR="009433BD" w:rsidRPr="00E220B9" w:rsidRDefault="009433BD" w:rsidP="009433BD">
            <w:pPr>
              <w:spacing w:line="259" w:lineRule="auto"/>
              <w:ind w:left="59"/>
              <w:jc w:val="left"/>
              <w:rPr>
                <w:rFonts w:ascii="Calibri" w:hAnsi="Calibri" w:cs="Calibri"/>
                <w:sz w:val="20"/>
                <w:szCs w:val="20"/>
              </w:rPr>
            </w:pPr>
            <w:r>
              <w:rPr>
                <w:sz w:val="18"/>
                <w:szCs w:val="18"/>
              </w:rPr>
              <w:t>38071</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D2F18A"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40268</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8929BA"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37693</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412A24E"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35559</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E96D18"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33721</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0AF4C7" w14:textId="1D5AC232" w:rsidR="009433BD" w:rsidRPr="00E220B9" w:rsidRDefault="009433BD" w:rsidP="009433BD">
            <w:pPr>
              <w:spacing w:line="259" w:lineRule="auto"/>
              <w:ind w:left="59"/>
              <w:jc w:val="left"/>
              <w:rPr>
                <w:sz w:val="16"/>
                <w:szCs w:val="16"/>
              </w:rPr>
            </w:pPr>
            <w:r w:rsidRPr="000B08DE">
              <w:rPr>
                <w:sz w:val="18"/>
              </w:rPr>
              <w:t>22856</w:t>
            </w:r>
          </w:p>
        </w:tc>
      </w:tr>
      <w:tr w:rsidR="009433BD" w14:paraId="01D9B98B" w14:textId="77777777" w:rsidTr="00361368">
        <w:trPr>
          <w:trHeight w:val="347"/>
        </w:trPr>
        <w:tc>
          <w:tcPr>
            <w:tcW w:w="521" w:type="dxa"/>
            <w:tcBorders>
              <w:top w:val="single" w:sz="2" w:space="0" w:color="000000"/>
              <w:left w:val="single" w:sz="2" w:space="0" w:color="000000"/>
              <w:bottom w:val="single" w:sz="2" w:space="0" w:color="000000"/>
              <w:right w:val="single" w:sz="2" w:space="0" w:color="000000"/>
            </w:tcBorders>
          </w:tcPr>
          <w:p w14:paraId="701C7463" w14:textId="77777777" w:rsidR="009433BD" w:rsidRDefault="009433BD" w:rsidP="009433BD">
            <w:pPr>
              <w:spacing w:line="259" w:lineRule="auto"/>
              <w:jc w:val="left"/>
            </w:pPr>
            <w:r w:rsidRPr="00141043">
              <w:t>N</w:t>
            </w:r>
            <w:r w:rsidRPr="004F1EC8">
              <w:rPr>
                <w:vertAlign w:val="subscript"/>
              </w:rPr>
              <w:t>2</w:t>
            </w:r>
            <w:r w:rsidRPr="00141043">
              <w:t>O</w:t>
            </w:r>
            <w:r>
              <w:t xml:space="preserve"> </w:t>
            </w:r>
            <w:r>
              <w:rPr>
                <w:sz w:val="18"/>
              </w:rPr>
              <w:t xml:space="preserve">avec UTCF </w:t>
            </w:r>
          </w:p>
        </w:tc>
        <w:tc>
          <w:tcPr>
            <w:tcW w:w="826" w:type="dxa"/>
            <w:tcBorders>
              <w:top w:val="single" w:sz="2" w:space="0" w:color="000000"/>
              <w:left w:val="single" w:sz="2" w:space="0" w:color="000000"/>
              <w:bottom w:val="single" w:sz="2" w:space="0" w:color="000000"/>
              <w:right w:val="single" w:sz="2" w:space="0" w:color="000000"/>
            </w:tcBorders>
            <w:vAlign w:val="center"/>
          </w:tcPr>
          <w:p w14:paraId="0EA9EFC1" w14:textId="77777777" w:rsidR="009433BD" w:rsidRPr="00E220B9" w:rsidRDefault="009433BD" w:rsidP="009433BD">
            <w:pPr>
              <w:spacing w:line="259" w:lineRule="auto"/>
              <w:ind w:left="59"/>
              <w:jc w:val="left"/>
              <w:rPr>
                <w:sz w:val="16"/>
                <w:szCs w:val="16"/>
              </w:rPr>
            </w:pPr>
            <w:r>
              <w:rPr>
                <w:sz w:val="18"/>
                <w:szCs w:val="18"/>
              </w:rPr>
              <w:t>67951</w:t>
            </w:r>
          </w:p>
        </w:tc>
        <w:tc>
          <w:tcPr>
            <w:tcW w:w="825" w:type="dxa"/>
            <w:tcBorders>
              <w:top w:val="single" w:sz="2" w:space="0" w:color="000000"/>
              <w:left w:val="single" w:sz="2" w:space="0" w:color="000000"/>
              <w:bottom w:val="single" w:sz="2" w:space="0" w:color="000000"/>
              <w:right w:val="single" w:sz="2" w:space="0" w:color="000000"/>
            </w:tcBorders>
            <w:vAlign w:val="center"/>
          </w:tcPr>
          <w:p w14:paraId="285F8745" w14:textId="77777777" w:rsidR="009433BD" w:rsidRPr="00E220B9" w:rsidRDefault="009433BD" w:rsidP="009433BD">
            <w:pPr>
              <w:spacing w:line="259" w:lineRule="auto"/>
              <w:ind w:left="59"/>
              <w:jc w:val="left"/>
              <w:rPr>
                <w:sz w:val="16"/>
                <w:szCs w:val="16"/>
              </w:rPr>
            </w:pPr>
            <w:r>
              <w:rPr>
                <w:sz w:val="18"/>
                <w:szCs w:val="18"/>
              </w:rPr>
              <w:t>69183</w:t>
            </w:r>
          </w:p>
        </w:tc>
        <w:tc>
          <w:tcPr>
            <w:tcW w:w="825" w:type="dxa"/>
            <w:tcBorders>
              <w:top w:val="single" w:sz="2" w:space="0" w:color="000000"/>
              <w:left w:val="single" w:sz="2" w:space="0" w:color="000000"/>
              <w:bottom w:val="single" w:sz="2" w:space="0" w:color="000000"/>
              <w:right w:val="single" w:sz="2" w:space="0" w:color="000000"/>
            </w:tcBorders>
            <w:vAlign w:val="center"/>
          </w:tcPr>
          <w:p w14:paraId="73D538D5" w14:textId="77777777" w:rsidR="009433BD" w:rsidRPr="00E220B9" w:rsidRDefault="009433BD" w:rsidP="009433BD">
            <w:pPr>
              <w:spacing w:line="259" w:lineRule="auto"/>
              <w:ind w:left="59"/>
              <w:jc w:val="left"/>
              <w:rPr>
                <w:sz w:val="16"/>
                <w:szCs w:val="16"/>
              </w:rPr>
            </w:pPr>
            <w:r>
              <w:rPr>
                <w:sz w:val="18"/>
                <w:szCs w:val="18"/>
              </w:rPr>
              <w:t>56873</w:t>
            </w:r>
          </w:p>
        </w:tc>
        <w:tc>
          <w:tcPr>
            <w:tcW w:w="825" w:type="dxa"/>
            <w:tcBorders>
              <w:top w:val="single" w:sz="2" w:space="0" w:color="000000"/>
              <w:left w:val="single" w:sz="2" w:space="0" w:color="000000"/>
              <w:bottom w:val="single" w:sz="2" w:space="0" w:color="000000"/>
              <w:right w:val="single" w:sz="2" w:space="0" w:color="000000"/>
            </w:tcBorders>
            <w:vAlign w:val="center"/>
          </w:tcPr>
          <w:p w14:paraId="55F22A41" w14:textId="77777777" w:rsidR="009433BD" w:rsidRPr="00E220B9" w:rsidRDefault="009433BD" w:rsidP="009433BD">
            <w:pPr>
              <w:spacing w:line="259" w:lineRule="auto"/>
              <w:ind w:left="59"/>
              <w:jc w:val="left"/>
              <w:rPr>
                <w:sz w:val="16"/>
                <w:szCs w:val="16"/>
              </w:rPr>
            </w:pPr>
            <w:r>
              <w:rPr>
                <w:sz w:val="18"/>
                <w:szCs w:val="18"/>
              </w:rPr>
              <w:t>49279</w:t>
            </w:r>
          </w:p>
        </w:tc>
        <w:tc>
          <w:tcPr>
            <w:tcW w:w="828" w:type="dxa"/>
            <w:tcBorders>
              <w:top w:val="single" w:sz="2" w:space="0" w:color="000000"/>
              <w:left w:val="single" w:sz="2" w:space="0" w:color="000000"/>
              <w:bottom w:val="single" w:sz="2" w:space="0" w:color="000000"/>
              <w:right w:val="single" w:sz="2" w:space="0" w:color="000000"/>
            </w:tcBorders>
            <w:vAlign w:val="center"/>
          </w:tcPr>
          <w:p w14:paraId="464BE896" w14:textId="77777777" w:rsidR="009433BD" w:rsidRPr="00E220B9" w:rsidRDefault="009433BD" w:rsidP="009433BD">
            <w:pPr>
              <w:spacing w:line="259" w:lineRule="auto"/>
              <w:ind w:left="59"/>
              <w:jc w:val="left"/>
              <w:rPr>
                <w:sz w:val="16"/>
                <w:szCs w:val="16"/>
              </w:rPr>
            </w:pPr>
            <w:r>
              <w:rPr>
                <w:sz w:val="18"/>
                <w:szCs w:val="18"/>
              </w:rPr>
              <w:t>43694</w:t>
            </w:r>
          </w:p>
        </w:tc>
        <w:tc>
          <w:tcPr>
            <w:tcW w:w="836" w:type="dxa"/>
            <w:gridSpan w:val="2"/>
            <w:tcBorders>
              <w:top w:val="single" w:sz="2" w:space="0" w:color="000000"/>
              <w:left w:val="single" w:sz="2" w:space="0" w:color="000000"/>
              <w:bottom w:val="single" w:sz="2" w:space="0" w:color="000000"/>
              <w:right w:val="single" w:sz="2" w:space="0" w:color="000000"/>
            </w:tcBorders>
            <w:vAlign w:val="center"/>
          </w:tcPr>
          <w:p w14:paraId="6926AEB0" w14:textId="77777777" w:rsidR="009433BD" w:rsidRPr="00E220B9" w:rsidRDefault="009433BD" w:rsidP="009433BD">
            <w:pPr>
              <w:spacing w:line="259" w:lineRule="auto"/>
              <w:ind w:left="59"/>
              <w:jc w:val="left"/>
              <w:rPr>
                <w:sz w:val="16"/>
                <w:szCs w:val="16"/>
              </w:rPr>
            </w:pPr>
            <w:r>
              <w:rPr>
                <w:sz w:val="18"/>
                <w:szCs w:val="18"/>
              </w:rPr>
              <w:t>42840</w:t>
            </w:r>
          </w:p>
        </w:tc>
        <w:tc>
          <w:tcPr>
            <w:tcW w:w="741" w:type="dxa"/>
            <w:tcBorders>
              <w:top w:val="single" w:sz="2" w:space="0" w:color="000000"/>
              <w:left w:val="single" w:sz="2" w:space="0" w:color="000000"/>
              <w:bottom w:val="single" w:sz="2" w:space="0" w:color="000000"/>
              <w:right w:val="single" w:sz="2" w:space="0" w:color="000000"/>
            </w:tcBorders>
            <w:vAlign w:val="center"/>
          </w:tcPr>
          <w:p w14:paraId="0C087ADF" w14:textId="77777777" w:rsidR="009433BD" w:rsidRPr="00E220B9" w:rsidRDefault="009433BD" w:rsidP="009433BD">
            <w:pPr>
              <w:spacing w:line="259" w:lineRule="auto"/>
              <w:ind w:left="59"/>
              <w:jc w:val="left"/>
              <w:rPr>
                <w:rFonts w:ascii="Calibri" w:hAnsi="Calibri" w:cs="Calibri"/>
                <w:sz w:val="20"/>
                <w:szCs w:val="20"/>
              </w:rPr>
            </w:pPr>
            <w:r>
              <w:rPr>
                <w:sz w:val="18"/>
                <w:szCs w:val="18"/>
              </w:rPr>
              <w:t>40939</w:t>
            </w:r>
          </w:p>
        </w:tc>
        <w:tc>
          <w:tcPr>
            <w:tcW w:w="851" w:type="dxa"/>
            <w:tcBorders>
              <w:top w:val="single" w:sz="2" w:space="0" w:color="000000"/>
              <w:left w:val="single" w:sz="2" w:space="0" w:color="000000"/>
              <w:bottom w:val="single" w:sz="2" w:space="0" w:color="000000"/>
              <w:right w:val="single" w:sz="2" w:space="0" w:color="000000"/>
            </w:tcBorders>
            <w:vAlign w:val="center"/>
          </w:tcPr>
          <w:p w14:paraId="3C5E63D3"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43352</w:t>
            </w:r>
          </w:p>
        </w:tc>
        <w:tc>
          <w:tcPr>
            <w:tcW w:w="850" w:type="dxa"/>
            <w:tcBorders>
              <w:top w:val="single" w:sz="2" w:space="0" w:color="000000"/>
              <w:left w:val="single" w:sz="2" w:space="0" w:color="000000"/>
              <w:bottom w:val="single" w:sz="2" w:space="0" w:color="000000"/>
              <w:right w:val="single" w:sz="2" w:space="0" w:color="000000"/>
            </w:tcBorders>
            <w:vAlign w:val="center"/>
          </w:tcPr>
          <w:p w14:paraId="0C2872F1"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40778</w:t>
            </w:r>
          </w:p>
        </w:tc>
        <w:tc>
          <w:tcPr>
            <w:tcW w:w="851" w:type="dxa"/>
            <w:tcBorders>
              <w:top w:val="single" w:sz="2" w:space="0" w:color="000000"/>
              <w:left w:val="single" w:sz="2" w:space="0" w:color="000000"/>
              <w:bottom w:val="single" w:sz="2" w:space="0" w:color="000000"/>
              <w:right w:val="single" w:sz="2" w:space="0" w:color="000000"/>
            </w:tcBorders>
            <w:vAlign w:val="center"/>
          </w:tcPr>
          <w:p w14:paraId="06CE4080"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38641</w:t>
            </w:r>
          </w:p>
        </w:tc>
        <w:tc>
          <w:tcPr>
            <w:tcW w:w="709" w:type="dxa"/>
            <w:tcBorders>
              <w:top w:val="single" w:sz="2" w:space="0" w:color="000000"/>
              <w:left w:val="single" w:sz="2" w:space="0" w:color="000000"/>
              <w:bottom w:val="single" w:sz="2" w:space="0" w:color="000000"/>
              <w:right w:val="single" w:sz="2" w:space="0" w:color="000000"/>
            </w:tcBorders>
            <w:vAlign w:val="center"/>
          </w:tcPr>
          <w:p w14:paraId="318D23C6"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36797</w:t>
            </w:r>
          </w:p>
        </w:tc>
        <w:tc>
          <w:tcPr>
            <w:tcW w:w="850" w:type="dxa"/>
            <w:tcBorders>
              <w:top w:val="single" w:sz="2" w:space="0" w:color="000000"/>
              <w:left w:val="single" w:sz="2" w:space="0" w:color="000000"/>
              <w:bottom w:val="single" w:sz="2" w:space="0" w:color="000000"/>
              <w:right w:val="single" w:sz="2" w:space="0" w:color="000000"/>
            </w:tcBorders>
            <w:vAlign w:val="center"/>
          </w:tcPr>
          <w:p w14:paraId="0EA24264" w14:textId="41032D49" w:rsidR="009433BD" w:rsidRPr="00E220B9" w:rsidRDefault="009433BD" w:rsidP="009433BD">
            <w:pPr>
              <w:spacing w:line="259" w:lineRule="auto"/>
              <w:ind w:left="59"/>
              <w:jc w:val="left"/>
              <w:rPr>
                <w:sz w:val="16"/>
                <w:szCs w:val="16"/>
              </w:rPr>
            </w:pPr>
            <w:r w:rsidRPr="000B08DE">
              <w:rPr>
                <w:sz w:val="18"/>
              </w:rPr>
              <w:t>25914</w:t>
            </w:r>
          </w:p>
        </w:tc>
      </w:tr>
      <w:tr w:rsidR="009433BD" w14:paraId="734CEB35" w14:textId="77777777" w:rsidTr="00361368">
        <w:trPr>
          <w:trHeight w:val="344"/>
        </w:trPr>
        <w:tc>
          <w:tcPr>
            <w:tcW w:w="521" w:type="dxa"/>
            <w:tcBorders>
              <w:top w:val="single" w:sz="2" w:space="0" w:color="000000"/>
              <w:left w:val="single" w:sz="2" w:space="0" w:color="000000"/>
              <w:bottom w:val="single" w:sz="2" w:space="0" w:color="000000"/>
              <w:right w:val="single" w:sz="2" w:space="0" w:color="000000"/>
            </w:tcBorders>
            <w:shd w:val="clear" w:color="auto" w:fill="ECE6E2"/>
          </w:tcPr>
          <w:p w14:paraId="18AFBA5A" w14:textId="77777777" w:rsidR="009433BD" w:rsidRDefault="009433BD" w:rsidP="009433BD">
            <w:pPr>
              <w:spacing w:line="259" w:lineRule="auto"/>
              <w:jc w:val="left"/>
            </w:pPr>
            <w:r>
              <w:rPr>
                <w:sz w:val="18"/>
              </w:rPr>
              <w:t xml:space="preserve">HFCs </w:t>
            </w:r>
          </w:p>
        </w:tc>
        <w:tc>
          <w:tcPr>
            <w:tcW w:w="82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8CD2A9" w14:textId="77777777" w:rsidR="009433BD" w:rsidRPr="00E220B9" w:rsidRDefault="009433BD" w:rsidP="009433BD">
            <w:pPr>
              <w:spacing w:line="259" w:lineRule="auto"/>
              <w:ind w:left="59"/>
              <w:jc w:val="left"/>
              <w:rPr>
                <w:sz w:val="16"/>
                <w:szCs w:val="16"/>
              </w:rPr>
            </w:pPr>
            <w:r>
              <w:rPr>
                <w:sz w:val="18"/>
                <w:szCs w:val="18"/>
              </w:rPr>
              <w:t>4402</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7A5E35" w14:textId="77777777" w:rsidR="009433BD" w:rsidRPr="00E220B9" w:rsidRDefault="009433BD" w:rsidP="009433BD">
            <w:pPr>
              <w:spacing w:line="259" w:lineRule="auto"/>
              <w:ind w:left="59"/>
              <w:jc w:val="left"/>
              <w:rPr>
                <w:sz w:val="16"/>
                <w:szCs w:val="16"/>
              </w:rPr>
            </w:pPr>
            <w:r>
              <w:rPr>
                <w:sz w:val="18"/>
                <w:szCs w:val="18"/>
              </w:rPr>
              <w:t>1702</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7CF5AB" w14:textId="77777777" w:rsidR="009433BD" w:rsidRPr="00E220B9" w:rsidRDefault="009433BD" w:rsidP="009433BD">
            <w:pPr>
              <w:spacing w:line="259" w:lineRule="auto"/>
              <w:ind w:left="59"/>
              <w:jc w:val="left"/>
              <w:rPr>
                <w:sz w:val="16"/>
                <w:szCs w:val="16"/>
              </w:rPr>
            </w:pPr>
            <w:r>
              <w:rPr>
                <w:sz w:val="18"/>
                <w:szCs w:val="18"/>
              </w:rPr>
              <w:t>6736</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6E94F80" w14:textId="77777777" w:rsidR="009433BD" w:rsidRPr="00E220B9" w:rsidRDefault="009433BD" w:rsidP="009433BD">
            <w:pPr>
              <w:spacing w:line="259" w:lineRule="auto"/>
              <w:ind w:left="59"/>
              <w:jc w:val="left"/>
              <w:rPr>
                <w:sz w:val="16"/>
                <w:szCs w:val="16"/>
              </w:rPr>
            </w:pPr>
            <w:r>
              <w:rPr>
                <w:sz w:val="18"/>
                <w:szCs w:val="18"/>
              </w:rPr>
              <w:t>12862</w:t>
            </w:r>
          </w:p>
        </w:tc>
        <w:tc>
          <w:tcPr>
            <w:tcW w:w="82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9BCC0B" w14:textId="77777777" w:rsidR="009433BD" w:rsidRPr="00E220B9" w:rsidRDefault="009433BD" w:rsidP="009433BD">
            <w:pPr>
              <w:spacing w:line="259" w:lineRule="auto"/>
              <w:ind w:left="59"/>
              <w:jc w:val="left"/>
              <w:rPr>
                <w:sz w:val="16"/>
                <w:szCs w:val="16"/>
              </w:rPr>
            </w:pPr>
            <w:r>
              <w:rPr>
                <w:sz w:val="18"/>
                <w:szCs w:val="18"/>
              </w:rPr>
              <w:t>16930</w:t>
            </w:r>
          </w:p>
        </w:tc>
        <w:tc>
          <w:tcPr>
            <w:tcW w:w="836" w:type="dxa"/>
            <w:gridSpan w:val="2"/>
            <w:tcBorders>
              <w:top w:val="single" w:sz="2" w:space="0" w:color="000000"/>
              <w:left w:val="single" w:sz="2" w:space="0" w:color="000000"/>
              <w:bottom w:val="single" w:sz="2" w:space="0" w:color="000000"/>
              <w:right w:val="single" w:sz="2" w:space="0" w:color="000000"/>
            </w:tcBorders>
            <w:shd w:val="clear" w:color="auto" w:fill="ECE6E2"/>
            <w:vAlign w:val="center"/>
          </w:tcPr>
          <w:p w14:paraId="16EFCD71" w14:textId="77777777" w:rsidR="009433BD" w:rsidRPr="00E220B9" w:rsidRDefault="009433BD" w:rsidP="009433BD">
            <w:pPr>
              <w:spacing w:line="259" w:lineRule="auto"/>
              <w:ind w:left="59"/>
              <w:jc w:val="left"/>
              <w:rPr>
                <w:sz w:val="16"/>
                <w:szCs w:val="16"/>
              </w:rPr>
            </w:pPr>
            <w:r>
              <w:rPr>
                <w:sz w:val="18"/>
                <w:szCs w:val="18"/>
              </w:rPr>
              <w:t>17494</w:t>
            </w:r>
          </w:p>
        </w:tc>
        <w:tc>
          <w:tcPr>
            <w:tcW w:w="74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A91CE1" w14:textId="77777777" w:rsidR="009433BD" w:rsidRPr="00E220B9" w:rsidRDefault="009433BD" w:rsidP="009433BD">
            <w:pPr>
              <w:spacing w:line="259" w:lineRule="auto"/>
              <w:ind w:left="59"/>
              <w:jc w:val="left"/>
              <w:rPr>
                <w:rFonts w:ascii="Calibri" w:hAnsi="Calibri" w:cs="Calibri"/>
                <w:sz w:val="20"/>
                <w:szCs w:val="20"/>
              </w:rPr>
            </w:pPr>
            <w:r>
              <w:rPr>
                <w:sz w:val="18"/>
                <w:szCs w:val="18"/>
              </w:rPr>
              <w:t>12992</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C59963"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14731</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9A46E6"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7995</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9EE0E3"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5241</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0263D8F"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4458</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14494E" w14:textId="735DDBFA" w:rsidR="009433BD" w:rsidRPr="00E220B9" w:rsidRDefault="009433BD" w:rsidP="009433BD">
            <w:pPr>
              <w:spacing w:line="259" w:lineRule="auto"/>
              <w:ind w:left="59"/>
              <w:jc w:val="left"/>
              <w:rPr>
                <w:sz w:val="16"/>
                <w:szCs w:val="16"/>
              </w:rPr>
            </w:pPr>
            <w:r w:rsidRPr="00634E4C">
              <w:rPr>
                <w:rFonts w:asciiTheme="majorHAnsi" w:hAnsiTheme="majorHAnsi"/>
                <w:sz w:val="18"/>
              </w:rPr>
              <w:t>2109</w:t>
            </w:r>
          </w:p>
        </w:tc>
      </w:tr>
      <w:tr w:rsidR="009433BD" w14:paraId="5E32EE7C" w14:textId="77777777" w:rsidTr="00361368">
        <w:trPr>
          <w:trHeight w:val="347"/>
        </w:trPr>
        <w:tc>
          <w:tcPr>
            <w:tcW w:w="521" w:type="dxa"/>
            <w:tcBorders>
              <w:top w:val="single" w:sz="2" w:space="0" w:color="000000"/>
              <w:left w:val="single" w:sz="2" w:space="0" w:color="000000"/>
              <w:bottom w:val="single" w:sz="2" w:space="0" w:color="000000"/>
              <w:right w:val="single" w:sz="2" w:space="0" w:color="000000"/>
            </w:tcBorders>
          </w:tcPr>
          <w:p w14:paraId="68E84118" w14:textId="77777777" w:rsidR="009433BD" w:rsidRDefault="009433BD" w:rsidP="009433BD">
            <w:pPr>
              <w:spacing w:line="259" w:lineRule="auto"/>
              <w:jc w:val="left"/>
            </w:pPr>
            <w:r>
              <w:rPr>
                <w:sz w:val="18"/>
              </w:rPr>
              <w:t xml:space="preserve">PFCs </w:t>
            </w:r>
          </w:p>
        </w:tc>
        <w:tc>
          <w:tcPr>
            <w:tcW w:w="826" w:type="dxa"/>
            <w:tcBorders>
              <w:top w:val="single" w:sz="2" w:space="0" w:color="000000"/>
              <w:left w:val="single" w:sz="2" w:space="0" w:color="000000"/>
              <w:bottom w:val="single" w:sz="2" w:space="0" w:color="000000"/>
              <w:right w:val="single" w:sz="2" w:space="0" w:color="000000"/>
            </w:tcBorders>
            <w:vAlign w:val="center"/>
          </w:tcPr>
          <w:p w14:paraId="311624D7" w14:textId="77777777" w:rsidR="009433BD" w:rsidRPr="00E220B9" w:rsidRDefault="009433BD" w:rsidP="009433BD">
            <w:pPr>
              <w:spacing w:line="259" w:lineRule="auto"/>
              <w:ind w:left="59"/>
              <w:jc w:val="left"/>
              <w:rPr>
                <w:sz w:val="16"/>
                <w:szCs w:val="16"/>
              </w:rPr>
            </w:pPr>
            <w:r>
              <w:rPr>
                <w:sz w:val="18"/>
                <w:szCs w:val="18"/>
              </w:rPr>
              <w:t>5202</w:t>
            </w:r>
          </w:p>
        </w:tc>
        <w:tc>
          <w:tcPr>
            <w:tcW w:w="825" w:type="dxa"/>
            <w:tcBorders>
              <w:top w:val="single" w:sz="2" w:space="0" w:color="000000"/>
              <w:left w:val="single" w:sz="2" w:space="0" w:color="000000"/>
              <w:bottom w:val="single" w:sz="2" w:space="0" w:color="000000"/>
              <w:right w:val="single" w:sz="2" w:space="0" w:color="000000"/>
            </w:tcBorders>
            <w:vAlign w:val="center"/>
          </w:tcPr>
          <w:p w14:paraId="39900DE5" w14:textId="77777777" w:rsidR="009433BD" w:rsidRPr="00E220B9" w:rsidRDefault="009433BD" w:rsidP="009433BD">
            <w:pPr>
              <w:spacing w:line="259" w:lineRule="auto"/>
              <w:ind w:left="59"/>
              <w:jc w:val="left"/>
              <w:rPr>
                <w:sz w:val="16"/>
                <w:szCs w:val="16"/>
              </w:rPr>
            </w:pPr>
            <w:r w:rsidRPr="00634E4C">
              <w:rPr>
                <w:sz w:val="18"/>
              </w:rPr>
              <w:t>3065</w:t>
            </w:r>
          </w:p>
        </w:tc>
        <w:tc>
          <w:tcPr>
            <w:tcW w:w="825" w:type="dxa"/>
            <w:tcBorders>
              <w:top w:val="single" w:sz="2" w:space="0" w:color="000000"/>
              <w:left w:val="single" w:sz="2" w:space="0" w:color="000000"/>
              <w:bottom w:val="single" w:sz="2" w:space="0" w:color="000000"/>
              <w:right w:val="single" w:sz="2" w:space="0" w:color="000000"/>
            </w:tcBorders>
            <w:vAlign w:val="center"/>
          </w:tcPr>
          <w:p w14:paraId="6671D019" w14:textId="77777777" w:rsidR="009433BD" w:rsidRPr="00E220B9" w:rsidRDefault="009433BD" w:rsidP="009433BD">
            <w:pPr>
              <w:spacing w:line="259" w:lineRule="auto"/>
              <w:ind w:left="59"/>
              <w:jc w:val="left"/>
              <w:rPr>
                <w:sz w:val="16"/>
                <w:szCs w:val="16"/>
              </w:rPr>
            </w:pPr>
            <w:r w:rsidRPr="00634E4C">
              <w:rPr>
                <w:sz w:val="18"/>
              </w:rPr>
              <w:t>2997</w:t>
            </w:r>
          </w:p>
        </w:tc>
        <w:tc>
          <w:tcPr>
            <w:tcW w:w="825" w:type="dxa"/>
            <w:tcBorders>
              <w:top w:val="single" w:sz="2" w:space="0" w:color="000000"/>
              <w:left w:val="single" w:sz="2" w:space="0" w:color="000000"/>
              <w:bottom w:val="single" w:sz="2" w:space="0" w:color="000000"/>
              <w:right w:val="single" w:sz="2" w:space="0" w:color="000000"/>
            </w:tcBorders>
            <w:vAlign w:val="center"/>
          </w:tcPr>
          <w:p w14:paraId="37493AFB" w14:textId="77777777" w:rsidR="009433BD" w:rsidRPr="00E220B9" w:rsidRDefault="009433BD" w:rsidP="009433BD">
            <w:pPr>
              <w:spacing w:line="259" w:lineRule="auto"/>
              <w:ind w:left="59"/>
              <w:jc w:val="left"/>
              <w:rPr>
                <w:sz w:val="16"/>
                <w:szCs w:val="16"/>
              </w:rPr>
            </w:pPr>
            <w:r w:rsidRPr="00634E4C">
              <w:rPr>
                <w:sz w:val="18"/>
              </w:rPr>
              <w:t>1760</w:t>
            </w:r>
          </w:p>
        </w:tc>
        <w:tc>
          <w:tcPr>
            <w:tcW w:w="828" w:type="dxa"/>
            <w:tcBorders>
              <w:top w:val="single" w:sz="2" w:space="0" w:color="000000"/>
              <w:left w:val="single" w:sz="2" w:space="0" w:color="000000"/>
              <w:bottom w:val="single" w:sz="2" w:space="0" w:color="000000"/>
              <w:right w:val="single" w:sz="2" w:space="0" w:color="000000"/>
            </w:tcBorders>
            <w:vAlign w:val="center"/>
          </w:tcPr>
          <w:p w14:paraId="0F68783E" w14:textId="77777777" w:rsidR="009433BD" w:rsidRPr="00E220B9" w:rsidRDefault="009433BD" w:rsidP="009433BD">
            <w:pPr>
              <w:spacing w:line="259" w:lineRule="auto"/>
              <w:ind w:left="59"/>
              <w:jc w:val="left"/>
              <w:rPr>
                <w:sz w:val="16"/>
                <w:szCs w:val="16"/>
              </w:rPr>
            </w:pPr>
            <w:r w:rsidRPr="00634E4C">
              <w:rPr>
                <w:sz w:val="18"/>
              </w:rPr>
              <w:t>617</w:t>
            </w:r>
          </w:p>
        </w:tc>
        <w:tc>
          <w:tcPr>
            <w:tcW w:w="836" w:type="dxa"/>
            <w:gridSpan w:val="2"/>
            <w:tcBorders>
              <w:top w:val="single" w:sz="2" w:space="0" w:color="000000"/>
              <w:left w:val="single" w:sz="2" w:space="0" w:color="000000"/>
              <w:bottom w:val="single" w:sz="2" w:space="0" w:color="000000"/>
              <w:right w:val="single" w:sz="2" w:space="0" w:color="000000"/>
            </w:tcBorders>
            <w:vAlign w:val="center"/>
          </w:tcPr>
          <w:p w14:paraId="35D999D2" w14:textId="77777777" w:rsidR="009433BD" w:rsidRPr="00E220B9" w:rsidRDefault="009433BD" w:rsidP="009433BD">
            <w:pPr>
              <w:spacing w:line="259" w:lineRule="auto"/>
              <w:ind w:left="59"/>
              <w:jc w:val="left"/>
              <w:rPr>
                <w:sz w:val="16"/>
                <w:szCs w:val="16"/>
              </w:rPr>
            </w:pPr>
            <w:r w:rsidRPr="00634E4C">
              <w:rPr>
                <w:sz w:val="18"/>
              </w:rPr>
              <w:t>537</w:t>
            </w:r>
          </w:p>
        </w:tc>
        <w:tc>
          <w:tcPr>
            <w:tcW w:w="741" w:type="dxa"/>
            <w:tcBorders>
              <w:top w:val="single" w:sz="2" w:space="0" w:color="000000"/>
              <w:left w:val="single" w:sz="2" w:space="0" w:color="000000"/>
              <w:bottom w:val="single" w:sz="2" w:space="0" w:color="000000"/>
              <w:right w:val="single" w:sz="2" w:space="0" w:color="000000"/>
            </w:tcBorders>
            <w:vAlign w:val="center"/>
          </w:tcPr>
          <w:p w14:paraId="77EEE913" w14:textId="77777777" w:rsidR="009433BD" w:rsidRPr="00E220B9" w:rsidRDefault="009433BD" w:rsidP="009433BD">
            <w:pPr>
              <w:spacing w:line="259" w:lineRule="auto"/>
              <w:ind w:left="59"/>
              <w:jc w:val="left"/>
              <w:rPr>
                <w:rFonts w:ascii="Calibri" w:hAnsi="Calibri" w:cs="Calibri"/>
                <w:sz w:val="20"/>
                <w:szCs w:val="20"/>
              </w:rPr>
            </w:pPr>
            <w:r>
              <w:rPr>
                <w:sz w:val="18"/>
                <w:szCs w:val="18"/>
              </w:rPr>
              <w:t>615</w:t>
            </w:r>
          </w:p>
        </w:tc>
        <w:tc>
          <w:tcPr>
            <w:tcW w:w="851" w:type="dxa"/>
            <w:tcBorders>
              <w:top w:val="single" w:sz="2" w:space="0" w:color="000000"/>
              <w:left w:val="single" w:sz="2" w:space="0" w:color="000000"/>
              <w:bottom w:val="single" w:sz="2" w:space="0" w:color="000000"/>
              <w:right w:val="single" w:sz="2" w:space="0" w:color="000000"/>
            </w:tcBorders>
            <w:vAlign w:val="center"/>
          </w:tcPr>
          <w:p w14:paraId="23706B4D"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479</w:t>
            </w:r>
          </w:p>
        </w:tc>
        <w:tc>
          <w:tcPr>
            <w:tcW w:w="850" w:type="dxa"/>
            <w:tcBorders>
              <w:top w:val="single" w:sz="2" w:space="0" w:color="000000"/>
              <w:left w:val="single" w:sz="2" w:space="0" w:color="000000"/>
              <w:bottom w:val="single" w:sz="2" w:space="0" w:color="000000"/>
              <w:right w:val="single" w:sz="2" w:space="0" w:color="000000"/>
            </w:tcBorders>
            <w:vAlign w:val="center"/>
          </w:tcPr>
          <w:p w14:paraId="2AD123F1"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395</w:t>
            </w:r>
          </w:p>
        </w:tc>
        <w:tc>
          <w:tcPr>
            <w:tcW w:w="851" w:type="dxa"/>
            <w:tcBorders>
              <w:top w:val="single" w:sz="2" w:space="0" w:color="000000"/>
              <w:left w:val="single" w:sz="2" w:space="0" w:color="000000"/>
              <w:bottom w:val="single" w:sz="2" w:space="0" w:color="000000"/>
              <w:right w:val="single" w:sz="2" w:space="0" w:color="000000"/>
            </w:tcBorders>
            <w:vAlign w:val="center"/>
          </w:tcPr>
          <w:p w14:paraId="345CAC85"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330</w:t>
            </w:r>
          </w:p>
        </w:tc>
        <w:tc>
          <w:tcPr>
            <w:tcW w:w="709" w:type="dxa"/>
            <w:tcBorders>
              <w:top w:val="single" w:sz="2" w:space="0" w:color="000000"/>
              <w:left w:val="single" w:sz="2" w:space="0" w:color="000000"/>
              <w:bottom w:val="single" w:sz="2" w:space="0" w:color="000000"/>
              <w:right w:val="single" w:sz="2" w:space="0" w:color="000000"/>
            </w:tcBorders>
            <w:vAlign w:val="center"/>
          </w:tcPr>
          <w:p w14:paraId="6253273B"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299</w:t>
            </w:r>
          </w:p>
        </w:tc>
        <w:tc>
          <w:tcPr>
            <w:tcW w:w="850" w:type="dxa"/>
            <w:tcBorders>
              <w:top w:val="single" w:sz="2" w:space="0" w:color="000000"/>
              <w:left w:val="single" w:sz="2" w:space="0" w:color="000000"/>
              <w:bottom w:val="single" w:sz="2" w:space="0" w:color="000000"/>
              <w:right w:val="single" w:sz="2" w:space="0" w:color="000000"/>
            </w:tcBorders>
            <w:vAlign w:val="center"/>
          </w:tcPr>
          <w:p w14:paraId="2B14F620" w14:textId="3C3C5F12" w:rsidR="009433BD" w:rsidRPr="00E220B9" w:rsidRDefault="009433BD" w:rsidP="009433BD">
            <w:pPr>
              <w:spacing w:line="259" w:lineRule="auto"/>
              <w:ind w:left="59"/>
              <w:jc w:val="left"/>
              <w:rPr>
                <w:sz w:val="16"/>
                <w:szCs w:val="16"/>
              </w:rPr>
            </w:pPr>
            <w:r w:rsidRPr="00634E4C">
              <w:rPr>
                <w:rFonts w:asciiTheme="majorHAnsi" w:hAnsiTheme="majorHAnsi"/>
                <w:sz w:val="18"/>
              </w:rPr>
              <w:t>205</w:t>
            </w:r>
          </w:p>
        </w:tc>
      </w:tr>
      <w:tr w:rsidR="009433BD" w14:paraId="23E046A4" w14:textId="77777777" w:rsidTr="00361368">
        <w:trPr>
          <w:trHeight w:val="342"/>
        </w:trPr>
        <w:tc>
          <w:tcPr>
            <w:tcW w:w="521" w:type="dxa"/>
            <w:tcBorders>
              <w:top w:val="single" w:sz="2" w:space="0" w:color="000000"/>
              <w:left w:val="single" w:sz="2" w:space="0" w:color="000000"/>
              <w:bottom w:val="single" w:sz="2" w:space="0" w:color="000000"/>
              <w:right w:val="single" w:sz="2" w:space="0" w:color="000000"/>
            </w:tcBorders>
            <w:shd w:val="clear" w:color="auto" w:fill="ECE6E2"/>
          </w:tcPr>
          <w:p w14:paraId="62F3E21D" w14:textId="77777777" w:rsidR="009433BD" w:rsidRDefault="009433BD" w:rsidP="009433BD">
            <w:pPr>
              <w:spacing w:line="259" w:lineRule="auto"/>
              <w:jc w:val="left"/>
            </w:pPr>
            <w:r>
              <w:t>SF</w:t>
            </w:r>
            <w:r w:rsidRPr="007F09F7">
              <w:rPr>
                <w:vertAlign w:val="subscript"/>
              </w:rPr>
              <w:t>6</w:t>
            </w:r>
            <w:r>
              <w:rPr>
                <w:sz w:val="18"/>
              </w:rPr>
              <w:t xml:space="preserve"> </w:t>
            </w:r>
          </w:p>
        </w:tc>
        <w:tc>
          <w:tcPr>
            <w:tcW w:w="82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364EEC" w14:textId="77777777" w:rsidR="009433BD" w:rsidRPr="00E220B9" w:rsidRDefault="009433BD" w:rsidP="009433BD">
            <w:pPr>
              <w:spacing w:line="259" w:lineRule="auto"/>
              <w:ind w:left="59"/>
              <w:jc w:val="left"/>
              <w:rPr>
                <w:sz w:val="16"/>
                <w:szCs w:val="16"/>
              </w:rPr>
            </w:pPr>
            <w:r>
              <w:rPr>
                <w:sz w:val="18"/>
                <w:szCs w:val="18"/>
              </w:rPr>
              <w:t>2155</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7E8C26" w14:textId="77777777" w:rsidR="009433BD" w:rsidRPr="00E220B9" w:rsidRDefault="009433BD" w:rsidP="009433BD">
            <w:pPr>
              <w:spacing w:line="259" w:lineRule="auto"/>
              <w:ind w:left="59"/>
              <w:jc w:val="left"/>
              <w:rPr>
                <w:sz w:val="16"/>
                <w:szCs w:val="16"/>
              </w:rPr>
            </w:pPr>
            <w:r>
              <w:rPr>
                <w:sz w:val="18"/>
                <w:szCs w:val="18"/>
              </w:rPr>
              <w:t>2467</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D37489" w14:textId="77777777" w:rsidR="009433BD" w:rsidRPr="00E220B9" w:rsidRDefault="009433BD" w:rsidP="009433BD">
            <w:pPr>
              <w:spacing w:line="259" w:lineRule="auto"/>
              <w:ind w:left="59"/>
              <w:jc w:val="left"/>
              <w:rPr>
                <w:sz w:val="16"/>
                <w:szCs w:val="16"/>
              </w:rPr>
            </w:pPr>
            <w:r>
              <w:rPr>
                <w:sz w:val="18"/>
                <w:szCs w:val="18"/>
              </w:rPr>
              <w:t>2180</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2A605E" w14:textId="77777777" w:rsidR="009433BD" w:rsidRPr="00E220B9" w:rsidRDefault="009433BD" w:rsidP="009433BD">
            <w:pPr>
              <w:spacing w:line="259" w:lineRule="auto"/>
              <w:ind w:left="59"/>
              <w:jc w:val="left"/>
              <w:rPr>
                <w:sz w:val="16"/>
                <w:szCs w:val="16"/>
              </w:rPr>
            </w:pPr>
            <w:r w:rsidRPr="00634E4C">
              <w:rPr>
                <w:sz w:val="18"/>
              </w:rPr>
              <w:t>1355</w:t>
            </w:r>
          </w:p>
        </w:tc>
        <w:tc>
          <w:tcPr>
            <w:tcW w:w="82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BFE39E" w14:textId="77777777" w:rsidR="009433BD" w:rsidRPr="00E220B9" w:rsidRDefault="009433BD" w:rsidP="009433BD">
            <w:pPr>
              <w:spacing w:line="259" w:lineRule="auto"/>
              <w:ind w:left="59"/>
              <w:jc w:val="left"/>
              <w:rPr>
                <w:sz w:val="16"/>
                <w:szCs w:val="16"/>
              </w:rPr>
            </w:pPr>
            <w:r>
              <w:rPr>
                <w:sz w:val="18"/>
                <w:szCs w:val="18"/>
              </w:rPr>
              <w:t>875</w:t>
            </w:r>
          </w:p>
        </w:tc>
        <w:tc>
          <w:tcPr>
            <w:tcW w:w="836" w:type="dxa"/>
            <w:gridSpan w:val="2"/>
            <w:tcBorders>
              <w:top w:val="single" w:sz="2" w:space="0" w:color="000000"/>
              <w:left w:val="single" w:sz="2" w:space="0" w:color="000000"/>
              <w:bottom w:val="single" w:sz="2" w:space="0" w:color="000000"/>
              <w:right w:val="single" w:sz="2" w:space="0" w:color="000000"/>
            </w:tcBorders>
            <w:shd w:val="clear" w:color="auto" w:fill="ECE6E2"/>
            <w:vAlign w:val="center"/>
          </w:tcPr>
          <w:p w14:paraId="038C0CC7" w14:textId="77777777" w:rsidR="009433BD" w:rsidRPr="00E220B9" w:rsidRDefault="009433BD" w:rsidP="009433BD">
            <w:pPr>
              <w:spacing w:line="259" w:lineRule="auto"/>
              <w:ind w:left="59"/>
              <w:jc w:val="left"/>
              <w:rPr>
                <w:sz w:val="16"/>
                <w:szCs w:val="16"/>
              </w:rPr>
            </w:pPr>
            <w:r>
              <w:rPr>
                <w:sz w:val="18"/>
                <w:szCs w:val="18"/>
              </w:rPr>
              <w:t>498</w:t>
            </w:r>
          </w:p>
        </w:tc>
        <w:tc>
          <w:tcPr>
            <w:tcW w:w="74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D2E2BF" w14:textId="77777777" w:rsidR="009433BD" w:rsidRPr="00E220B9" w:rsidRDefault="009433BD" w:rsidP="009433BD">
            <w:pPr>
              <w:spacing w:line="259" w:lineRule="auto"/>
              <w:ind w:left="59"/>
              <w:jc w:val="left"/>
              <w:rPr>
                <w:rFonts w:ascii="Calibri" w:hAnsi="Calibri" w:cs="Calibri"/>
                <w:sz w:val="20"/>
                <w:szCs w:val="20"/>
              </w:rPr>
            </w:pPr>
            <w:r>
              <w:rPr>
                <w:sz w:val="18"/>
                <w:szCs w:val="18"/>
              </w:rPr>
              <w:t>385</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51728E"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458</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A4A221"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459</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EC9F3B"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460</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A59312"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460</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07DE1A" w14:textId="7CB6D20C" w:rsidR="009433BD" w:rsidRPr="00E220B9" w:rsidRDefault="009433BD" w:rsidP="009433BD">
            <w:pPr>
              <w:spacing w:line="259" w:lineRule="auto"/>
              <w:ind w:left="59"/>
              <w:jc w:val="left"/>
              <w:rPr>
                <w:sz w:val="16"/>
                <w:szCs w:val="16"/>
              </w:rPr>
            </w:pPr>
            <w:r w:rsidRPr="00634E4C">
              <w:rPr>
                <w:rFonts w:asciiTheme="majorHAnsi" w:hAnsiTheme="majorHAnsi"/>
                <w:sz w:val="18"/>
              </w:rPr>
              <w:t>463</w:t>
            </w:r>
          </w:p>
        </w:tc>
      </w:tr>
      <w:tr w:rsidR="009433BD" w14:paraId="69D88BE5" w14:textId="77777777" w:rsidTr="00361368">
        <w:trPr>
          <w:trHeight w:val="347"/>
        </w:trPr>
        <w:tc>
          <w:tcPr>
            <w:tcW w:w="521" w:type="dxa"/>
            <w:tcBorders>
              <w:top w:val="single" w:sz="2" w:space="0" w:color="000000"/>
              <w:left w:val="single" w:sz="2" w:space="0" w:color="000000"/>
              <w:bottom w:val="single" w:sz="2" w:space="0" w:color="000000"/>
              <w:right w:val="single" w:sz="2" w:space="0" w:color="000000"/>
            </w:tcBorders>
          </w:tcPr>
          <w:p w14:paraId="6E02C815" w14:textId="77777777" w:rsidR="009433BD" w:rsidRDefault="009433BD" w:rsidP="009433BD">
            <w:pPr>
              <w:spacing w:line="259" w:lineRule="auto"/>
              <w:jc w:val="left"/>
            </w:pPr>
            <w:r>
              <w:rPr>
                <w:sz w:val="18"/>
              </w:rPr>
              <w:t>NF</w:t>
            </w:r>
            <w:r w:rsidRPr="007F09F7">
              <w:rPr>
                <w:sz w:val="18"/>
                <w:vertAlign w:val="subscript"/>
              </w:rPr>
              <w:t>3</w:t>
            </w:r>
            <w:r>
              <w:rPr>
                <w:sz w:val="18"/>
              </w:rPr>
              <w:t xml:space="preserve"> </w:t>
            </w:r>
          </w:p>
        </w:tc>
        <w:tc>
          <w:tcPr>
            <w:tcW w:w="826" w:type="dxa"/>
            <w:tcBorders>
              <w:top w:val="single" w:sz="2" w:space="0" w:color="000000"/>
              <w:left w:val="single" w:sz="2" w:space="0" w:color="000000"/>
              <w:bottom w:val="single" w:sz="2" w:space="0" w:color="000000"/>
              <w:right w:val="single" w:sz="2" w:space="0" w:color="000000"/>
            </w:tcBorders>
            <w:vAlign w:val="center"/>
          </w:tcPr>
          <w:p w14:paraId="7BC2CAE8" w14:textId="77777777" w:rsidR="009433BD" w:rsidRPr="00E220B9" w:rsidRDefault="009433BD" w:rsidP="009433BD">
            <w:pPr>
              <w:spacing w:line="259" w:lineRule="auto"/>
              <w:ind w:left="59"/>
              <w:jc w:val="left"/>
              <w:rPr>
                <w:sz w:val="16"/>
                <w:szCs w:val="16"/>
              </w:rPr>
            </w:pPr>
            <w:r w:rsidRPr="00634E4C">
              <w:rPr>
                <w:sz w:val="18"/>
              </w:rPr>
              <w:t>16</w:t>
            </w:r>
          </w:p>
        </w:tc>
        <w:tc>
          <w:tcPr>
            <w:tcW w:w="825" w:type="dxa"/>
            <w:tcBorders>
              <w:top w:val="single" w:sz="2" w:space="0" w:color="000000"/>
              <w:left w:val="single" w:sz="2" w:space="0" w:color="000000"/>
              <w:bottom w:val="single" w:sz="2" w:space="0" w:color="000000"/>
              <w:right w:val="single" w:sz="2" w:space="0" w:color="000000"/>
            </w:tcBorders>
            <w:vAlign w:val="center"/>
          </w:tcPr>
          <w:p w14:paraId="7AEF1B17" w14:textId="77777777" w:rsidR="009433BD" w:rsidRPr="00E220B9" w:rsidRDefault="009433BD" w:rsidP="009433BD">
            <w:pPr>
              <w:spacing w:line="259" w:lineRule="auto"/>
              <w:ind w:left="59"/>
              <w:jc w:val="left"/>
              <w:rPr>
                <w:sz w:val="16"/>
                <w:szCs w:val="16"/>
              </w:rPr>
            </w:pPr>
            <w:r w:rsidRPr="00634E4C">
              <w:rPr>
                <w:sz w:val="18"/>
              </w:rPr>
              <w:t>6</w:t>
            </w:r>
          </w:p>
        </w:tc>
        <w:tc>
          <w:tcPr>
            <w:tcW w:w="825" w:type="dxa"/>
            <w:tcBorders>
              <w:top w:val="single" w:sz="2" w:space="0" w:color="000000"/>
              <w:left w:val="single" w:sz="2" w:space="0" w:color="000000"/>
              <w:bottom w:val="single" w:sz="2" w:space="0" w:color="000000"/>
              <w:right w:val="single" w:sz="2" w:space="0" w:color="000000"/>
            </w:tcBorders>
            <w:vAlign w:val="center"/>
          </w:tcPr>
          <w:p w14:paraId="41EF4874" w14:textId="77777777" w:rsidR="009433BD" w:rsidRPr="00E220B9" w:rsidRDefault="009433BD" w:rsidP="009433BD">
            <w:pPr>
              <w:spacing w:line="259" w:lineRule="auto"/>
              <w:ind w:left="59"/>
              <w:jc w:val="left"/>
              <w:rPr>
                <w:sz w:val="16"/>
                <w:szCs w:val="16"/>
              </w:rPr>
            </w:pPr>
            <w:r w:rsidRPr="00634E4C">
              <w:rPr>
                <w:sz w:val="18"/>
              </w:rPr>
              <w:t>20</w:t>
            </w:r>
          </w:p>
        </w:tc>
        <w:tc>
          <w:tcPr>
            <w:tcW w:w="825" w:type="dxa"/>
            <w:tcBorders>
              <w:top w:val="single" w:sz="2" w:space="0" w:color="000000"/>
              <w:left w:val="single" w:sz="2" w:space="0" w:color="000000"/>
              <w:bottom w:val="single" w:sz="2" w:space="0" w:color="000000"/>
              <w:right w:val="single" w:sz="2" w:space="0" w:color="000000"/>
            </w:tcBorders>
            <w:vAlign w:val="center"/>
          </w:tcPr>
          <w:p w14:paraId="13BB50CD" w14:textId="77777777" w:rsidR="009433BD" w:rsidRPr="00E220B9" w:rsidRDefault="009433BD" w:rsidP="009433BD">
            <w:pPr>
              <w:spacing w:line="259" w:lineRule="auto"/>
              <w:ind w:left="59"/>
              <w:jc w:val="left"/>
              <w:rPr>
                <w:sz w:val="16"/>
                <w:szCs w:val="16"/>
              </w:rPr>
            </w:pPr>
            <w:r w:rsidRPr="00634E4C">
              <w:rPr>
                <w:sz w:val="18"/>
              </w:rPr>
              <w:t>31</w:t>
            </w:r>
          </w:p>
        </w:tc>
        <w:tc>
          <w:tcPr>
            <w:tcW w:w="828" w:type="dxa"/>
            <w:tcBorders>
              <w:top w:val="single" w:sz="2" w:space="0" w:color="000000"/>
              <w:left w:val="single" w:sz="2" w:space="0" w:color="000000"/>
              <w:bottom w:val="single" w:sz="2" w:space="0" w:color="000000"/>
              <w:right w:val="single" w:sz="2" w:space="0" w:color="000000"/>
            </w:tcBorders>
            <w:vAlign w:val="center"/>
          </w:tcPr>
          <w:p w14:paraId="141786F7" w14:textId="77777777" w:rsidR="009433BD" w:rsidRPr="00E220B9" w:rsidRDefault="009433BD" w:rsidP="009433BD">
            <w:pPr>
              <w:spacing w:line="259" w:lineRule="auto"/>
              <w:ind w:left="59"/>
              <w:jc w:val="left"/>
              <w:rPr>
                <w:sz w:val="16"/>
                <w:szCs w:val="16"/>
              </w:rPr>
            </w:pPr>
            <w:r w:rsidRPr="00634E4C">
              <w:rPr>
                <w:sz w:val="18"/>
              </w:rPr>
              <w:t>32</w:t>
            </w:r>
          </w:p>
        </w:tc>
        <w:tc>
          <w:tcPr>
            <w:tcW w:w="836" w:type="dxa"/>
            <w:gridSpan w:val="2"/>
            <w:tcBorders>
              <w:top w:val="single" w:sz="2" w:space="0" w:color="000000"/>
              <w:left w:val="single" w:sz="2" w:space="0" w:color="000000"/>
              <w:bottom w:val="single" w:sz="2" w:space="0" w:color="000000"/>
              <w:right w:val="single" w:sz="2" w:space="0" w:color="000000"/>
            </w:tcBorders>
            <w:vAlign w:val="center"/>
          </w:tcPr>
          <w:p w14:paraId="65A177F0" w14:textId="77777777" w:rsidR="009433BD" w:rsidRPr="00E220B9" w:rsidRDefault="009433BD" w:rsidP="009433BD">
            <w:pPr>
              <w:spacing w:line="259" w:lineRule="auto"/>
              <w:ind w:left="59"/>
              <w:jc w:val="left"/>
              <w:rPr>
                <w:sz w:val="16"/>
                <w:szCs w:val="16"/>
              </w:rPr>
            </w:pPr>
            <w:r w:rsidRPr="00634E4C">
              <w:rPr>
                <w:sz w:val="18"/>
              </w:rPr>
              <w:t>6</w:t>
            </w:r>
          </w:p>
        </w:tc>
        <w:tc>
          <w:tcPr>
            <w:tcW w:w="741" w:type="dxa"/>
            <w:tcBorders>
              <w:top w:val="single" w:sz="2" w:space="0" w:color="000000"/>
              <w:left w:val="single" w:sz="2" w:space="0" w:color="000000"/>
              <w:bottom w:val="single" w:sz="2" w:space="0" w:color="000000"/>
              <w:right w:val="single" w:sz="2" w:space="0" w:color="000000"/>
            </w:tcBorders>
            <w:vAlign w:val="center"/>
          </w:tcPr>
          <w:p w14:paraId="7E831397" w14:textId="77777777" w:rsidR="009433BD" w:rsidRPr="00E220B9" w:rsidRDefault="009433BD" w:rsidP="009433BD">
            <w:pPr>
              <w:spacing w:line="259" w:lineRule="auto"/>
              <w:ind w:left="59"/>
              <w:jc w:val="left"/>
              <w:rPr>
                <w:rFonts w:ascii="Calibri" w:hAnsi="Calibri" w:cs="Calibri"/>
                <w:sz w:val="20"/>
                <w:szCs w:val="20"/>
              </w:rPr>
            </w:pPr>
            <w:r>
              <w:rPr>
                <w:sz w:val="18"/>
                <w:szCs w:val="18"/>
              </w:rPr>
              <w:t>10</w:t>
            </w:r>
          </w:p>
        </w:tc>
        <w:tc>
          <w:tcPr>
            <w:tcW w:w="851" w:type="dxa"/>
            <w:tcBorders>
              <w:top w:val="single" w:sz="2" w:space="0" w:color="000000"/>
              <w:left w:val="single" w:sz="2" w:space="0" w:color="000000"/>
              <w:bottom w:val="single" w:sz="2" w:space="0" w:color="000000"/>
              <w:right w:val="single" w:sz="2" w:space="0" w:color="000000"/>
            </w:tcBorders>
            <w:vAlign w:val="center"/>
          </w:tcPr>
          <w:p w14:paraId="05938D28"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6</w:t>
            </w:r>
          </w:p>
        </w:tc>
        <w:tc>
          <w:tcPr>
            <w:tcW w:w="850" w:type="dxa"/>
            <w:tcBorders>
              <w:top w:val="single" w:sz="2" w:space="0" w:color="000000"/>
              <w:left w:val="single" w:sz="2" w:space="0" w:color="000000"/>
              <w:bottom w:val="single" w:sz="2" w:space="0" w:color="000000"/>
              <w:right w:val="single" w:sz="2" w:space="0" w:color="000000"/>
            </w:tcBorders>
            <w:vAlign w:val="center"/>
          </w:tcPr>
          <w:p w14:paraId="089AF068"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6</w:t>
            </w:r>
          </w:p>
        </w:tc>
        <w:tc>
          <w:tcPr>
            <w:tcW w:w="851" w:type="dxa"/>
            <w:tcBorders>
              <w:top w:val="single" w:sz="2" w:space="0" w:color="000000"/>
              <w:left w:val="single" w:sz="2" w:space="0" w:color="000000"/>
              <w:bottom w:val="single" w:sz="2" w:space="0" w:color="000000"/>
              <w:right w:val="single" w:sz="2" w:space="0" w:color="000000"/>
            </w:tcBorders>
            <w:vAlign w:val="center"/>
          </w:tcPr>
          <w:p w14:paraId="3B057416"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6</w:t>
            </w:r>
          </w:p>
        </w:tc>
        <w:tc>
          <w:tcPr>
            <w:tcW w:w="709" w:type="dxa"/>
            <w:tcBorders>
              <w:top w:val="single" w:sz="2" w:space="0" w:color="000000"/>
              <w:left w:val="single" w:sz="2" w:space="0" w:color="000000"/>
              <w:bottom w:val="single" w:sz="2" w:space="0" w:color="000000"/>
              <w:right w:val="single" w:sz="2" w:space="0" w:color="000000"/>
            </w:tcBorders>
            <w:vAlign w:val="center"/>
          </w:tcPr>
          <w:p w14:paraId="5B435392" w14:textId="77777777" w:rsidR="009433BD" w:rsidRPr="00E220B9" w:rsidRDefault="009433BD" w:rsidP="009433BD">
            <w:pPr>
              <w:spacing w:line="259" w:lineRule="auto"/>
              <w:ind w:left="59"/>
              <w:jc w:val="left"/>
              <w:rPr>
                <w:sz w:val="16"/>
                <w:szCs w:val="16"/>
              </w:rPr>
            </w:pPr>
            <w:r w:rsidRPr="00634E4C">
              <w:rPr>
                <w:rFonts w:asciiTheme="majorHAnsi" w:hAnsiTheme="majorHAnsi"/>
                <w:sz w:val="18"/>
              </w:rPr>
              <w:t>6</w:t>
            </w:r>
          </w:p>
        </w:tc>
        <w:tc>
          <w:tcPr>
            <w:tcW w:w="850" w:type="dxa"/>
            <w:tcBorders>
              <w:top w:val="single" w:sz="2" w:space="0" w:color="000000"/>
              <w:left w:val="single" w:sz="2" w:space="0" w:color="000000"/>
              <w:bottom w:val="single" w:sz="2" w:space="0" w:color="000000"/>
              <w:right w:val="single" w:sz="2" w:space="0" w:color="000000"/>
            </w:tcBorders>
            <w:vAlign w:val="center"/>
          </w:tcPr>
          <w:p w14:paraId="40E9F13D" w14:textId="311809D3" w:rsidR="009433BD" w:rsidRPr="00E220B9" w:rsidRDefault="009433BD" w:rsidP="009433BD">
            <w:pPr>
              <w:spacing w:line="259" w:lineRule="auto"/>
              <w:ind w:left="59"/>
              <w:jc w:val="left"/>
              <w:rPr>
                <w:sz w:val="16"/>
                <w:szCs w:val="16"/>
              </w:rPr>
            </w:pPr>
            <w:r w:rsidRPr="00634E4C">
              <w:rPr>
                <w:rFonts w:asciiTheme="majorHAnsi" w:hAnsiTheme="majorHAnsi"/>
                <w:sz w:val="18"/>
              </w:rPr>
              <w:t>6</w:t>
            </w:r>
          </w:p>
        </w:tc>
      </w:tr>
      <w:tr w:rsidR="009433BD" w14:paraId="32EE8CD9" w14:textId="77777777" w:rsidTr="00361368">
        <w:trPr>
          <w:trHeight w:val="344"/>
        </w:trPr>
        <w:tc>
          <w:tcPr>
            <w:tcW w:w="521" w:type="dxa"/>
            <w:tcBorders>
              <w:top w:val="single" w:sz="2" w:space="0" w:color="000000"/>
              <w:left w:val="single" w:sz="2" w:space="0" w:color="000000"/>
              <w:bottom w:val="single" w:sz="2" w:space="0" w:color="000000"/>
              <w:right w:val="single" w:sz="2" w:space="0" w:color="000000"/>
            </w:tcBorders>
            <w:shd w:val="clear" w:color="auto" w:fill="ECE6E2"/>
          </w:tcPr>
          <w:p w14:paraId="337BCF1F" w14:textId="77777777" w:rsidR="009433BD" w:rsidRDefault="009433BD" w:rsidP="009433BD">
            <w:pPr>
              <w:spacing w:line="259" w:lineRule="auto"/>
              <w:jc w:val="left"/>
            </w:pPr>
            <w:r>
              <w:rPr>
                <w:b/>
                <w:sz w:val="18"/>
              </w:rPr>
              <w:t xml:space="preserve">Ensemble (hors UTCF) </w:t>
            </w:r>
          </w:p>
        </w:tc>
        <w:tc>
          <w:tcPr>
            <w:tcW w:w="82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C5A690" w14:textId="77777777" w:rsidR="009433BD" w:rsidRPr="00E220B9" w:rsidRDefault="009433BD" w:rsidP="009433BD">
            <w:pPr>
              <w:spacing w:line="259" w:lineRule="auto"/>
              <w:ind w:left="59"/>
              <w:jc w:val="left"/>
              <w:rPr>
                <w:b/>
                <w:sz w:val="16"/>
                <w:szCs w:val="16"/>
              </w:rPr>
            </w:pPr>
            <w:r w:rsidRPr="00664108">
              <w:rPr>
                <w:b/>
                <w:sz w:val="18"/>
                <w:szCs w:val="18"/>
              </w:rPr>
              <w:t>544086</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93B508" w14:textId="77777777" w:rsidR="009433BD" w:rsidRPr="00E220B9" w:rsidRDefault="009433BD" w:rsidP="009433BD">
            <w:pPr>
              <w:spacing w:line="259" w:lineRule="auto"/>
              <w:ind w:left="59"/>
              <w:jc w:val="left"/>
              <w:rPr>
                <w:b/>
                <w:sz w:val="16"/>
                <w:szCs w:val="16"/>
              </w:rPr>
            </w:pPr>
            <w:r w:rsidRPr="00664108">
              <w:rPr>
                <w:b/>
                <w:sz w:val="18"/>
                <w:szCs w:val="18"/>
              </w:rPr>
              <w:t>536476</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94E220" w14:textId="77777777" w:rsidR="009433BD" w:rsidRPr="00E220B9" w:rsidRDefault="009433BD" w:rsidP="009433BD">
            <w:pPr>
              <w:spacing w:line="259" w:lineRule="auto"/>
              <w:ind w:left="59"/>
              <w:jc w:val="left"/>
              <w:rPr>
                <w:b/>
                <w:sz w:val="16"/>
                <w:szCs w:val="16"/>
              </w:rPr>
            </w:pPr>
            <w:r w:rsidRPr="00664108">
              <w:rPr>
                <w:b/>
                <w:sz w:val="18"/>
                <w:szCs w:val="18"/>
              </w:rPr>
              <w:t>549005</w:t>
            </w:r>
          </w:p>
        </w:tc>
        <w:tc>
          <w:tcPr>
            <w:tcW w:w="8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B3C6E2" w14:textId="77777777" w:rsidR="009433BD" w:rsidRPr="00E220B9" w:rsidRDefault="009433BD" w:rsidP="009433BD">
            <w:pPr>
              <w:spacing w:line="259" w:lineRule="auto"/>
              <w:ind w:left="59"/>
              <w:jc w:val="left"/>
              <w:rPr>
                <w:b/>
                <w:sz w:val="16"/>
                <w:szCs w:val="16"/>
              </w:rPr>
            </w:pPr>
            <w:r w:rsidRPr="00664108">
              <w:rPr>
                <w:b/>
                <w:sz w:val="18"/>
                <w:szCs w:val="18"/>
              </w:rPr>
              <w:t>551391</w:t>
            </w:r>
          </w:p>
        </w:tc>
        <w:tc>
          <w:tcPr>
            <w:tcW w:w="82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E19D19" w14:textId="77777777" w:rsidR="009433BD" w:rsidRPr="00E220B9" w:rsidRDefault="009433BD" w:rsidP="009433BD">
            <w:pPr>
              <w:spacing w:line="259" w:lineRule="auto"/>
              <w:ind w:left="64"/>
              <w:jc w:val="left"/>
              <w:rPr>
                <w:b/>
                <w:sz w:val="16"/>
                <w:szCs w:val="16"/>
              </w:rPr>
            </w:pPr>
            <w:r w:rsidRPr="00664108">
              <w:rPr>
                <w:b/>
                <w:sz w:val="18"/>
                <w:szCs w:val="18"/>
              </w:rPr>
              <w:t>507468</w:t>
            </w:r>
          </w:p>
        </w:tc>
        <w:tc>
          <w:tcPr>
            <w:tcW w:w="836" w:type="dxa"/>
            <w:gridSpan w:val="2"/>
            <w:tcBorders>
              <w:top w:val="single" w:sz="2" w:space="0" w:color="000000"/>
              <w:left w:val="single" w:sz="2" w:space="0" w:color="000000"/>
              <w:bottom w:val="single" w:sz="2" w:space="0" w:color="000000"/>
              <w:right w:val="single" w:sz="2" w:space="0" w:color="000000"/>
            </w:tcBorders>
            <w:shd w:val="clear" w:color="auto" w:fill="ECE6E2"/>
            <w:vAlign w:val="center"/>
          </w:tcPr>
          <w:p w14:paraId="6054AF7B" w14:textId="77777777" w:rsidR="009433BD" w:rsidRPr="00E220B9" w:rsidRDefault="009433BD" w:rsidP="009433BD">
            <w:pPr>
              <w:spacing w:line="259" w:lineRule="auto"/>
              <w:ind w:left="59"/>
              <w:jc w:val="left"/>
              <w:rPr>
                <w:b/>
                <w:sz w:val="16"/>
                <w:szCs w:val="16"/>
              </w:rPr>
            </w:pPr>
            <w:r w:rsidRPr="00664108">
              <w:rPr>
                <w:b/>
                <w:sz w:val="18"/>
                <w:szCs w:val="18"/>
              </w:rPr>
              <w:t>457924</w:t>
            </w:r>
          </w:p>
        </w:tc>
        <w:tc>
          <w:tcPr>
            <w:tcW w:w="74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BDCF500" w14:textId="77777777" w:rsidR="009433BD" w:rsidRPr="00E220B9" w:rsidRDefault="009433BD" w:rsidP="009433BD">
            <w:pPr>
              <w:spacing w:line="259" w:lineRule="auto"/>
              <w:ind w:left="59"/>
              <w:jc w:val="left"/>
              <w:rPr>
                <w:rFonts w:ascii="Calibri" w:hAnsi="Calibri" w:cs="Calibri"/>
                <w:b/>
                <w:sz w:val="20"/>
                <w:szCs w:val="20"/>
              </w:rPr>
            </w:pPr>
            <w:r w:rsidRPr="00664108">
              <w:rPr>
                <w:b/>
                <w:sz w:val="18"/>
                <w:szCs w:val="18"/>
              </w:rPr>
              <w:t>434540</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AFC961" w14:textId="77777777" w:rsidR="009433BD" w:rsidRPr="00E220B9" w:rsidRDefault="009433BD" w:rsidP="009433BD">
            <w:pPr>
              <w:spacing w:line="259" w:lineRule="auto"/>
              <w:ind w:left="59"/>
              <w:jc w:val="left"/>
              <w:rPr>
                <w:b/>
                <w:sz w:val="16"/>
                <w:szCs w:val="16"/>
              </w:rPr>
            </w:pPr>
            <w:r w:rsidRPr="00634E4C">
              <w:rPr>
                <w:rFonts w:asciiTheme="majorHAnsi" w:hAnsiTheme="majorHAnsi"/>
                <w:b/>
                <w:sz w:val="18"/>
              </w:rPr>
              <w:t>434378</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CD79E9" w14:textId="77777777" w:rsidR="009433BD" w:rsidRPr="00E220B9" w:rsidRDefault="009433BD" w:rsidP="009433BD">
            <w:pPr>
              <w:spacing w:line="259" w:lineRule="auto"/>
              <w:ind w:left="59"/>
              <w:jc w:val="left"/>
              <w:rPr>
                <w:b/>
                <w:sz w:val="16"/>
                <w:szCs w:val="16"/>
              </w:rPr>
            </w:pPr>
            <w:r w:rsidRPr="00634E4C">
              <w:rPr>
                <w:rFonts w:asciiTheme="majorHAnsi" w:hAnsiTheme="majorHAnsi"/>
                <w:b/>
                <w:sz w:val="18"/>
              </w:rPr>
              <w:t>367661</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CABA28" w14:textId="77777777" w:rsidR="009433BD" w:rsidRPr="00E220B9" w:rsidRDefault="009433BD" w:rsidP="009433BD">
            <w:pPr>
              <w:spacing w:line="259" w:lineRule="auto"/>
              <w:ind w:left="59"/>
              <w:jc w:val="left"/>
              <w:rPr>
                <w:b/>
                <w:sz w:val="16"/>
                <w:szCs w:val="16"/>
              </w:rPr>
            </w:pPr>
            <w:r w:rsidRPr="00634E4C">
              <w:rPr>
                <w:rFonts w:asciiTheme="majorHAnsi" w:hAnsiTheme="majorHAnsi"/>
                <w:b/>
                <w:sz w:val="18"/>
              </w:rPr>
              <w:t>307094</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547A8E" w14:textId="77777777" w:rsidR="009433BD" w:rsidRPr="00E220B9" w:rsidRDefault="009433BD" w:rsidP="009433BD">
            <w:pPr>
              <w:spacing w:line="259" w:lineRule="auto"/>
              <w:ind w:left="59"/>
              <w:jc w:val="left"/>
              <w:rPr>
                <w:b/>
                <w:sz w:val="16"/>
                <w:szCs w:val="16"/>
              </w:rPr>
            </w:pPr>
            <w:r w:rsidRPr="00634E4C">
              <w:rPr>
                <w:rFonts w:asciiTheme="majorHAnsi" w:hAnsiTheme="majorHAnsi"/>
                <w:b/>
                <w:sz w:val="18"/>
              </w:rPr>
              <w:t>247697</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EE7441" w14:textId="12F21B19" w:rsidR="009433BD" w:rsidRPr="00E220B9" w:rsidRDefault="009433BD" w:rsidP="009433BD">
            <w:pPr>
              <w:spacing w:line="259" w:lineRule="auto"/>
              <w:ind w:left="59"/>
              <w:jc w:val="left"/>
              <w:rPr>
                <w:b/>
                <w:sz w:val="16"/>
                <w:szCs w:val="16"/>
              </w:rPr>
            </w:pPr>
            <w:r w:rsidRPr="00634E4C">
              <w:rPr>
                <w:rFonts w:asciiTheme="majorHAnsi" w:hAnsiTheme="majorHAnsi"/>
                <w:b/>
                <w:sz w:val="18"/>
              </w:rPr>
              <w:t>64551</w:t>
            </w:r>
          </w:p>
        </w:tc>
      </w:tr>
      <w:tr w:rsidR="009433BD" w14:paraId="6F2614C7" w14:textId="77777777" w:rsidTr="00361368">
        <w:trPr>
          <w:trHeight w:val="346"/>
        </w:trPr>
        <w:tc>
          <w:tcPr>
            <w:tcW w:w="521" w:type="dxa"/>
            <w:tcBorders>
              <w:top w:val="single" w:sz="2" w:space="0" w:color="000000"/>
              <w:left w:val="single" w:sz="2" w:space="0" w:color="000000"/>
              <w:bottom w:val="single" w:sz="2" w:space="0" w:color="000000"/>
              <w:right w:val="single" w:sz="2" w:space="0" w:color="000000"/>
            </w:tcBorders>
          </w:tcPr>
          <w:p w14:paraId="049E3342" w14:textId="77777777" w:rsidR="009433BD" w:rsidRDefault="009433BD" w:rsidP="009433BD">
            <w:pPr>
              <w:spacing w:line="259" w:lineRule="auto"/>
              <w:jc w:val="left"/>
            </w:pPr>
            <w:r>
              <w:rPr>
                <w:b/>
                <w:sz w:val="18"/>
              </w:rPr>
              <w:t xml:space="preserve">Ensemble (avec UTCF) </w:t>
            </w:r>
          </w:p>
        </w:tc>
        <w:tc>
          <w:tcPr>
            <w:tcW w:w="826" w:type="dxa"/>
            <w:tcBorders>
              <w:top w:val="single" w:sz="2" w:space="0" w:color="000000"/>
              <w:left w:val="single" w:sz="2" w:space="0" w:color="000000"/>
              <w:bottom w:val="single" w:sz="2" w:space="0" w:color="000000"/>
              <w:right w:val="single" w:sz="2" w:space="0" w:color="000000"/>
            </w:tcBorders>
            <w:vAlign w:val="center"/>
          </w:tcPr>
          <w:p w14:paraId="442116F6" w14:textId="77777777" w:rsidR="009433BD" w:rsidRPr="00E220B9" w:rsidRDefault="009433BD" w:rsidP="009433BD">
            <w:pPr>
              <w:spacing w:line="259" w:lineRule="auto"/>
              <w:ind w:left="59"/>
              <w:jc w:val="left"/>
              <w:rPr>
                <w:b/>
                <w:sz w:val="16"/>
                <w:szCs w:val="16"/>
              </w:rPr>
            </w:pPr>
            <w:r w:rsidRPr="00664108">
              <w:rPr>
                <w:b/>
                <w:sz w:val="18"/>
                <w:szCs w:val="18"/>
              </w:rPr>
              <w:t>520100</w:t>
            </w:r>
          </w:p>
        </w:tc>
        <w:tc>
          <w:tcPr>
            <w:tcW w:w="825" w:type="dxa"/>
            <w:tcBorders>
              <w:top w:val="single" w:sz="2" w:space="0" w:color="000000"/>
              <w:left w:val="single" w:sz="2" w:space="0" w:color="000000"/>
              <w:bottom w:val="single" w:sz="2" w:space="0" w:color="000000"/>
              <w:right w:val="single" w:sz="2" w:space="0" w:color="000000"/>
            </w:tcBorders>
            <w:vAlign w:val="center"/>
          </w:tcPr>
          <w:p w14:paraId="447AA6BF" w14:textId="77777777" w:rsidR="009433BD" w:rsidRPr="00E220B9" w:rsidRDefault="009433BD" w:rsidP="009433BD">
            <w:pPr>
              <w:spacing w:line="259" w:lineRule="auto"/>
              <w:ind w:left="59"/>
              <w:jc w:val="left"/>
              <w:rPr>
                <w:b/>
                <w:sz w:val="16"/>
                <w:szCs w:val="16"/>
              </w:rPr>
            </w:pPr>
            <w:r w:rsidRPr="00664108">
              <w:rPr>
                <w:b/>
                <w:sz w:val="18"/>
                <w:szCs w:val="18"/>
              </w:rPr>
              <w:t>511596</w:t>
            </w:r>
          </w:p>
        </w:tc>
        <w:tc>
          <w:tcPr>
            <w:tcW w:w="825" w:type="dxa"/>
            <w:tcBorders>
              <w:top w:val="single" w:sz="2" w:space="0" w:color="000000"/>
              <w:left w:val="single" w:sz="2" w:space="0" w:color="000000"/>
              <w:bottom w:val="single" w:sz="2" w:space="0" w:color="000000"/>
              <w:right w:val="single" w:sz="2" w:space="0" w:color="000000"/>
            </w:tcBorders>
            <w:vAlign w:val="center"/>
          </w:tcPr>
          <w:p w14:paraId="305BBCE3" w14:textId="77777777" w:rsidR="009433BD" w:rsidRPr="00E220B9" w:rsidRDefault="009433BD" w:rsidP="009433BD">
            <w:pPr>
              <w:spacing w:line="259" w:lineRule="auto"/>
              <w:ind w:left="59"/>
              <w:jc w:val="left"/>
              <w:rPr>
                <w:b/>
                <w:sz w:val="16"/>
                <w:szCs w:val="16"/>
              </w:rPr>
            </w:pPr>
            <w:r w:rsidRPr="00664108">
              <w:rPr>
                <w:b/>
                <w:sz w:val="18"/>
                <w:szCs w:val="18"/>
              </w:rPr>
              <w:t>529296</w:t>
            </w:r>
          </w:p>
        </w:tc>
        <w:tc>
          <w:tcPr>
            <w:tcW w:w="825" w:type="dxa"/>
            <w:tcBorders>
              <w:top w:val="single" w:sz="2" w:space="0" w:color="000000"/>
              <w:left w:val="single" w:sz="2" w:space="0" w:color="000000"/>
              <w:bottom w:val="single" w:sz="2" w:space="0" w:color="000000"/>
              <w:right w:val="single" w:sz="2" w:space="0" w:color="000000"/>
            </w:tcBorders>
            <w:vAlign w:val="center"/>
          </w:tcPr>
          <w:p w14:paraId="4A6A1F97" w14:textId="77777777" w:rsidR="009433BD" w:rsidRPr="00E220B9" w:rsidRDefault="009433BD" w:rsidP="009433BD">
            <w:pPr>
              <w:spacing w:line="259" w:lineRule="auto"/>
              <w:ind w:left="59"/>
              <w:jc w:val="left"/>
              <w:rPr>
                <w:b/>
                <w:sz w:val="16"/>
                <w:szCs w:val="16"/>
              </w:rPr>
            </w:pPr>
            <w:r w:rsidRPr="00664108">
              <w:rPr>
                <w:b/>
                <w:sz w:val="18"/>
                <w:szCs w:val="18"/>
              </w:rPr>
              <w:t>504080</w:t>
            </w:r>
          </w:p>
        </w:tc>
        <w:tc>
          <w:tcPr>
            <w:tcW w:w="828" w:type="dxa"/>
            <w:tcBorders>
              <w:top w:val="single" w:sz="2" w:space="0" w:color="000000"/>
              <w:left w:val="single" w:sz="2" w:space="0" w:color="000000"/>
              <w:bottom w:val="single" w:sz="2" w:space="0" w:color="000000"/>
              <w:right w:val="single" w:sz="2" w:space="0" w:color="000000"/>
            </w:tcBorders>
            <w:vAlign w:val="center"/>
          </w:tcPr>
          <w:p w14:paraId="644AB680" w14:textId="77777777" w:rsidR="009433BD" w:rsidRPr="00E220B9" w:rsidRDefault="009433BD" w:rsidP="009433BD">
            <w:pPr>
              <w:spacing w:line="259" w:lineRule="auto"/>
              <w:ind w:left="59"/>
              <w:jc w:val="left"/>
              <w:rPr>
                <w:b/>
                <w:sz w:val="16"/>
                <w:szCs w:val="16"/>
              </w:rPr>
            </w:pPr>
            <w:r w:rsidRPr="00664108">
              <w:rPr>
                <w:b/>
                <w:sz w:val="18"/>
                <w:szCs w:val="18"/>
              </w:rPr>
              <w:t>469113</w:t>
            </w:r>
          </w:p>
        </w:tc>
        <w:tc>
          <w:tcPr>
            <w:tcW w:w="836" w:type="dxa"/>
            <w:gridSpan w:val="2"/>
            <w:tcBorders>
              <w:top w:val="single" w:sz="2" w:space="0" w:color="000000"/>
              <w:left w:val="single" w:sz="2" w:space="0" w:color="000000"/>
              <w:bottom w:val="single" w:sz="2" w:space="0" w:color="000000"/>
              <w:right w:val="single" w:sz="2" w:space="0" w:color="000000"/>
            </w:tcBorders>
            <w:vAlign w:val="center"/>
          </w:tcPr>
          <w:p w14:paraId="214833C1" w14:textId="77777777" w:rsidR="009433BD" w:rsidRPr="00E220B9" w:rsidRDefault="009433BD" w:rsidP="009433BD">
            <w:pPr>
              <w:spacing w:line="259" w:lineRule="auto"/>
              <w:ind w:left="59"/>
              <w:jc w:val="left"/>
              <w:rPr>
                <w:b/>
                <w:sz w:val="16"/>
                <w:szCs w:val="16"/>
              </w:rPr>
            </w:pPr>
            <w:r w:rsidRPr="00664108">
              <w:rPr>
                <w:b/>
                <w:sz w:val="18"/>
                <w:szCs w:val="18"/>
              </w:rPr>
              <w:t>423346</w:t>
            </w:r>
          </w:p>
        </w:tc>
        <w:tc>
          <w:tcPr>
            <w:tcW w:w="741" w:type="dxa"/>
            <w:tcBorders>
              <w:top w:val="single" w:sz="2" w:space="0" w:color="000000"/>
              <w:left w:val="single" w:sz="2" w:space="0" w:color="000000"/>
              <w:bottom w:val="single" w:sz="2" w:space="0" w:color="000000"/>
              <w:right w:val="single" w:sz="2" w:space="0" w:color="000000"/>
            </w:tcBorders>
            <w:vAlign w:val="center"/>
          </w:tcPr>
          <w:p w14:paraId="69F63220" w14:textId="77777777" w:rsidR="009433BD" w:rsidRPr="00E220B9" w:rsidRDefault="009433BD" w:rsidP="009433BD">
            <w:pPr>
              <w:spacing w:line="259" w:lineRule="auto"/>
              <w:ind w:left="59"/>
              <w:jc w:val="left"/>
              <w:rPr>
                <w:rFonts w:ascii="Calibri" w:hAnsi="Calibri" w:cs="Calibri"/>
                <w:b/>
                <w:sz w:val="20"/>
                <w:szCs w:val="20"/>
              </w:rPr>
            </w:pPr>
            <w:r w:rsidRPr="00664108">
              <w:rPr>
                <w:b/>
                <w:sz w:val="18"/>
                <w:szCs w:val="18"/>
              </w:rPr>
              <w:t>422252</w:t>
            </w:r>
          </w:p>
        </w:tc>
        <w:tc>
          <w:tcPr>
            <w:tcW w:w="851" w:type="dxa"/>
            <w:tcBorders>
              <w:top w:val="single" w:sz="2" w:space="0" w:color="000000"/>
              <w:left w:val="single" w:sz="2" w:space="0" w:color="000000"/>
              <w:bottom w:val="single" w:sz="2" w:space="0" w:color="000000"/>
              <w:right w:val="single" w:sz="2" w:space="0" w:color="000000"/>
            </w:tcBorders>
            <w:vAlign w:val="center"/>
          </w:tcPr>
          <w:p w14:paraId="24EDEC9D" w14:textId="77777777" w:rsidR="009433BD" w:rsidRPr="00E220B9" w:rsidRDefault="009433BD" w:rsidP="009433BD">
            <w:pPr>
              <w:spacing w:line="259" w:lineRule="auto"/>
              <w:ind w:left="59"/>
              <w:jc w:val="left"/>
              <w:rPr>
                <w:b/>
                <w:sz w:val="16"/>
                <w:szCs w:val="16"/>
              </w:rPr>
            </w:pPr>
            <w:r w:rsidRPr="00634E4C">
              <w:rPr>
                <w:rFonts w:asciiTheme="majorHAnsi" w:hAnsiTheme="majorHAnsi"/>
                <w:b/>
                <w:sz w:val="18"/>
              </w:rPr>
              <w:t>395383</w:t>
            </w:r>
          </w:p>
        </w:tc>
        <w:tc>
          <w:tcPr>
            <w:tcW w:w="850" w:type="dxa"/>
            <w:tcBorders>
              <w:top w:val="single" w:sz="2" w:space="0" w:color="000000"/>
              <w:left w:val="single" w:sz="2" w:space="0" w:color="000000"/>
              <w:bottom w:val="single" w:sz="2" w:space="0" w:color="000000"/>
              <w:right w:val="single" w:sz="2" w:space="0" w:color="000000"/>
            </w:tcBorders>
            <w:vAlign w:val="center"/>
          </w:tcPr>
          <w:p w14:paraId="569B0798" w14:textId="77777777" w:rsidR="009433BD" w:rsidRPr="00E220B9" w:rsidRDefault="009433BD" w:rsidP="009433BD">
            <w:pPr>
              <w:spacing w:line="259" w:lineRule="auto"/>
              <w:ind w:left="59"/>
              <w:jc w:val="left"/>
              <w:rPr>
                <w:b/>
                <w:sz w:val="16"/>
                <w:szCs w:val="16"/>
              </w:rPr>
            </w:pPr>
            <w:r w:rsidRPr="00634E4C">
              <w:rPr>
                <w:rFonts w:asciiTheme="majorHAnsi" w:hAnsiTheme="majorHAnsi"/>
                <w:b/>
                <w:sz w:val="18"/>
              </w:rPr>
              <w:t>329989</w:t>
            </w:r>
          </w:p>
        </w:tc>
        <w:tc>
          <w:tcPr>
            <w:tcW w:w="851" w:type="dxa"/>
            <w:tcBorders>
              <w:top w:val="single" w:sz="2" w:space="0" w:color="000000"/>
              <w:left w:val="single" w:sz="2" w:space="0" w:color="000000"/>
              <w:bottom w:val="single" w:sz="2" w:space="0" w:color="000000"/>
              <w:right w:val="single" w:sz="2" w:space="0" w:color="000000"/>
            </w:tcBorders>
            <w:vAlign w:val="center"/>
          </w:tcPr>
          <w:p w14:paraId="147F33C7" w14:textId="77777777" w:rsidR="009433BD" w:rsidRPr="00E220B9" w:rsidRDefault="009433BD" w:rsidP="009433BD">
            <w:pPr>
              <w:spacing w:line="259" w:lineRule="auto"/>
              <w:ind w:left="59"/>
              <w:jc w:val="left"/>
              <w:rPr>
                <w:b/>
                <w:sz w:val="16"/>
                <w:szCs w:val="16"/>
              </w:rPr>
            </w:pPr>
            <w:r w:rsidRPr="00634E4C">
              <w:rPr>
                <w:rFonts w:asciiTheme="majorHAnsi" w:hAnsiTheme="majorHAnsi"/>
                <w:b/>
                <w:sz w:val="18"/>
              </w:rPr>
              <w:t>266934</w:t>
            </w:r>
          </w:p>
        </w:tc>
        <w:tc>
          <w:tcPr>
            <w:tcW w:w="709" w:type="dxa"/>
            <w:tcBorders>
              <w:top w:val="single" w:sz="2" w:space="0" w:color="000000"/>
              <w:left w:val="single" w:sz="2" w:space="0" w:color="000000"/>
              <w:bottom w:val="single" w:sz="2" w:space="0" w:color="000000"/>
              <w:right w:val="single" w:sz="2" w:space="0" w:color="000000"/>
            </w:tcBorders>
            <w:vAlign w:val="center"/>
          </w:tcPr>
          <w:p w14:paraId="6EF21FCC" w14:textId="77777777" w:rsidR="009433BD" w:rsidRPr="00E220B9" w:rsidRDefault="009433BD" w:rsidP="009433BD">
            <w:pPr>
              <w:spacing w:line="259" w:lineRule="auto"/>
              <w:ind w:left="63"/>
              <w:jc w:val="left"/>
              <w:rPr>
                <w:b/>
                <w:sz w:val="16"/>
                <w:szCs w:val="16"/>
              </w:rPr>
            </w:pPr>
            <w:r w:rsidRPr="00634E4C">
              <w:rPr>
                <w:rFonts w:asciiTheme="majorHAnsi" w:hAnsiTheme="majorHAnsi"/>
                <w:b/>
                <w:sz w:val="18"/>
              </w:rPr>
              <w:t>202492</w:t>
            </w:r>
          </w:p>
        </w:tc>
        <w:tc>
          <w:tcPr>
            <w:tcW w:w="850" w:type="dxa"/>
            <w:tcBorders>
              <w:top w:val="single" w:sz="2" w:space="0" w:color="000000"/>
              <w:left w:val="single" w:sz="2" w:space="0" w:color="000000"/>
              <w:bottom w:val="single" w:sz="2" w:space="0" w:color="000000"/>
              <w:right w:val="single" w:sz="2" w:space="0" w:color="000000"/>
            </w:tcBorders>
            <w:vAlign w:val="center"/>
          </w:tcPr>
          <w:p w14:paraId="59BAD263" w14:textId="26A03603" w:rsidR="009433BD" w:rsidRPr="00E220B9" w:rsidRDefault="009433BD" w:rsidP="009433BD">
            <w:pPr>
              <w:spacing w:line="259" w:lineRule="auto"/>
              <w:ind w:left="63"/>
              <w:jc w:val="left"/>
              <w:rPr>
                <w:b/>
                <w:sz w:val="16"/>
                <w:szCs w:val="16"/>
              </w:rPr>
            </w:pPr>
            <w:r w:rsidRPr="00634E4C">
              <w:rPr>
                <w:rFonts w:asciiTheme="majorHAnsi" w:hAnsiTheme="majorHAnsi"/>
                <w:b/>
                <w:sz w:val="18"/>
              </w:rPr>
              <w:t>-2597</w:t>
            </w:r>
          </w:p>
        </w:tc>
      </w:tr>
    </w:tbl>
    <w:p w14:paraId="22F7F6F4" w14:textId="77777777" w:rsidR="004D4A28" w:rsidRDefault="004D4A28" w:rsidP="004D4A28">
      <w:pPr>
        <w:pStyle w:val="Caption"/>
      </w:pPr>
      <w:bookmarkStart w:id="156" w:name="_Toc123916510"/>
      <w:r>
        <w:t xml:space="preserve">Tableau </w:t>
      </w:r>
      <w:r w:rsidR="00757301">
        <w:fldChar w:fldCharType="begin"/>
      </w:r>
      <w:r w:rsidR="00757301">
        <w:instrText xml:space="preserve"> SEQ Tableau \* ARABIC </w:instrText>
      </w:r>
      <w:r w:rsidR="00757301">
        <w:fldChar w:fldCharType="separate"/>
      </w:r>
      <w:r>
        <w:rPr>
          <w:noProof/>
        </w:rPr>
        <w:t>18</w:t>
      </w:r>
      <w:r w:rsidR="00757301">
        <w:rPr>
          <w:noProof/>
        </w:rPr>
        <w:fldChar w:fldCharType="end"/>
      </w:r>
      <w:r>
        <w:t> : Projections d’émissions de GES par gaz (en ktCO</w:t>
      </w:r>
      <w:r w:rsidRPr="007F09F7">
        <w:rPr>
          <w:vertAlign w:val="subscript"/>
        </w:rPr>
        <w:t>2</w:t>
      </w:r>
      <w:r>
        <w:t>e) au périmètre Kyoto dans le scénario AMS 2018 (avec mesures supplémentaires)</w:t>
      </w:r>
      <w:bookmarkEnd w:id="156"/>
    </w:p>
    <w:p w14:paraId="1DC9AE68" w14:textId="77777777" w:rsidR="004D4A28" w:rsidRDefault="004D4A28" w:rsidP="004D4A28">
      <w:pPr>
        <w:pStyle w:val="Caption"/>
      </w:pPr>
      <w:r>
        <w:t>Source : Inventaire CCNUCC, Citepa/MTES, soumission 2022 et projections d’émissions MTE, 2018</w:t>
      </w:r>
    </w:p>
    <w:p w14:paraId="15623771" w14:textId="42704628" w:rsidR="004D4A28" w:rsidRDefault="004D4A28" w:rsidP="004D4A28">
      <w:pPr>
        <w:pStyle w:val="Caption"/>
      </w:pPr>
      <w:bookmarkStart w:id="157" w:name="_Toc123916471"/>
    </w:p>
    <w:p w14:paraId="71BF6A24" w14:textId="7A968828" w:rsidR="009433BD" w:rsidRDefault="009433BD" w:rsidP="004D4A28">
      <w:pPr>
        <w:pStyle w:val="Caption"/>
      </w:pPr>
      <w:r>
        <w:rPr>
          <w:noProof/>
        </w:rPr>
        <w:drawing>
          <wp:inline distT="0" distB="0" distL="0" distR="0" wp14:anchorId="7BF268AE" wp14:editId="764FD754">
            <wp:extent cx="6318250" cy="4242959"/>
            <wp:effectExtent l="0" t="0" r="6350" b="571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F5B3B4" w14:textId="50308DDE"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60</w:t>
      </w:r>
      <w:r w:rsidR="00757301">
        <w:rPr>
          <w:noProof/>
        </w:rPr>
        <w:fldChar w:fldCharType="end"/>
      </w:r>
      <w:r>
        <w:t> : Projection par gaz en ktCO</w:t>
      </w:r>
      <w:r w:rsidRPr="007F09F7">
        <w:rPr>
          <w:vertAlign w:val="subscript"/>
        </w:rPr>
        <w:t>2</w:t>
      </w:r>
      <w:r>
        <w:t>-eq, hors LULUCF (hors UTCF), au format Kyoto, scénario AME</w:t>
      </w:r>
      <w:bookmarkEnd w:id="157"/>
      <w:r>
        <w:t xml:space="preserve"> </w:t>
      </w:r>
    </w:p>
    <w:p w14:paraId="33FBEF6F" w14:textId="77777777" w:rsidR="004D4A28" w:rsidRDefault="004D4A28" w:rsidP="004D4A28">
      <w:pPr>
        <w:pStyle w:val="Caption"/>
      </w:pPr>
      <w:r>
        <w:t>Source : Inventaire CCNUCC, Citepa/MTE, soumission 2022 et projections d’émissions MTE, 2018</w:t>
      </w:r>
    </w:p>
    <w:p w14:paraId="631D56A7" w14:textId="77777777" w:rsidR="004D4A28" w:rsidRPr="003C2855" w:rsidRDefault="004D4A28" w:rsidP="004D4A28"/>
    <w:p w14:paraId="779242FE" w14:textId="77777777" w:rsidR="004D4A28" w:rsidRDefault="004D4A28" w:rsidP="004D4A28"/>
    <w:p w14:paraId="412113EB" w14:textId="25A63B76" w:rsidR="004D4A28" w:rsidRDefault="004D4A28" w:rsidP="004D4A28">
      <w:pPr>
        <w:pStyle w:val="Caption"/>
      </w:pPr>
      <w:bookmarkStart w:id="158" w:name="_Toc123916472"/>
    </w:p>
    <w:p w14:paraId="0DAAC8E7" w14:textId="5B504F20" w:rsidR="009433BD" w:rsidRDefault="009433BD" w:rsidP="004D4A28">
      <w:pPr>
        <w:pStyle w:val="Caption"/>
      </w:pPr>
      <w:r>
        <w:rPr>
          <w:noProof/>
        </w:rPr>
        <w:drawing>
          <wp:inline distT="0" distB="0" distL="0" distR="0" wp14:anchorId="32F86A26" wp14:editId="3905B9FC">
            <wp:extent cx="6318250" cy="3841750"/>
            <wp:effectExtent l="0" t="0" r="6350" b="6350"/>
            <wp:docPr id="28719" name="Graphique 28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05EBC6" w14:textId="77DA52E3"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61</w:t>
      </w:r>
      <w:r w:rsidR="00757301">
        <w:rPr>
          <w:noProof/>
        </w:rPr>
        <w:fldChar w:fldCharType="end"/>
      </w:r>
      <w:r>
        <w:t> : Projection par gaz en ktCO</w:t>
      </w:r>
      <w:r w:rsidRPr="007F09F7">
        <w:rPr>
          <w:vertAlign w:val="subscript"/>
        </w:rPr>
        <w:t>2</w:t>
      </w:r>
      <w:r>
        <w:t>-eq, hors LULUCF (avec UTCF), au format Kyoto, scénario AMS 2018</w:t>
      </w:r>
      <w:bookmarkEnd w:id="158"/>
      <w:r>
        <w:t xml:space="preserve"> </w:t>
      </w:r>
    </w:p>
    <w:p w14:paraId="5732D6C2" w14:textId="77777777" w:rsidR="004D4A28" w:rsidRDefault="004D4A28" w:rsidP="004D4A28">
      <w:pPr>
        <w:pStyle w:val="Caption"/>
      </w:pPr>
      <w:r>
        <w:t>Source : Inventaire CCNUCC, Citepa/MTE, soumission 2022 et projections d’émissions MTE, 2018</w:t>
      </w:r>
    </w:p>
    <w:p w14:paraId="5465A36C" w14:textId="77777777" w:rsidR="004D4A28" w:rsidRDefault="004D4A28" w:rsidP="00573042">
      <w:pPr>
        <w:pStyle w:val="Titre4niveau4"/>
        <w:numPr>
          <w:ilvl w:val="2"/>
          <w:numId w:val="59"/>
        </w:numPr>
        <w:spacing w:before="240"/>
      </w:pPr>
      <w:r>
        <w:t>Évolution croisée par secteur d’activités et par gaz</w:t>
      </w:r>
    </w:p>
    <w:p w14:paraId="5A3B42FF" w14:textId="77777777" w:rsidR="004D4A28" w:rsidRDefault="004D4A28" w:rsidP="00573042">
      <w:pPr>
        <w:pStyle w:val="titreencadre"/>
        <w:numPr>
          <w:ilvl w:val="3"/>
          <w:numId w:val="59"/>
        </w:numPr>
        <w:spacing w:before="120" w:after="60" w:line="240" w:lineRule="auto"/>
      </w:pPr>
      <w:r>
        <w:t>AME 2021</w:t>
      </w:r>
    </w:p>
    <w:p w14:paraId="2E860588" w14:textId="77777777" w:rsidR="004D4A28" w:rsidRDefault="004D4A28" w:rsidP="004D4A28"/>
    <w:tbl>
      <w:tblPr>
        <w:tblStyle w:val="TableGrid0"/>
        <w:tblW w:w="9934" w:type="dxa"/>
        <w:tblInd w:w="10" w:type="dxa"/>
        <w:tblLayout w:type="fixed"/>
        <w:tblCellMar>
          <w:top w:w="39" w:type="dxa"/>
          <w:left w:w="28" w:type="dxa"/>
          <w:bottom w:w="2" w:type="dxa"/>
          <w:right w:w="31" w:type="dxa"/>
        </w:tblCellMar>
        <w:tblLook w:val="04A0" w:firstRow="1" w:lastRow="0" w:firstColumn="1" w:lastColumn="0" w:noHBand="0" w:noVBand="1"/>
      </w:tblPr>
      <w:tblGrid>
        <w:gridCol w:w="1121"/>
        <w:gridCol w:w="734"/>
        <w:gridCol w:w="734"/>
        <w:gridCol w:w="735"/>
        <w:gridCol w:w="734"/>
        <w:gridCol w:w="735"/>
        <w:gridCol w:w="734"/>
        <w:gridCol w:w="734"/>
        <w:gridCol w:w="735"/>
        <w:gridCol w:w="734"/>
        <w:gridCol w:w="735"/>
        <w:gridCol w:w="734"/>
        <w:gridCol w:w="735"/>
      </w:tblGrid>
      <w:tr w:rsidR="004D4A28" w14:paraId="5B3DEC4D" w14:textId="77777777" w:rsidTr="00361368">
        <w:trPr>
          <w:trHeight w:val="400"/>
        </w:trPr>
        <w:tc>
          <w:tcPr>
            <w:tcW w:w="1121" w:type="dxa"/>
            <w:tcBorders>
              <w:top w:val="single" w:sz="2" w:space="0" w:color="000000"/>
              <w:left w:val="single" w:sz="2" w:space="0" w:color="000000"/>
              <w:bottom w:val="single" w:sz="2" w:space="0" w:color="000000"/>
              <w:right w:val="single" w:sz="2" w:space="0" w:color="000000"/>
            </w:tcBorders>
            <w:shd w:val="clear" w:color="auto" w:fill="6D2A78"/>
          </w:tcPr>
          <w:p w14:paraId="668F0487" w14:textId="77777777" w:rsidR="004D4A28" w:rsidRDefault="004D4A28" w:rsidP="00361368">
            <w:pPr>
              <w:spacing w:line="259" w:lineRule="auto"/>
              <w:jc w:val="left"/>
            </w:pPr>
            <w:r>
              <w:t>AME 21 – CO</w:t>
            </w:r>
            <w:r w:rsidRPr="007F09F7">
              <w:rPr>
                <w:vertAlign w:val="subscript"/>
              </w:rPr>
              <w:t>2</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7AD8BE2" w14:textId="77777777" w:rsidR="004D4A28" w:rsidRDefault="004D4A28" w:rsidP="00361368">
            <w:pPr>
              <w:spacing w:line="259" w:lineRule="auto"/>
              <w:ind w:left="1"/>
              <w:jc w:val="center"/>
            </w:pPr>
            <w:r>
              <w:rPr>
                <w:b/>
                <w:color w:val="FFFFFF"/>
                <w:sz w:val="18"/>
              </w:rPr>
              <w:t>1990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7DC1299" w14:textId="77777777" w:rsidR="004D4A28" w:rsidRDefault="004D4A28" w:rsidP="00361368">
            <w:pPr>
              <w:spacing w:line="259" w:lineRule="auto"/>
              <w:ind w:left="4"/>
              <w:jc w:val="center"/>
              <w:rPr>
                <w:b/>
                <w:color w:val="FFFFFF"/>
                <w:sz w:val="18"/>
              </w:rPr>
            </w:pPr>
            <w:r>
              <w:rPr>
                <w:b/>
                <w:color w:val="FFFFFF"/>
                <w:sz w:val="18"/>
              </w:rPr>
              <w:t>1995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0C26BF2" w14:textId="77777777" w:rsidR="004D4A28" w:rsidRDefault="004D4A28" w:rsidP="00361368">
            <w:pPr>
              <w:spacing w:line="259" w:lineRule="auto"/>
              <w:ind w:left="4"/>
              <w:jc w:val="center"/>
            </w:pPr>
            <w:r>
              <w:rPr>
                <w:b/>
                <w:color w:val="FFFFFF"/>
                <w:sz w:val="18"/>
              </w:rPr>
              <w:t>2000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DB40033" w14:textId="77777777" w:rsidR="004D4A28" w:rsidRDefault="004D4A28" w:rsidP="00361368">
            <w:pPr>
              <w:spacing w:line="259" w:lineRule="auto"/>
              <w:ind w:left="1"/>
              <w:jc w:val="center"/>
            </w:pPr>
            <w:r>
              <w:rPr>
                <w:b/>
                <w:color w:val="FFFFFF"/>
                <w:sz w:val="18"/>
              </w:rPr>
              <w:t>2005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D7883D7" w14:textId="77777777" w:rsidR="004D4A28" w:rsidRDefault="004D4A28" w:rsidP="00361368">
            <w:pPr>
              <w:spacing w:line="259" w:lineRule="auto"/>
              <w:ind w:left="4"/>
              <w:jc w:val="center"/>
            </w:pPr>
            <w:r>
              <w:rPr>
                <w:b/>
                <w:color w:val="FFFFFF"/>
                <w:sz w:val="18"/>
              </w:rPr>
              <w:t>2010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3668461" w14:textId="77777777" w:rsidR="004D4A28" w:rsidRDefault="004D4A28" w:rsidP="00361368">
            <w:pPr>
              <w:spacing w:line="259" w:lineRule="auto"/>
              <w:ind w:left="1"/>
              <w:jc w:val="center"/>
            </w:pPr>
            <w:r>
              <w:rPr>
                <w:b/>
                <w:color w:val="FFFFFF"/>
                <w:sz w:val="18"/>
              </w:rPr>
              <w:t>2015</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EF15CB2" w14:textId="77777777" w:rsidR="004D4A28" w:rsidRDefault="004D4A28" w:rsidP="00361368">
            <w:pPr>
              <w:spacing w:line="259" w:lineRule="auto"/>
              <w:ind w:left="4"/>
              <w:jc w:val="center"/>
              <w:rPr>
                <w:b/>
                <w:color w:val="FFFFFF"/>
                <w:sz w:val="18"/>
              </w:rPr>
            </w:pPr>
            <w:r>
              <w:rPr>
                <w:b/>
                <w:color w:val="FFFFFF"/>
                <w:sz w:val="18"/>
              </w:rPr>
              <w:t>2019</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C7E023D" w14:textId="77777777" w:rsidR="004D4A28" w:rsidRDefault="004D4A28" w:rsidP="00361368">
            <w:pPr>
              <w:spacing w:line="259" w:lineRule="auto"/>
              <w:ind w:left="4"/>
              <w:jc w:val="center"/>
            </w:pPr>
            <w:r>
              <w:rPr>
                <w:b/>
                <w:color w:val="FFFFFF"/>
                <w:sz w:val="18"/>
              </w:rPr>
              <w:t>2020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928B574" w14:textId="77777777" w:rsidR="004D4A28" w:rsidRDefault="004D4A28" w:rsidP="00361368">
            <w:pPr>
              <w:spacing w:line="259" w:lineRule="auto"/>
              <w:ind w:left="1"/>
              <w:jc w:val="center"/>
            </w:pPr>
            <w:r>
              <w:rPr>
                <w:b/>
                <w:color w:val="FFFFFF"/>
                <w:sz w:val="18"/>
              </w:rPr>
              <w:t>2025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9C5EE12" w14:textId="77777777" w:rsidR="004D4A28" w:rsidRDefault="004D4A28" w:rsidP="00361368">
            <w:pPr>
              <w:spacing w:line="259" w:lineRule="auto"/>
              <w:ind w:left="4"/>
              <w:jc w:val="center"/>
            </w:pPr>
            <w:r>
              <w:rPr>
                <w:b/>
                <w:color w:val="FFFFFF"/>
                <w:sz w:val="18"/>
              </w:rPr>
              <w:t>2030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94AF497" w14:textId="77777777" w:rsidR="004D4A28" w:rsidRDefault="004D4A28" w:rsidP="00361368">
            <w:pPr>
              <w:spacing w:line="259" w:lineRule="auto"/>
              <w:ind w:left="3"/>
              <w:jc w:val="center"/>
            </w:pPr>
            <w:r>
              <w:rPr>
                <w:b/>
                <w:color w:val="FFFFFF"/>
                <w:sz w:val="18"/>
              </w:rPr>
              <w:t>2035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B962CB5" w14:textId="77777777" w:rsidR="004D4A28" w:rsidRDefault="004D4A28" w:rsidP="00361368">
            <w:pPr>
              <w:spacing w:line="259" w:lineRule="auto"/>
              <w:ind w:left="3"/>
              <w:jc w:val="center"/>
              <w:rPr>
                <w:b/>
                <w:color w:val="FFFFFF"/>
                <w:sz w:val="18"/>
              </w:rPr>
            </w:pPr>
            <w:r>
              <w:rPr>
                <w:b/>
                <w:color w:val="FFFFFF"/>
                <w:sz w:val="18"/>
              </w:rPr>
              <w:t>2050</w:t>
            </w:r>
          </w:p>
        </w:tc>
      </w:tr>
      <w:tr w:rsidR="004D4A28" w14:paraId="5A5D1B54" w14:textId="77777777" w:rsidTr="00361368">
        <w:trPr>
          <w:trHeight w:val="347"/>
        </w:trPr>
        <w:tc>
          <w:tcPr>
            <w:tcW w:w="1121" w:type="dxa"/>
            <w:tcBorders>
              <w:top w:val="single" w:sz="2" w:space="0" w:color="000000"/>
              <w:left w:val="single" w:sz="2" w:space="0" w:color="000000"/>
              <w:bottom w:val="single" w:sz="2" w:space="0" w:color="000000"/>
              <w:right w:val="single" w:sz="2" w:space="0" w:color="000000"/>
            </w:tcBorders>
          </w:tcPr>
          <w:p w14:paraId="719F29ED" w14:textId="77777777" w:rsidR="004D4A28" w:rsidRDefault="004D4A28" w:rsidP="00361368">
            <w:pPr>
              <w:spacing w:line="259" w:lineRule="auto"/>
            </w:pPr>
            <w:r>
              <w:rPr>
                <w:sz w:val="18"/>
              </w:rPr>
              <w:t xml:space="preserve">Energie </w:t>
            </w:r>
          </w:p>
        </w:tc>
        <w:tc>
          <w:tcPr>
            <w:tcW w:w="734" w:type="dxa"/>
            <w:tcBorders>
              <w:top w:val="single" w:sz="2" w:space="0" w:color="000000"/>
              <w:left w:val="single" w:sz="2" w:space="0" w:color="000000"/>
              <w:bottom w:val="single" w:sz="2" w:space="0" w:color="000000"/>
              <w:right w:val="single" w:sz="2" w:space="0" w:color="000000"/>
            </w:tcBorders>
            <w:vAlign w:val="center"/>
          </w:tcPr>
          <w:p w14:paraId="02184EC8" w14:textId="77777777" w:rsidR="004D4A28" w:rsidRDefault="004D4A28" w:rsidP="00361368">
            <w:pPr>
              <w:spacing w:line="259" w:lineRule="auto"/>
              <w:ind w:left="56"/>
              <w:jc w:val="center"/>
            </w:pPr>
            <w:r>
              <w:rPr>
                <w:sz w:val="18"/>
                <w:szCs w:val="18"/>
              </w:rPr>
              <w:t>351435</w:t>
            </w:r>
          </w:p>
        </w:tc>
        <w:tc>
          <w:tcPr>
            <w:tcW w:w="734" w:type="dxa"/>
            <w:tcBorders>
              <w:top w:val="single" w:sz="2" w:space="0" w:color="000000"/>
              <w:left w:val="single" w:sz="2" w:space="0" w:color="000000"/>
              <w:bottom w:val="single" w:sz="2" w:space="0" w:color="000000"/>
              <w:right w:val="single" w:sz="2" w:space="0" w:color="000000"/>
            </w:tcBorders>
            <w:vAlign w:val="center"/>
          </w:tcPr>
          <w:p w14:paraId="7992EE7F" w14:textId="77777777" w:rsidR="004D4A28" w:rsidRPr="004A6A59" w:rsidRDefault="004D4A28" w:rsidP="00361368">
            <w:pPr>
              <w:spacing w:line="259" w:lineRule="auto"/>
              <w:ind w:left="56"/>
              <w:jc w:val="center"/>
              <w:rPr>
                <w:sz w:val="18"/>
              </w:rPr>
            </w:pPr>
            <w:r>
              <w:rPr>
                <w:sz w:val="18"/>
                <w:szCs w:val="18"/>
              </w:rPr>
              <w:t>350115</w:t>
            </w:r>
          </w:p>
        </w:tc>
        <w:tc>
          <w:tcPr>
            <w:tcW w:w="735" w:type="dxa"/>
            <w:tcBorders>
              <w:top w:val="single" w:sz="2" w:space="0" w:color="000000"/>
              <w:left w:val="single" w:sz="2" w:space="0" w:color="000000"/>
              <w:bottom w:val="single" w:sz="2" w:space="0" w:color="000000"/>
              <w:right w:val="single" w:sz="2" w:space="0" w:color="000000"/>
            </w:tcBorders>
            <w:vAlign w:val="center"/>
          </w:tcPr>
          <w:p w14:paraId="14D485E9" w14:textId="77777777" w:rsidR="004D4A28" w:rsidRPr="00F66E1F" w:rsidRDefault="004D4A28" w:rsidP="00361368">
            <w:pPr>
              <w:spacing w:line="259" w:lineRule="auto"/>
              <w:ind w:left="58"/>
              <w:jc w:val="center"/>
            </w:pPr>
            <w:r>
              <w:rPr>
                <w:sz w:val="18"/>
                <w:szCs w:val="18"/>
              </w:rPr>
              <w:t>370522</w:t>
            </w:r>
          </w:p>
        </w:tc>
        <w:tc>
          <w:tcPr>
            <w:tcW w:w="734" w:type="dxa"/>
            <w:tcBorders>
              <w:top w:val="single" w:sz="2" w:space="0" w:color="000000"/>
              <w:left w:val="single" w:sz="2" w:space="0" w:color="000000"/>
              <w:bottom w:val="single" w:sz="2" w:space="0" w:color="000000"/>
              <w:right w:val="single" w:sz="2" w:space="0" w:color="000000"/>
            </w:tcBorders>
            <w:vAlign w:val="center"/>
          </w:tcPr>
          <w:p w14:paraId="38220B4B" w14:textId="77777777" w:rsidR="004D4A28" w:rsidRPr="00F66E1F" w:rsidRDefault="004D4A28" w:rsidP="00361368">
            <w:pPr>
              <w:spacing w:line="259" w:lineRule="auto"/>
              <w:ind w:left="56"/>
              <w:jc w:val="center"/>
            </w:pPr>
            <w:r>
              <w:rPr>
                <w:sz w:val="18"/>
                <w:szCs w:val="18"/>
              </w:rPr>
              <w:t>381286</w:t>
            </w:r>
          </w:p>
        </w:tc>
        <w:tc>
          <w:tcPr>
            <w:tcW w:w="735" w:type="dxa"/>
            <w:tcBorders>
              <w:top w:val="single" w:sz="2" w:space="0" w:color="000000"/>
              <w:left w:val="single" w:sz="2" w:space="0" w:color="000000"/>
              <w:bottom w:val="single" w:sz="2" w:space="0" w:color="000000"/>
              <w:right w:val="single" w:sz="2" w:space="0" w:color="000000"/>
            </w:tcBorders>
            <w:vAlign w:val="center"/>
          </w:tcPr>
          <w:p w14:paraId="0D18194F" w14:textId="77777777" w:rsidR="004D4A28" w:rsidRPr="00F66E1F" w:rsidRDefault="004D4A28" w:rsidP="00361368">
            <w:pPr>
              <w:spacing w:line="259" w:lineRule="auto"/>
              <w:ind w:left="58"/>
              <w:jc w:val="center"/>
            </w:pPr>
            <w:r>
              <w:rPr>
                <w:sz w:val="18"/>
                <w:szCs w:val="18"/>
              </w:rPr>
              <w:t>350369</w:t>
            </w:r>
          </w:p>
        </w:tc>
        <w:tc>
          <w:tcPr>
            <w:tcW w:w="734" w:type="dxa"/>
            <w:tcBorders>
              <w:top w:val="single" w:sz="2" w:space="0" w:color="000000"/>
              <w:left w:val="single" w:sz="2" w:space="0" w:color="000000"/>
              <w:bottom w:val="single" w:sz="2" w:space="0" w:color="000000"/>
              <w:right w:val="single" w:sz="2" w:space="0" w:color="000000"/>
            </w:tcBorders>
            <w:vAlign w:val="center"/>
          </w:tcPr>
          <w:p w14:paraId="708FB61A" w14:textId="77777777" w:rsidR="004D4A28" w:rsidRDefault="004D4A28" w:rsidP="00361368">
            <w:pPr>
              <w:spacing w:line="259" w:lineRule="auto"/>
              <w:ind w:left="56"/>
              <w:jc w:val="center"/>
            </w:pPr>
            <w:r>
              <w:rPr>
                <w:sz w:val="18"/>
                <w:szCs w:val="18"/>
              </w:rPr>
              <w:t>307160</w:t>
            </w:r>
          </w:p>
        </w:tc>
        <w:tc>
          <w:tcPr>
            <w:tcW w:w="734" w:type="dxa"/>
            <w:tcBorders>
              <w:top w:val="single" w:sz="2" w:space="0" w:color="000000"/>
              <w:left w:val="single" w:sz="2" w:space="0" w:color="000000"/>
              <w:bottom w:val="single" w:sz="2" w:space="0" w:color="000000"/>
              <w:right w:val="single" w:sz="2" w:space="0" w:color="000000"/>
            </w:tcBorders>
            <w:vAlign w:val="center"/>
          </w:tcPr>
          <w:p w14:paraId="5449EB72" w14:textId="77777777" w:rsidR="004D4A28" w:rsidRDefault="004D4A28" w:rsidP="00361368">
            <w:pPr>
              <w:spacing w:line="259" w:lineRule="auto"/>
              <w:ind w:left="58"/>
              <w:jc w:val="center"/>
              <w:rPr>
                <w:sz w:val="18"/>
              </w:rPr>
            </w:pPr>
            <w:r>
              <w:rPr>
                <w:sz w:val="18"/>
                <w:szCs w:val="18"/>
              </w:rPr>
              <w:t>291379</w:t>
            </w:r>
          </w:p>
        </w:tc>
        <w:tc>
          <w:tcPr>
            <w:tcW w:w="735" w:type="dxa"/>
            <w:tcBorders>
              <w:top w:val="single" w:sz="2" w:space="0" w:color="000000"/>
              <w:left w:val="single" w:sz="2" w:space="0" w:color="000000"/>
              <w:bottom w:val="single" w:sz="2" w:space="0" w:color="000000"/>
              <w:right w:val="single" w:sz="2" w:space="0" w:color="000000"/>
            </w:tcBorders>
            <w:vAlign w:val="center"/>
          </w:tcPr>
          <w:p w14:paraId="32DA52C0" w14:textId="77777777" w:rsidR="004D4A28" w:rsidRDefault="004D4A28" w:rsidP="00361368">
            <w:pPr>
              <w:spacing w:line="259" w:lineRule="auto"/>
              <w:ind w:left="58"/>
              <w:jc w:val="center"/>
            </w:pPr>
            <w:r w:rsidRPr="00364545">
              <w:rPr>
                <w:sz w:val="18"/>
              </w:rPr>
              <w:t>259004</w:t>
            </w:r>
          </w:p>
        </w:tc>
        <w:tc>
          <w:tcPr>
            <w:tcW w:w="734" w:type="dxa"/>
            <w:tcBorders>
              <w:top w:val="single" w:sz="2" w:space="0" w:color="000000"/>
              <w:left w:val="single" w:sz="2" w:space="0" w:color="000000"/>
              <w:bottom w:val="single" w:sz="2" w:space="0" w:color="000000"/>
              <w:right w:val="single" w:sz="2" w:space="0" w:color="000000"/>
            </w:tcBorders>
            <w:vAlign w:val="center"/>
          </w:tcPr>
          <w:p w14:paraId="7CA55D86" w14:textId="77777777" w:rsidR="004D4A28" w:rsidRDefault="004D4A28" w:rsidP="00361368">
            <w:pPr>
              <w:spacing w:line="259" w:lineRule="auto"/>
              <w:ind w:left="56"/>
              <w:jc w:val="center"/>
            </w:pPr>
            <w:r w:rsidRPr="00364545">
              <w:rPr>
                <w:sz w:val="18"/>
              </w:rPr>
              <w:t>256402</w:t>
            </w:r>
          </w:p>
        </w:tc>
        <w:tc>
          <w:tcPr>
            <w:tcW w:w="735" w:type="dxa"/>
            <w:tcBorders>
              <w:top w:val="single" w:sz="2" w:space="0" w:color="000000"/>
              <w:left w:val="single" w:sz="2" w:space="0" w:color="000000"/>
              <w:bottom w:val="single" w:sz="2" w:space="0" w:color="000000"/>
              <w:right w:val="single" w:sz="2" w:space="0" w:color="000000"/>
            </w:tcBorders>
            <w:vAlign w:val="center"/>
          </w:tcPr>
          <w:p w14:paraId="6F01CC59" w14:textId="77777777" w:rsidR="004D4A28" w:rsidRDefault="004D4A28" w:rsidP="00361368">
            <w:pPr>
              <w:spacing w:line="259" w:lineRule="auto"/>
              <w:ind w:left="58"/>
              <w:jc w:val="center"/>
            </w:pPr>
            <w:r w:rsidRPr="00364545">
              <w:rPr>
                <w:sz w:val="18"/>
              </w:rPr>
              <w:t>235838</w:t>
            </w:r>
          </w:p>
        </w:tc>
        <w:tc>
          <w:tcPr>
            <w:tcW w:w="734" w:type="dxa"/>
            <w:tcBorders>
              <w:top w:val="single" w:sz="2" w:space="0" w:color="000000"/>
              <w:left w:val="single" w:sz="2" w:space="0" w:color="000000"/>
              <w:bottom w:val="single" w:sz="2" w:space="0" w:color="000000"/>
              <w:right w:val="single" w:sz="2" w:space="0" w:color="000000"/>
            </w:tcBorders>
            <w:vAlign w:val="center"/>
          </w:tcPr>
          <w:p w14:paraId="3309571D" w14:textId="77777777" w:rsidR="004D4A28" w:rsidRDefault="004D4A28" w:rsidP="00361368">
            <w:pPr>
              <w:spacing w:line="259" w:lineRule="auto"/>
              <w:ind w:left="56"/>
              <w:jc w:val="center"/>
            </w:pPr>
            <w:r w:rsidRPr="00364545">
              <w:rPr>
                <w:sz w:val="18"/>
              </w:rPr>
              <w:t>226591</w:t>
            </w:r>
          </w:p>
        </w:tc>
        <w:tc>
          <w:tcPr>
            <w:tcW w:w="735" w:type="dxa"/>
            <w:tcBorders>
              <w:top w:val="single" w:sz="2" w:space="0" w:color="000000"/>
              <w:left w:val="single" w:sz="2" w:space="0" w:color="000000"/>
              <w:bottom w:val="single" w:sz="2" w:space="0" w:color="000000"/>
              <w:right w:val="single" w:sz="2" w:space="0" w:color="000000"/>
            </w:tcBorders>
            <w:vAlign w:val="center"/>
          </w:tcPr>
          <w:p w14:paraId="085FB2DA" w14:textId="77777777" w:rsidR="004D4A28" w:rsidRDefault="004D4A28" w:rsidP="00361368">
            <w:pPr>
              <w:spacing w:line="259" w:lineRule="auto"/>
              <w:ind w:left="56"/>
              <w:jc w:val="center"/>
              <w:rPr>
                <w:sz w:val="18"/>
              </w:rPr>
            </w:pPr>
            <w:r w:rsidRPr="00364545">
              <w:rPr>
                <w:sz w:val="18"/>
              </w:rPr>
              <w:t>206719</w:t>
            </w:r>
          </w:p>
        </w:tc>
      </w:tr>
      <w:tr w:rsidR="004D4A28" w14:paraId="2A069DD4" w14:textId="77777777" w:rsidTr="00361368">
        <w:trPr>
          <w:trHeight w:val="419"/>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40EE3FF4" w14:textId="77777777" w:rsidR="004D4A28" w:rsidRDefault="004D4A28" w:rsidP="00361368">
            <w:pPr>
              <w:spacing w:line="259" w:lineRule="auto"/>
            </w:pPr>
            <w:r>
              <w:rPr>
                <w:sz w:val="18"/>
              </w:rPr>
              <w:t xml:space="preserve">Procédés industriels, solvants et autres produits </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1856B3" w14:textId="77777777" w:rsidR="004D4A28" w:rsidRDefault="004D4A28" w:rsidP="00361368">
            <w:pPr>
              <w:spacing w:line="259" w:lineRule="auto"/>
              <w:ind w:left="106"/>
              <w:jc w:val="center"/>
            </w:pPr>
            <w:r>
              <w:rPr>
                <w:sz w:val="18"/>
                <w:szCs w:val="18"/>
              </w:rPr>
              <w:t>42902</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C2C973" w14:textId="77777777" w:rsidR="004D4A28" w:rsidRPr="004A6A59" w:rsidRDefault="004D4A28" w:rsidP="00361368">
            <w:pPr>
              <w:spacing w:line="259" w:lineRule="auto"/>
              <w:ind w:left="56"/>
              <w:jc w:val="center"/>
              <w:rPr>
                <w:sz w:val="18"/>
              </w:rPr>
            </w:pPr>
            <w:r>
              <w:rPr>
                <w:sz w:val="18"/>
                <w:szCs w:val="18"/>
              </w:rPr>
              <w:t>38604</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2B71200" w14:textId="77777777" w:rsidR="004D4A28" w:rsidRPr="00F66E1F" w:rsidRDefault="004D4A28" w:rsidP="00361368">
            <w:pPr>
              <w:spacing w:line="259" w:lineRule="auto"/>
              <w:ind w:left="108"/>
              <w:jc w:val="center"/>
            </w:pPr>
            <w:r>
              <w:rPr>
                <w:sz w:val="18"/>
                <w:szCs w:val="18"/>
              </w:rPr>
              <w:t>40574</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3A5FF1" w14:textId="77777777" w:rsidR="004D4A28" w:rsidRPr="00F66E1F" w:rsidRDefault="004D4A28" w:rsidP="00361368">
            <w:pPr>
              <w:spacing w:line="259" w:lineRule="auto"/>
              <w:ind w:left="106"/>
              <w:jc w:val="center"/>
            </w:pPr>
            <w:r>
              <w:rPr>
                <w:sz w:val="18"/>
                <w:szCs w:val="18"/>
              </w:rPr>
              <w:t>40644</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7F8780" w14:textId="77777777" w:rsidR="004D4A28" w:rsidRPr="00F66E1F" w:rsidRDefault="004D4A28" w:rsidP="00361368">
            <w:pPr>
              <w:spacing w:line="259" w:lineRule="auto"/>
              <w:ind w:left="108"/>
              <w:jc w:val="center"/>
            </w:pPr>
            <w:r>
              <w:rPr>
                <w:sz w:val="18"/>
                <w:szCs w:val="18"/>
              </w:rPr>
              <w:t>32910</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7E295E" w14:textId="77777777" w:rsidR="004D4A28" w:rsidRDefault="004D4A28" w:rsidP="00361368">
            <w:pPr>
              <w:spacing w:line="259" w:lineRule="auto"/>
              <w:ind w:left="106"/>
              <w:jc w:val="center"/>
            </w:pPr>
            <w:r>
              <w:rPr>
                <w:sz w:val="18"/>
                <w:szCs w:val="18"/>
              </w:rPr>
              <w:t>30753</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05DC41" w14:textId="77777777" w:rsidR="004D4A28" w:rsidRDefault="004D4A28" w:rsidP="00361368">
            <w:pPr>
              <w:spacing w:line="259" w:lineRule="auto"/>
              <w:ind w:left="108"/>
              <w:jc w:val="center"/>
              <w:rPr>
                <w:sz w:val="18"/>
              </w:rPr>
            </w:pPr>
            <w:r>
              <w:rPr>
                <w:sz w:val="18"/>
                <w:szCs w:val="18"/>
              </w:rPr>
              <w:t>31576</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DF930A" w14:textId="77777777" w:rsidR="004D4A28" w:rsidRDefault="004D4A28" w:rsidP="00361368">
            <w:pPr>
              <w:spacing w:line="259" w:lineRule="auto"/>
              <w:ind w:left="108"/>
              <w:jc w:val="center"/>
            </w:pPr>
            <w:r w:rsidRPr="00364545">
              <w:rPr>
                <w:sz w:val="18"/>
              </w:rPr>
              <w:t>29085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18AFE9" w14:textId="77777777" w:rsidR="004D4A28" w:rsidRDefault="004D4A28" w:rsidP="00361368">
            <w:pPr>
              <w:spacing w:line="259" w:lineRule="auto"/>
              <w:ind w:left="106"/>
              <w:jc w:val="center"/>
            </w:pPr>
            <w:r w:rsidRPr="00364545">
              <w:rPr>
                <w:sz w:val="18"/>
              </w:rPr>
              <w:t>32247</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217037" w14:textId="77777777" w:rsidR="004D4A28" w:rsidRDefault="004D4A28" w:rsidP="00361368">
            <w:pPr>
              <w:spacing w:line="259" w:lineRule="auto"/>
              <w:ind w:left="108"/>
              <w:jc w:val="center"/>
            </w:pPr>
            <w:r w:rsidRPr="00364545">
              <w:rPr>
                <w:sz w:val="18"/>
              </w:rPr>
              <w:t>32522</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DA971D" w14:textId="77777777" w:rsidR="004D4A28" w:rsidRDefault="004D4A28" w:rsidP="00361368">
            <w:pPr>
              <w:spacing w:line="259" w:lineRule="auto"/>
              <w:ind w:left="106"/>
              <w:jc w:val="center"/>
            </w:pPr>
            <w:r w:rsidRPr="00364545">
              <w:rPr>
                <w:sz w:val="18"/>
              </w:rPr>
              <w:t>31943</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6E42905" w14:textId="77777777" w:rsidR="004D4A28" w:rsidRDefault="004D4A28" w:rsidP="00361368">
            <w:pPr>
              <w:spacing w:line="259" w:lineRule="auto"/>
              <w:ind w:left="106"/>
              <w:jc w:val="center"/>
              <w:rPr>
                <w:sz w:val="18"/>
              </w:rPr>
            </w:pPr>
            <w:r w:rsidRPr="00364545">
              <w:rPr>
                <w:sz w:val="18"/>
              </w:rPr>
              <w:t>30222</w:t>
            </w:r>
          </w:p>
        </w:tc>
      </w:tr>
      <w:tr w:rsidR="004D4A28" w14:paraId="102C457C" w14:textId="77777777" w:rsidTr="00361368">
        <w:trPr>
          <w:trHeight w:val="344"/>
        </w:trPr>
        <w:tc>
          <w:tcPr>
            <w:tcW w:w="1121" w:type="dxa"/>
            <w:tcBorders>
              <w:top w:val="single" w:sz="2" w:space="0" w:color="000000"/>
              <w:left w:val="single" w:sz="2" w:space="0" w:color="000000"/>
              <w:bottom w:val="single" w:sz="2" w:space="0" w:color="000000"/>
              <w:right w:val="single" w:sz="2" w:space="0" w:color="000000"/>
            </w:tcBorders>
          </w:tcPr>
          <w:p w14:paraId="5AE18EFA" w14:textId="77777777" w:rsidR="004D4A28" w:rsidRDefault="004D4A28" w:rsidP="00361368">
            <w:pPr>
              <w:spacing w:line="259" w:lineRule="auto"/>
            </w:pPr>
            <w:r>
              <w:rPr>
                <w:sz w:val="18"/>
              </w:rPr>
              <w:t xml:space="preserve">Agriculture (hors énergie) </w:t>
            </w:r>
          </w:p>
        </w:tc>
        <w:tc>
          <w:tcPr>
            <w:tcW w:w="734" w:type="dxa"/>
            <w:tcBorders>
              <w:top w:val="single" w:sz="2" w:space="0" w:color="000000"/>
              <w:left w:val="single" w:sz="2" w:space="0" w:color="000000"/>
              <w:bottom w:val="single" w:sz="2" w:space="0" w:color="000000"/>
              <w:right w:val="single" w:sz="2" w:space="0" w:color="000000"/>
            </w:tcBorders>
            <w:vAlign w:val="center"/>
          </w:tcPr>
          <w:p w14:paraId="1A36F92B" w14:textId="77777777" w:rsidR="004D4A28" w:rsidRDefault="004D4A28" w:rsidP="00361368">
            <w:pPr>
              <w:spacing w:line="259" w:lineRule="auto"/>
              <w:ind w:right="1"/>
              <w:jc w:val="center"/>
            </w:pPr>
            <w:r>
              <w:rPr>
                <w:sz w:val="18"/>
                <w:szCs w:val="18"/>
              </w:rPr>
              <w:t>1894</w:t>
            </w:r>
          </w:p>
        </w:tc>
        <w:tc>
          <w:tcPr>
            <w:tcW w:w="734" w:type="dxa"/>
            <w:tcBorders>
              <w:top w:val="single" w:sz="2" w:space="0" w:color="000000"/>
              <w:left w:val="single" w:sz="2" w:space="0" w:color="000000"/>
              <w:bottom w:val="single" w:sz="2" w:space="0" w:color="000000"/>
              <w:right w:val="single" w:sz="2" w:space="0" w:color="000000"/>
            </w:tcBorders>
            <w:vAlign w:val="center"/>
          </w:tcPr>
          <w:p w14:paraId="4A01B31F" w14:textId="77777777" w:rsidR="004D4A28" w:rsidRPr="004A6A59" w:rsidRDefault="004D4A28" w:rsidP="00361368">
            <w:pPr>
              <w:spacing w:line="259" w:lineRule="auto"/>
              <w:ind w:left="56"/>
              <w:jc w:val="center"/>
              <w:rPr>
                <w:sz w:val="18"/>
              </w:rPr>
            </w:pPr>
            <w:r>
              <w:rPr>
                <w:sz w:val="18"/>
                <w:szCs w:val="18"/>
              </w:rPr>
              <w:t>1973</w:t>
            </w:r>
          </w:p>
        </w:tc>
        <w:tc>
          <w:tcPr>
            <w:tcW w:w="735" w:type="dxa"/>
            <w:tcBorders>
              <w:top w:val="single" w:sz="2" w:space="0" w:color="000000"/>
              <w:left w:val="single" w:sz="2" w:space="0" w:color="000000"/>
              <w:bottom w:val="single" w:sz="2" w:space="0" w:color="000000"/>
              <w:right w:val="single" w:sz="2" w:space="0" w:color="000000"/>
            </w:tcBorders>
            <w:vAlign w:val="center"/>
          </w:tcPr>
          <w:p w14:paraId="3E41978F" w14:textId="77777777" w:rsidR="004D4A28" w:rsidRPr="00F66E1F" w:rsidRDefault="004D4A28" w:rsidP="00361368">
            <w:pPr>
              <w:spacing w:line="259" w:lineRule="auto"/>
              <w:ind w:left="1"/>
              <w:jc w:val="center"/>
            </w:pPr>
            <w:r>
              <w:rPr>
                <w:sz w:val="18"/>
                <w:szCs w:val="18"/>
              </w:rPr>
              <w:t>1989</w:t>
            </w:r>
          </w:p>
        </w:tc>
        <w:tc>
          <w:tcPr>
            <w:tcW w:w="734" w:type="dxa"/>
            <w:tcBorders>
              <w:top w:val="single" w:sz="2" w:space="0" w:color="000000"/>
              <w:left w:val="single" w:sz="2" w:space="0" w:color="000000"/>
              <w:bottom w:val="single" w:sz="2" w:space="0" w:color="000000"/>
              <w:right w:val="single" w:sz="2" w:space="0" w:color="000000"/>
            </w:tcBorders>
            <w:vAlign w:val="center"/>
          </w:tcPr>
          <w:p w14:paraId="756026FB" w14:textId="77777777" w:rsidR="004D4A28" w:rsidRPr="00F66E1F" w:rsidRDefault="004D4A28" w:rsidP="00361368">
            <w:pPr>
              <w:spacing w:line="259" w:lineRule="auto"/>
              <w:ind w:right="1"/>
              <w:jc w:val="center"/>
            </w:pPr>
            <w:r>
              <w:rPr>
                <w:sz w:val="18"/>
                <w:szCs w:val="18"/>
              </w:rPr>
              <w:t>1965</w:t>
            </w:r>
          </w:p>
        </w:tc>
        <w:tc>
          <w:tcPr>
            <w:tcW w:w="735" w:type="dxa"/>
            <w:tcBorders>
              <w:top w:val="single" w:sz="2" w:space="0" w:color="000000"/>
              <w:left w:val="single" w:sz="2" w:space="0" w:color="000000"/>
              <w:bottom w:val="single" w:sz="2" w:space="0" w:color="000000"/>
              <w:right w:val="single" w:sz="2" w:space="0" w:color="000000"/>
            </w:tcBorders>
            <w:vAlign w:val="center"/>
          </w:tcPr>
          <w:p w14:paraId="04C469D1" w14:textId="77777777" w:rsidR="004D4A28" w:rsidRPr="00F66E1F" w:rsidRDefault="004D4A28" w:rsidP="00361368">
            <w:pPr>
              <w:spacing w:line="259" w:lineRule="auto"/>
              <w:ind w:left="1"/>
              <w:jc w:val="center"/>
            </w:pPr>
            <w:r>
              <w:rPr>
                <w:sz w:val="18"/>
                <w:szCs w:val="18"/>
              </w:rPr>
              <w:t>1986</w:t>
            </w:r>
          </w:p>
        </w:tc>
        <w:tc>
          <w:tcPr>
            <w:tcW w:w="734" w:type="dxa"/>
            <w:tcBorders>
              <w:top w:val="single" w:sz="2" w:space="0" w:color="000000"/>
              <w:left w:val="single" w:sz="2" w:space="0" w:color="000000"/>
              <w:bottom w:val="single" w:sz="2" w:space="0" w:color="000000"/>
              <w:right w:val="single" w:sz="2" w:space="0" w:color="000000"/>
            </w:tcBorders>
            <w:vAlign w:val="center"/>
          </w:tcPr>
          <w:p w14:paraId="7E1C2980" w14:textId="77777777" w:rsidR="004D4A28" w:rsidRDefault="004D4A28" w:rsidP="00361368">
            <w:pPr>
              <w:spacing w:line="259" w:lineRule="auto"/>
              <w:ind w:right="1"/>
              <w:jc w:val="center"/>
            </w:pPr>
            <w:r>
              <w:rPr>
                <w:sz w:val="18"/>
                <w:szCs w:val="18"/>
              </w:rPr>
              <w:t>2176</w:t>
            </w:r>
          </w:p>
        </w:tc>
        <w:tc>
          <w:tcPr>
            <w:tcW w:w="734" w:type="dxa"/>
            <w:tcBorders>
              <w:top w:val="single" w:sz="2" w:space="0" w:color="000000"/>
              <w:left w:val="single" w:sz="2" w:space="0" w:color="000000"/>
              <w:bottom w:val="single" w:sz="2" w:space="0" w:color="000000"/>
              <w:right w:val="single" w:sz="2" w:space="0" w:color="000000"/>
            </w:tcBorders>
            <w:vAlign w:val="center"/>
          </w:tcPr>
          <w:p w14:paraId="197104A5" w14:textId="77777777" w:rsidR="004D4A28" w:rsidRDefault="004D4A28" w:rsidP="00361368">
            <w:pPr>
              <w:spacing w:line="259" w:lineRule="auto"/>
              <w:ind w:left="1"/>
              <w:jc w:val="center"/>
              <w:rPr>
                <w:sz w:val="18"/>
              </w:rPr>
            </w:pPr>
            <w:r>
              <w:rPr>
                <w:sz w:val="18"/>
                <w:szCs w:val="18"/>
              </w:rPr>
              <w:t>2032</w:t>
            </w:r>
          </w:p>
        </w:tc>
        <w:tc>
          <w:tcPr>
            <w:tcW w:w="735" w:type="dxa"/>
            <w:tcBorders>
              <w:top w:val="single" w:sz="2" w:space="0" w:color="000000"/>
              <w:left w:val="single" w:sz="2" w:space="0" w:color="000000"/>
              <w:bottom w:val="single" w:sz="2" w:space="0" w:color="000000"/>
              <w:right w:val="single" w:sz="2" w:space="0" w:color="000000"/>
            </w:tcBorders>
            <w:vAlign w:val="center"/>
          </w:tcPr>
          <w:p w14:paraId="1FCBEC36" w14:textId="77777777" w:rsidR="004D4A28" w:rsidRDefault="004D4A28" w:rsidP="00361368">
            <w:pPr>
              <w:spacing w:line="259" w:lineRule="auto"/>
              <w:ind w:left="1"/>
              <w:jc w:val="center"/>
            </w:pPr>
            <w:r w:rsidRPr="00364545">
              <w:rPr>
                <w:sz w:val="18"/>
              </w:rPr>
              <w:t>2139</w:t>
            </w:r>
          </w:p>
        </w:tc>
        <w:tc>
          <w:tcPr>
            <w:tcW w:w="734" w:type="dxa"/>
            <w:tcBorders>
              <w:top w:val="single" w:sz="2" w:space="0" w:color="000000"/>
              <w:left w:val="single" w:sz="2" w:space="0" w:color="000000"/>
              <w:bottom w:val="single" w:sz="2" w:space="0" w:color="000000"/>
              <w:right w:val="single" w:sz="2" w:space="0" w:color="000000"/>
            </w:tcBorders>
            <w:vAlign w:val="center"/>
          </w:tcPr>
          <w:p w14:paraId="6D3184EB" w14:textId="77777777" w:rsidR="004D4A28" w:rsidRDefault="004D4A28" w:rsidP="00361368">
            <w:pPr>
              <w:spacing w:line="259" w:lineRule="auto"/>
              <w:ind w:right="1"/>
              <w:jc w:val="center"/>
            </w:pPr>
            <w:r w:rsidRPr="00364545">
              <w:rPr>
                <w:sz w:val="18"/>
              </w:rPr>
              <w:t>2205</w:t>
            </w:r>
          </w:p>
        </w:tc>
        <w:tc>
          <w:tcPr>
            <w:tcW w:w="735" w:type="dxa"/>
            <w:tcBorders>
              <w:top w:val="single" w:sz="2" w:space="0" w:color="000000"/>
              <w:left w:val="single" w:sz="2" w:space="0" w:color="000000"/>
              <w:bottom w:val="single" w:sz="2" w:space="0" w:color="000000"/>
              <w:right w:val="single" w:sz="2" w:space="0" w:color="000000"/>
            </w:tcBorders>
            <w:vAlign w:val="center"/>
          </w:tcPr>
          <w:p w14:paraId="1FC51925" w14:textId="77777777" w:rsidR="004D4A28" w:rsidRDefault="004D4A28" w:rsidP="00361368">
            <w:pPr>
              <w:spacing w:line="259" w:lineRule="auto"/>
              <w:ind w:left="1"/>
              <w:jc w:val="center"/>
            </w:pPr>
            <w:r w:rsidRPr="00364545">
              <w:rPr>
                <w:sz w:val="18"/>
              </w:rPr>
              <w:t>2273</w:t>
            </w:r>
          </w:p>
        </w:tc>
        <w:tc>
          <w:tcPr>
            <w:tcW w:w="734" w:type="dxa"/>
            <w:tcBorders>
              <w:top w:val="single" w:sz="2" w:space="0" w:color="000000"/>
              <w:left w:val="single" w:sz="2" w:space="0" w:color="000000"/>
              <w:bottom w:val="single" w:sz="2" w:space="0" w:color="000000"/>
              <w:right w:val="single" w:sz="2" w:space="0" w:color="000000"/>
            </w:tcBorders>
            <w:vAlign w:val="center"/>
          </w:tcPr>
          <w:p w14:paraId="676257F6" w14:textId="77777777" w:rsidR="004D4A28" w:rsidRDefault="004D4A28" w:rsidP="00361368">
            <w:pPr>
              <w:spacing w:line="259" w:lineRule="auto"/>
              <w:jc w:val="center"/>
            </w:pPr>
            <w:r w:rsidRPr="00364545">
              <w:rPr>
                <w:sz w:val="18"/>
              </w:rPr>
              <w:t>2342</w:t>
            </w:r>
          </w:p>
        </w:tc>
        <w:tc>
          <w:tcPr>
            <w:tcW w:w="735" w:type="dxa"/>
            <w:tcBorders>
              <w:top w:val="single" w:sz="2" w:space="0" w:color="000000"/>
              <w:left w:val="single" w:sz="2" w:space="0" w:color="000000"/>
              <w:bottom w:val="single" w:sz="2" w:space="0" w:color="000000"/>
              <w:right w:val="single" w:sz="2" w:space="0" w:color="000000"/>
            </w:tcBorders>
            <w:vAlign w:val="center"/>
          </w:tcPr>
          <w:p w14:paraId="42D5690F" w14:textId="77777777" w:rsidR="004D4A28" w:rsidRDefault="004D4A28" w:rsidP="00361368">
            <w:pPr>
              <w:spacing w:line="259" w:lineRule="auto"/>
              <w:jc w:val="center"/>
              <w:rPr>
                <w:sz w:val="18"/>
              </w:rPr>
            </w:pPr>
            <w:r w:rsidRPr="00364545">
              <w:rPr>
                <w:sz w:val="18"/>
              </w:rPr>
              <w:t>2518</w:t>
            </w:r>
          </w:p>
        </w:tc>
      </w:tr>
      <w:tr w:rsidR="004D4A28" w14:paraId="17BF94A3" w14:textId="77777777" w:rsidTr="00361368">
        <w:trPr>
          <w:trHeight w:val="344"/>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0D726225" w14:textId="77777777" w:rsidR="004D4A28" w:rsidRDefault="004D4A28" w:rsidP="00361368">
            <w:pPr>
              <w:spacing w:line="259" w:lineRule="auto"/>
            </w:pPr>
            <w:r>
              <w:rPr>
                <w:sz w:val="18"/>
              </w:rPr>
              <w:t xml:space="preserve">UTCATF </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82BCC7A" w14:textId="77777777" w:rsidR="004D4A28" w:rsidRDefault="004D4A28" w:rsidP="00361368">
            <w:pPr>
              <w:spacing w:line="259" w:lineRule="auto"/>
              <w:ind w:left="51"/>
              <w:jc w:val="center"/>
            </w:pPr>
            <w:r>
              <w:rPr>
                <w:sz w:val="18"/>
                <w:szCs w:val="18"/>
              </w:rPr>
              <w:t>-28145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505683" w14:textId="77777777" w:rsidR="004D4A28" w:rsidRPr="004A6A59" w:rsidRDefault="004D4A28" w:rsidP="00361368">
            <w:pPr>
              <w:spacing w:line="259" w:lineRule="auto"/>
              <w:jc w:val="center"/>
              <w:rPr>
                <w:sz w:val="18"/>
              </w:rPr>
            </w:pPr>
            <w:r>
              <w:rPr>
                <w:sz w:val="18"/>
                <w:szCs w:val="18"/>
              </w:rPr>
              <w:t>-31795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13B288" w14:textId="77777777" w:rsidR="004D4A28" w:rsidRPr="00F66E1F" w:rsidRDefault="004D4A28" w:rsidP="00361368">
            <w:pPr>
              <w:spacing w:line="259" w:lineRule="auto"/>
              <w:ind w:left="53"/>
              <w:jc w:val="center"/>
            </w:pPr>
            <w:r>
              <w:rPr>
                <w:sz w:val="18"/>
                <w:szCs w:val="18"/>
              </w:rPr>
              <w:t>-24595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B50E89" w14:textId="77777777" w:rsidR="004D4A28" w:rsidRPr="00F66E1F" w:rsidRDefault="004D4A28" w:rsidP="00361368">
            <w:pPr>
              <w:spacing w:line="259" w:lineRule="auto"/>
              <w:ind w:left="51"/>
              <w:jc w:val="center"/>
            </w:pPr>
            <w:r>
              <w:rPr>
                <w:sz w:val="18"/>
                <w:szCs w:val="18"/>
              </w:rPr>
              <w:t>-51471</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FB4C74" w14:textId="77777777" w:rsidR="004D4A28" w:rsidRPr="00F66E1F" w:rsidRDefault="004D4A28" w:rsidP="00361368">
            <w:pPr>
              <w:spacing w:line="259" w:lineRule="auto"/>
              <w:ind w:left="53"/>
              <w:jc w:val="center"/>
            </w:pPr>
            <w:r>
              <w:rPr>
                <w:sz w:val="18"/>
                <w:szCs w:val="18"/>
              </w:rPr>
              <w:t>-42701</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B0B7D5" w14:textId="77777777" w:rsidR="004D4A28" w:rsidRDefault="004D4A28" w:rsidP="00361368">
            <w:pPr>
              <w:spacing w:line="259" w:lineRule="auto"/>
              <w:ind w:left="51"/>
              <w:jc w:val="center"/>
            </w:pPr>
            <w:r>
              <w:rPr>
                <w:sz w:val="18"/>
                <w:szCs w:val="18"/>
              </w:rPr>
              <w:t>-38599</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896157" w14:textId="77777777" w:rsidR="004D4A28" w:rsidRDefault="004D4A28" w:rsidP="00361368">
            <w:pPr>
              <w:spacing w:line="259" w:lineRule="auto"/>
              <w:ind w:left="53"/>
              <w:jc w:val="center"/>
              <w:rPr>
                <w:sz w:val="18"/>
              </w:rPr>
            </w:pPr>
            <w:r>
              <w:rPr>
                <w:sz w:val="18"/>
                <w:szCs w:val="18"/>
              </w:rPr>
              <w:t>-16293</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67FCEE" w14:textId="77777777" w:rsidR="004D4A28" w:rsidRDefault="004D4A28" w:rsidP="00361368">
            <w:pPr>
              <w:spacing w:line="259" w:lineRule="auto"/>
              <w:ind w:left="53"/>
              <w:jc w:val="center"/>
            </w:pPr>
            <w:r w:rsidRPr="00364545">
              <w:rPr>
                <w:sz w:val="18"/>
              </w:rPr>
              <w:t>-37085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5F0463" w14:textId="77777777" w:rsidR="004D4A28" w:rsidRDefault="004D4A28" w:rsidP="00361368">
            <w:pPr>
              <w:spacing w:line="259" w:lineRule="auto"/>
              <w:ind w:left="51"/>
              <w:jc w:val="center"/>
            </w:pPr>
            <w:r w:rsidRPr="00364545">
              <w:rPr>
                <w:sz w:val="18"/>
              </w:rPr>
              <w:t>- 32,992</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8382034" w14:textId="77777777" w:rsidR="004D4A28" w:rsidRDefault="004D4A28" w:rsidP="00361368">
            <w:pPr>
              <w:spacing w:line="259" w:lineRule="auto"/>
              <w:ind w:left="53"/>
              <w:jc w:val="center"/>
            </w:pPr>
            <w:r w:rsidRPr="00364545">
              <w:rPr>
                <w:sz w:val="18"/>
              </w:rPr>
              <w:t>- 30,678</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386DB8" w14:textId="77777777" w:rsidR="004D4A28" w:rsidRDefault="004D4A28" w:rsidP="00361368">
            <w:pPr>
              <w:spacing w:line="259" w:lineRule="auto"/>
              <w:ind w:left="51"/>
              <w:jc w:val="center"/>
            </w:pPr>
            <w:r w:rsidRPr="00364545">
              <w:rPr>
                <w:sz w:val="18"/>
              </w:rPr>
              <w:t>- 25,806</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D5E504" w14:textId="77777777" w:rsidR="004D4A28" w:rsidRDefault="004D4A28" w:rsidP="00361368">
            <w:pPr>
              <w:spacing w:line="259" w:lineRule="auto"/>
              <w:ind w:left="51"/>
              <w:jc w:val="center"/>
              <w:rPr>
                <w:sz w:val="18"/>
              </w:rPr>
            </w:pPr>
            <w:r w:rsidRPr="00364545">
              <w:rPr>
                <w:sz w:val="18"/>
              </w:rPr>
              <w:t>-16,873</w:t>
            </w:r>
          </w:p>
        </w:tc>
      </w:tr>
      <w:tr w:rsidR="004D4A28" w14:paraId="7FCB377C" w14:textId="77777777" w:rsidTr="00361368">
        <w:trPr>
          <w:trHeight w:val="347"/>
        </w:trPr>
        <w:tc>
          <w:tcPr>
            <w:tcW w:w="1121" w:type="dxa"/>
            <w:tcBorders>
              <w:top w:val="single" w:sz="2" w:space="0" w:color="000000"/>
              <w:left w:val="single" w:sz="2" w:space="0" w:color="000000"/>
              <w:bottom w:val="single" w:sz="2" w:space="0" w:color="000000"/>
              <w:right w:val="single" w:sz="2" w:space="0" w:color="000000"/>
            </w:tcBorders>
          </w:tcPr>
          <w:p w14:paraId="2BB5DDF3" w14:textId="77777777" w:rsidR="004D4A28" w:rsidRDefault="004D4A28" w:rsidP="00361368">
            <w:pPr>
              <w:spacing w:line="259" w:lineRule="auto"/>
            </w:pPr>
            <w:r>
              <w:rPr>
                <w:sz w:val="18"/>
              </w:rPr>
              <w:t xml:space="preserve">Déchets </w:t>
            </w:r>
          </w:p>
        </w:tc>
        <w:tc>
          <w:tcPr>
            <w:tcW w:w="734" w:type="dxa"/>
            <w:tcBorders>
              <w:top w:val="single" w:sz="2" w:space="0" w:color="000000"/>
              <w:left w:val="single" w:sz="2" w:space="0" w:color="000000"/>
              <w:bottom w:val="single" w:sz="2" w:space="0" w:color="000000"/>
              <w:right w:val="single" w:sz="2" w:space="0" w:color="000000"/>
            </w:tcBorders>
            <w:vAlign w:val="center"/>
          </w:tcPr>
          <w:p w14:paraId="7B10779C" w14:textId="77777777" w:rsidR="004D4A28" w:rsidRDefault="004D4A28" w:rsidP="00361368">
            <w:pPr>
              <w:spacing w:line="259" w:lineRule="auto"/>
              <w:ind w:right="1"/>
              <w:jc w:val="center"/>
            </w:pPr>
            <w:r>
              <w:rPr>
                <w:sz w:val="18"/>
                <w:szCs w:val="18"/>
              </w:rPr>
              <w:t>2194</w:t>
            </w:r>
          </w:p>
        </w:tc>
        <w:tc>
          <w:tcPr>
            <w:tcW w:w="734" w:type="dxa"/>
            <w:tcBorders>
              <w:top w:val="single" w:sz="2" w:space="0" w:color="000000"/>
              <w:left w:val="single" w:sz="2" w:space="0" w:color="000000"/>
              <w:bottom w:val="single" w:sz="2" w:space="0" w:color="000000"/>
              <w:right w:val="single" w:sz="2" w:space="0" w:color="000000"/>
            </w:tcBorders>
            <w:vAlign w:val="center"/>
          </w:tcPr>
          <w:p w14:paraId="41C98EB0" w14:textId="77777777" w:rsidR="004D4A28" w:rsidRPr="004A6A59" w:rsidRDefault="004D4A28" w:rsidP="00361368">
            <w:pPr>
              <w:spacing w:line="259" w:lineRule="auto"/>
              <w:ind w:left="56"/>
              <w:jc w:val="center"/>
              <w:rPr>
                <w:sz w:val="18"/>
              </w:rPr>
            </w:pPr>
            <w:r>
              <w:rPr>
                <w:sz w:val="18"/>
                <w:szCs w:val="18"/>
              </w:rPr>
              <w:t>2223</w:t>
            </w:r>
          </w:p>
        </w:tc>
        <w:tc>
          <w:tcPr>
            <w:tcW w:w="735" w:type="dxa"/>
            <w:tcBorders>
              <w:top w:val="single" w:sz="2" w:space="0" w:color="000000"/>
              <w:left w:val="single" w:sz="2" w:space="0" w:color="000000"/>
              <w:bottom w:val="single" w:sz="2" w:space="0" w:color="000000"/>
              <w:right w:val="single" w:sz="2" w:space="0" w:color="000000"/>
            </w:tcBorders>
            <w:vAlign w:val="center"/>
          </w:tcPr>
          <w:p w14:paraId="6C73C8E1" w14:textId="77777777" w:rsidR="004D4A28" w:rsidRPr="00F66E1F" w:rsidRDefault="004D4A28" w:rsidP="00361368">
            <w:pPr>
              <w:spacing w:line="259" w:lineRule="auto"/>
              <w:ind w:left="1"/>
              <w:jc w:val="center"/>
            </w:pPr>
            <w:r>
              <w:rPr>
                <w:sz w:val="18"/>
                <w:szCs w:val="18"/>
              </w:rPr>
              <w:t>1704</w:t>
            </w:r>
          </w:p>
        </w:tc>
        <w:tc>
          <w:tcPr>
            <w:tcW w:w="734" w:type="dxa"/>
            <w:tcBorders>
              <w:top w:val="single" w:sz="2" w:space="0" w:color="000000"/>
              <w:left w:val="single" w:sz="2" w:space="0" w:color="000000"/>
              <w:bottom w:val="single" w:sz="2" w:space="0" w:color="000000"/>
              <w:right w:val="single" w:sz="2" w:space="0" w:color="000000"/>
            </w:tcBorders>
            <w:vAlign w:val="center"/>
          </w:tcPr>
          <w:p w14:paraId="30EE62DD" w14:textId="77777777" w:rsidR="004D4A28" w:rsidRPr="00F66E1F" w:rsidRDefault="004D4A28" w:rsidP="00361368">
            <w:pPr>
              <w:spacing w:line="259" w:lineRule="auto"/>
              <w:ind w:right="1"/>
              <w:jc w:val="center"/>
            </w:pPr>
            <w:r>
              <w:rPr>
                <w:sz w:val="18"/>
                <w:szCs w:val="18"/>
              </w:rPr>
              <w:t>1549</w:t>
            </w:r>
          </w:p>
        </w:tc>
        <w:tc>
          <w:tcPr>
            <w:tcW w:w="735" w:type="dxa"/>
            <w:tcBorders>
              <w:top w:val="single" w:sz="2" w:space="0" w:color="000000"/>
              <w:left w:val="single" w:sz="2" w:space="0" w:color="000000"/>
              <w:bottom w:val="single" w:sz="2" w:space="0" w:color="000000"/>
              <w:right w:val="single" w:sz="2" w:space="0" w:color="000000"/>
            </w:tcBorders>
            <w:vAlign w:val="center"/>
          </w:tcPr>
          <w:p w14:paraId="44538D54" w14:textId="77777777" w:rsidR="004D4A28" w:rsidRPr="00F66E1F" w:rsidRDefault="004D4A28" w:rsidP="00361368">
            <w:pPr>
              <w:spacing w:line="259" w:lineRule="auto"/>
              <w:ind w:left="1"/>
              <w:jc w:val="center"/>
            </w:pPr>
            <w:r>
              <w:rPr>
                <w:sz w:val="18"/>
                <w:szCs w:val="18"/>
              </w:rPr>
              <w:t>1608</w:t>
            </w:r>
          </w:p>
        </w:tc>
        <w:tc>
          <w:tcPr>
            <w:tcW w:w="734" w:type="dxa"/>
            <w:tcBorders>
              <w:top w:val="single" w:sz="2" w:space="0" w:color="000000"/>
              <w:left w:val="single" w:sz="2" w:space="0" w:color="000000"/>
              <w:bottom w:val="single" w:sz="2" w:space="0" w:color="000000"/>
              <w:right w:val="single" w:sz="2" w:space="0" w:color="000000"/>
            </w:tcBorders>
            <w:vAlign w:val="center"/>
          </w:tcPr>
          <w:p w14:paraId="5461AF93" w14:textId="77777777" w:rsidR="004D4A28" w:rsidRDefault="004D4A28" w:rsidP="00361368">
            <w:pPr>
              <w:spacing w:line="259" w:lineRule="auto"/>
              <w:ind w:right="1"/>
              <w:jc w:val="center"/>
            </w:pPr>
            <w:r>
              <w:rPr>
                <w:sz w:val="18"/>
                <w:szCs w:val="18"/>
              </w:rPr>
              <w:t>1542</w:t>
            </w:r>
          </w:p>
        </w:tc>
        <w:tc>
          <w:tcPr>
            <w:tcW w:w="734" w:type="dxa"/>
            <w:tcBorders>
              <w:top w:val="single" w:sz="2" w:space="0" w:color="000000"/>
              <w:left w:val="single" w:sz="2" w:space="0" w:color="000000"/>
              <w:bottom w:val="single" w:sz="2" w:space="0" w:color="000000"/>
              <w:right w:val="single" w:sz="2" w:space="0" w:color="000000"/>
            </w:tcBorders>
            <w:vAlign w:val="center"/>
          </w:tcPr>
          <w:p w14:paraId="42996EFF" w14:textId="77777777" w:rsidR="004D4A28" w:rsidRDefault="004D4A28" w:rsidP="00361368">
            <w:pPr>
              <w:spacing w:line="259" w:lineRule="auto"/>
              <w:ind w:left="1"/>
              <w:jc w:val="center"/>
              <w:rPr>
                <w:sz w:val="18"/>
              </w:rPr>
            </w:pPr>
            <w:r>
              <w:rPr>
                <w:sz w:val="18"/>
                <w:szCs w:val="18"/>
              </w:rPr>
              <w:t>1738</w:t>
            </w:r>
          </w:p>
        </w:tc>
        <w:tc>
          <w:tcPr>
            <w:tcW w:w="735" w:type="dxa"/>
            <w:tcBorders>
              <w:top w:val="single" w:sz="2" w:space="0" w:color="000000"/>
              <w:left w:val="single" w:sz="2" w:space="0" w:color="000000"/>
              <w:bottom w:val="single" w:sz="2" w:space="0" w:color="000000"/>
              <w:right w:val="single" w:sz="2" w:space="0" w:color="000000"/>
            </w:tcBorders>
            <w:vAlign w:val="center"/>
          </w:tcPr>
          <w:p w14:paraId="13440940" w14:textId="77777777" w:rsidR="004D4A28" w:rsidRDefault="004D4A28" w:rsidP="00361368">
            <w:pPr>
              <w:spacing w:line="259" w:lineRule="auto"/>
              <w:ind w:left="1"/>
              <w:jc w:val="center"/>
            </w:pPr>
            <w:r w:rsidRPr="00364545">
              <w:rPr>
                <w:sz w:val="18"/>
              </w:rPr>
              <w:t>1259</w:t>
            </w:r>
          </w:p>
        </w:tc>
        <w:tc>
          <w:tcPr>
            <w:tcW w:w="734" w:type="dxa"/>
            <w:tcBorders>
              <w:top w:val="single" w:sz="2" w:space="0" w:color="000000"/>
              <w:left w:val="single" w:sz="2" w:space="0" w:color="000000"/>
              <w:bottom w:val="single" w:sz="2" w:space="0" w:color="000000"/>
              <w:right w:val="single" w:sz="2" w:space="0" w:color="000000"/>
            </w:tcBorders>
            <w:vAlign w:val="center"/>
          </w:tcPr>
          <w:p w14:paraId="3423A335" w14:textId="77777777" w:rsidR="004D4A28" w:rsidRDefault="004D4A28" w:rsidP="00361368">
            <w:pPr>
              <w:spacing w:line="259" w:lineRule="auto"/>
              <w:ind w:right="1"/>
              <w:jc w:val="center"/>
            </w:pPr>
            <w:r w:rsidRPr="00364545">
              <w:rPr>
                <w:sz w:val="18"/>
              </w:rPr>
              <w:t>1351</w:t>
            </w:r>
          </w:p>
        </w:tc>
        <w:tc>
          <w:tcPr>
            <w:tcW w:w="735" w:type="dxa"/>
            <w:tcBorders>
              <w:top w:val="single" w:sz="2" w:space="0" w:color="000000"/>
              <w:left w:val="single" w:sz="2" w:space="0" w:color="000000"/>
              <w:bottom w:val="single" w:sz="2" w:space="0" w:color="000000"/>
              <w:right w:val="single" w:sz="2" w:space="0" w:color="000000"/>
            </w:tcBorders>
            <w:vAlign w:val="center"/>
          </w:tcPr>
          <w:p w14:paraId="5639029E" w14:textId="77777777" w:rsidR="004D4A28" w:rsidRDefault="004D4A28" w:rsidP="00361368">
            <w:pPr>
              <w:spacing w:line="259" w:lineRule="auto"/>
              <w:ind w:left="1"/>
              <w:jc w:val="center"/>
            </w:pPr>
            <w:r w:rsidRPr="00364545">
              <w:rPr>
                <w:sz w:val="18"/>
              </w:rPr>
              <w:t>1406</w:t>
            </w:r>
          </w:p>
        </w:tc>
        <w:tc>
          <w:tcPr>
            <w:tcW w:w="734" w:type="dxa"/>
            <w:tcBorders>
              <w:top w:val="single" w:sz="2" w:space="0" w:color="000000"/>
              <w:left w:val="single" w:sz="2" w:space="0" w:color="000000"/>
              <w:bottom w:val="single" w:sz="2" w:space="0" w:color="000000"/>
              <w:right w:val="single" w:sz="2" w:space="0" w:color="000000"/>
            </w:tcBorders>
            <w:vAlign w:val="center"/>
          </w:tcPr>
          <w:p w14:paraId="6426437C" w14:textId="77777777" w:rsidR="004D4A28" w:rsidRDefault="004D4A28" w:rsidP="00361368">
            <w:pPr>
              <w:spacing w:line="259" w:lineRule="auto"/>
              <w:jc w:val="center"/>
            </w:pPr>
            <w:r w:rsidRPr="00364545">
              <w:rPr>
                <w:sz w:val="18"/>
              </w:rPr>
              <w:t>1478</w:t>
            </w:r>
          </w:p>
        </w:tc>
        <w:tc>
          <w:tcPr>
            <w:tcW w:w="735" w:type="dxa"/>
            <w:tcBorders>
              <w:top w:val="single" w:sz="2" w:space="0" w:color="000000"/>
              <w:left w:val="single" w:sz="2" w:space="0" w:color="000000"/>
              <w:bottom w:val="single" w:sz="2" w:space="0" w:color="000000"/>
              <w:right w:val="single" w:sz="2" w:space="0" w:color="000000"/>
            </w:tcBorders>
            <w:vAlign w:val="center"/>
          </w:tcPr>
          <w:p w14:paraId="2AF7CEF4" w14:textId="77777777" w:rsidR="004D4A28" w:rsidRDefault="004D4A28" w:rsidP="00361368">
            <w:pPr>
              <w:spacing w:line="259" w:lineRule="auto"/>
              <w:jc w:val="center"/>
              <w:rPr>
                <w:sz w:val="18"/>
              </w:rPr>
            </w:pPr>
            <w:r w:rsidRPr="00364545">
              <w:rPr>
                <w:sz w:val="18"/>
              </w:rPr>
              <w:t>1805</w:t>
            </w:r>
          </w:p>
        </w:tc>
      </w:tr>
      <w:tr w:rsidR="004D4A28" w14:paraId="66940FC6" w14:textId="77777777" w:rsidTr="00361368">
        <w:trPr>
          <w:trHeight w:val="344"/>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321C8FE0" w14:textId="77777777" w:rsidR="004D4A28" w:rsidRDefault="004D4A28" w:rsidP="00361368">
            <w:pPr>
              <w:spacing w:line="259" w:lineRule="auto"/>
            </w:pPr>
            <w:r>
              <w:rPr>
                <w:b/>
                <w:sz w:val="18"/>
              </w:rPr>
              <w:t xml:space="preserve">Ensemble (hors UTCF) </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C859B9" w14:textId="77777777" w:rsidR="004D4A28" w:rsidRPr="004A6A59" w:rsidRDefault="004D4A28" w:rsidP="00361368">
            <w:pPr>
              <w:spacing w:line="259" w:lineRule="auto"/>
              <w:ind w:left="56"/>
              <w:jc w:val="center"/>
              <w:rPr>
                <w:b/>
              </w:rPr>
            </w:pPr>
            <w:r w:rsidRPr="00944589">
              <w:rPr>
                <w:b/>
                <w:sz w:val="18"/>
                <w:szCs w:val="18"/>
              </w:rPr>
              <w:t>398425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26BD69" w14:textId="77777777" w:rsidR="004D4A28" w:rsidRPr="004A6A59" w:rsidRDefault="004D4A28" w:rsidP="00361368">
            <w:pPr>
              <w:spacing w:line="259" w:lineRule="auto"/>
              <w:jc w:val="center"/>
              <w:rPr>
                <w:b/>
                <w:sz w:val="18"/>
              </w:rPr>
            </w:pPr>
            <w:r w:rsidRPr="00944589">
              <w:rPr>
                <w:b/>
                <w:sz w:val="18"/>
                <w:szCs w:val="18"/>
              </w:rPr>
              <w:t>392916</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23D4F9E" w14:textId="77777777" w:rsidR="004D4A28" w:rsidRPr="004A6A59" w:rsidRDefault="004D4A28" w:rsidP="00361368">
            <w:pPr>
              <w:spacing w:line="259" w:lineRule="auto"/>
              <w:ind w:left="58"/>
              <w:jc w:val="center"/>
              <w:rPr>
                <w:b/>
              </w:rPr>
            </w:pPr>
            <w:r w:rsidRPr="00944589">
              <w:rPr>
                <w:b/>
                <w:sz w:val="18"/>
                <w:szCs w:val="18"/>
              </w:rPr>
              <w:t>414788</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243E96" w14:textId="77777777" w:rsidR="004D4A28" w:rsidRPr="004A6A59" w:rsidRDefault="004D4A28" w:rsidP="00361368">
            <w:pPr>
              <w:spacing w:line="259" w:lineRule="auto"/>
              <w:ind w:left="56"/>
              <w:jc w:val="center"/>
              <w:rPr>
                <w:b/>
              </w:rPr>
            </w:pPr>
            <w:r w:rsidRPr="00944589">
              <w:rPr>
                <w:b/>
                <w:sz w:val="18"/>
                <w:szCs w:val="18"/>
              </w:rPr>
              <w:t>425444</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81C055" w14:textId="77777777" w:rsidR="004D4A28" w:rsidRPr="004A6A59" w:rsidRDefault="004D4A28" w:rsidP="00361368">
            <w:pPr>
              <w:spacing w:line="259" w:lineRule="auto"/>
              <w:ind w:left="58"/>
              <w:jc w:val="center"/>
              <w:rPr>
                <w:b/>
              </w:rPr>
            </w:pPr>
            <w:r w:rsidRPr="00944589">
              <w:rPr>
                <w:b/>
                <w:sz w:val="18"/>
                <w:szCs w:val="18"/>
              </w:rPr>
              <w:t>386872</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BC4D6D" w14:textId="77777777" w:rsidR="004D4A28" w:rsidRPr="004A6A59" w:rsidRDefault="004D4A28" w:rsidP="00361368">
            <w:pPr>
              <w:spacing w:line="259" w:lineRule="auto"/>
              <w:ind w:left="56"/>
              <w:jc w:val="center"/>
              <w:rPr>
                <w:b/>
              </w:rPr>
            </w:pPr>
            <w:r w:rsidRPr="00944589">
              <w:rPr>
                <w:b/>
                <w:sz w:val="18"/>
                <w:szCs w:val="18"/>
              </w:rPr>
              <w:t>341631</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F3328E" w14:textId="77777777" w:rsidR="004D4A28" w:rsidRPr="004A6A59" w:rsidRDefault="004D4A28" w:rsidP="00361368">
            <w:pPr>
              <w:spacing w:line="259" w:lineRule="auto"/>
              <w:ind w:left="62"/>
              <w:jc w:val="center"/>
              <w:rPr>
                <w:b/>
                <w:sz w:val="18"/>
              </w:rPr>
            </w:pPr>
            <w:r w:rsidRPr="00944589">
              <w:rPr>
                <w:b/>
                <w:sz w:val="18"/>
                <w:szCs w:val="18"/>
              </w:rPr>
              <w:t>326725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E730E7" w14:textId="77777777" w:rsidR="004D4A28" w:rsidRPr="004A6A59" w:rsidRDefault="004D4A28" w:rsidP="00361368">
            <w:pPr>
              <w:spacing w:line="259" w:lineRule="auto"/>
              <w:ind w:left="62"/>
              <w:jc w:val="center"/>
              <w:rPr>
                <w:b/>
              </w:rPr>
            </w:pPr>
            <w:r w:rsidRPr="00364545">
              <w:rPr>
                <w:b/>
                <w:sz w:val="18"/>
              </w:rPr>
              <w:t>291487</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4BD40E" w14:textId="77777777" w:rsidR="004D4A28" w:rsidRPr="004A6A59" w:rsidRDefault="004D4A28" w:rsidP="00361368">
            <w:pPr>
              <w:spacing w:line="259" w:lineRule="auto"/>
              <w:ind w:left="56"/>
              <w:jc w:val="center"/>
              <w:rPr>
                <w:b/>
              </w:rPr>
            </w:pPr>
            <w:r w:rsidRPr="00364545">
              <w:rPr>
                <w:b/>
                <w:sz w:val="18"/>
              </w:rPr>
              <w:t>292205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12D129" w14:textId="77777777" w:rsidR="004D4A28" w:rsidRPr="004A6A59" w:rsidRDefault="004D4A28" w:rsidP="00361368">
            <w:pPr>
              <w:spacing w:line="259" w:lineRule="auto"/>
              <w:ind w:left="58"/>
              <w:jc w:val="center"/>
              <w:rPr>
                <w:b/>
              </w:rPr>
            </w:pPr>
            <w:r w:rsidRPr="00364545">
              <w:rPr>
                <w:b/>
                <w:sz w:val="18"/>
              </w:rPr>
              <w:t>272039</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EEF4F4" w14:textId="77777777" w:rsidR="004D4A28" w:rsidRPr="004A6A59" w:rsidRDefault="004D4A28" w:rsidP="00361368">
            <w:pPr>
              <w:spacing w:line="259" w:lineRule="auto"/>
              <w:ind w:left="56"/>
              <w:jc w:val="center"/>
              <w:rPr>
                <w:b/>
              </w:rPr>
            </w:pPr>
            <w:r w:rsidRPr="00364545">
              <w:rPr>
                <w:b/>
                <w:sz w:val="18"/>
              </w:rPr>
              <w:t>262355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37ED35" w14:textId="77777777" w:rsidR="004D4A28" w:rsidRPr="004A6A59" w:rsidRDefault="004D4A28" w:rsidP="00361368">
            <w:pPr>
              <w:spacing w:line="259" w:lineRule="auto"/>
              <w:ind w:left="56"/>
              <w:jc w:val="center"/>
              <w:rPr>
                <w:b/>
                <w:sz w:val="18"/>
              </w:rPr>
            </w:pPr>
            <w:r w:rsidRPr="00364545">
              <w:rPr>
                <w:b/>
                <w:sz w:val="18"/>
              </w:rPr>
              <w:t>241265</w:t>
            </w:r>
          </w:p>
        </w:tc>
      </w:tr>
      <w:tr w:rsidR="004D4A28" w14:paraId="6A749F22" w14:textId="77777777" w:rsidTr="00361368">
        <w:trPr>
          <w:trHeight w:val="344"/>
        </w:trPr>
        <w:tc>
          <w:tcPr>
            <w:tcW w:w="1121" w:type="dxa"/>
            <w:tcBorders>
              <w:top w:val="single" w:sz="2" w:space="0" w:color="000000"/>
              <w:left w:val="single" w:sz="2" w:space="0" w:color="000000"/>
              <w:bottom w:val="single" w:sz="2" w:space="0" w:color="000000"/>
              <w:right w:val="single" w:sz="2" w:space="0" w:color="000000"/>
            </w:tcBorders>
          </w:tcPr>
          <w:p w14:paraId="592E1324" w14:textId="77777777" w:rsidR="004D4A28" w:rsidRDefault="004D4A28" w:rsidP="00361368">
            <w:pPr>
              <w:spacing w:line="259" w:lineRule="auto"/>
            </w:pPr>
            <w:r>
              <w:rPr>
                <w:b/>
                <w:sz w:val="18"/>
              </w:rPr>
              <w:t xml:space="preserve">Ensemble (avec UTCF) </w:t>
            </w:r>
          </w:p>
        </w:tc>
        <w:tc>
          <w:tcPr>
            <w:tcW w:w="734" w:type="dxa"/>
            <w:tcBorders>
              <w:top w:val="single" w:sz="2" w:space="0" w:color="000000"/>
              <w:left w:val="single" w:sz="2" w:space="0" w:color="000000"/>
              <w:bottom w:val="single" w:sz="2" w:space="0" w:color="000000"/>
              <w:right w:val="single" w:sz="2" w:space="0" w:color="000000"/>
            </w:tcBorders>
            <w:vAlign w:val="center"/>
          </w:tcPr>
          <w:p w14:paraId="57A141B7" w14:textId="77777777" w:rsidR="004D4A28" w:rsidRPr="004A6A59" w:rsidRDefault="004D4A28" w:rsidP="00361368">
            <w:pPr>
              <w:spacing w:line="259" w:lineRule="auto"/>
              <w:ind w:left="56"/>
              <w:jc w:val="center"/>
              <w:rPr>
                <w:b/>
              </w:rPr>
            </w:pPr>
            <w:r w:rsidRPr="00944589">
              <w:rPr>
                <w:b/>
                <w:sz w:val="18"/>
                <w:szCs w:val="18"/>
              </w:rPr>
              <w:t>370280</w:t>
            </w:r>
          </w:p>
        </w:tc>
        <w:tc>
          <w:tcPr>
            <w:tcW w:w="734" w:type="dxa"/>
            <w:tcBorders>
              <w:top w:val="single" w:sz="2" w:space="0" w:color="000000"/>
              <w:left w:val="single" w:sz="2" w:space="0" w:color="000000"/>
              <w:bottom w:val="single" w:sz="2" w:space="0" w:color="000000"/>
              <w:right w:val="single" w:sz="2" w:space="0" w:color="000000"/>
            </w:tcBorders>
            <w:vAlign w:val="center"/>
          </w:tcPr>
          <w:p w14:paraId="6062EA10" w14:textId="77777777" w:rsidR="004D4A28" w:rsidRPr="004A6A59" w:rsidRDefault="004D4A28" w:rsidP="00361368">
            <w:pPr>
              <w:spacing w:line="259" w:lineRule="auto"/>
              <w:ind w:left="56"/>
              <w:jc w:val="center"/>
              <w:rPr>
                <w:b/>
                <w:sz w:val="18"/>
              </w:rPr>
            </w:pPr>
            <w:r w:rsidRPr="00944589">
              <w:rPr>
                <w:b/>
                <w:sz w:val="18"/>
                <w:szCs w:val="18"/>
              </w:rPr>
              <w:t>361121</w:t>
            </w:r>
          </w:p>
        </w:tc>
        <w:tc>
          <w:tcPr>
            <w:tcW w:w="735" w:type="dxa"/>
            <w:tcBorders>
              <w:top w:val="single" w:sz="2" w:space="0" w:color="000000"/>
              <w:left w:val="single" w:sz="2" w:space="0" w:color="000000"/>
              <w:bottom w:val="single" w:sz="2" w:space="0" w:color="000000"/>
              <w:right w:val="single" w:sz="2" w:space="0" w:color="000000"/>
            </w:tcBorders>
            <w:vAlign w:val="center"/>
          </w:tcPr>
          <w:p w14:paraId="4DBA46D2" w14:textId="77777777" w:rsidR="004D4A28" w:rsidRPr="004A6A59" w:rsidRDefault="004D4A28" w:rsidP="00361368">
            <w:pPr>
              <w:spacing w:line="259" w:lineRule="auto"/>
              <w:ind w:left="58"/>
              <w:jc w:val="center"/>
              <w:rPr>
                <w:b/>
              </w:rPr>
            </w:pPr>
            <w:r w:rsidRPr="00944589">
              <w:rPr>
                <w:b/>
                <w:sz w:val="18"/>
                <w:szCs w:val="18"/>
              </w:rPr>
              <w:t>390194</w:t>
            </w:r>
          </w:p>
        </w:tc>
        <w:tc>
          <w:tcPr>
            <w:tcW w:w="734" w:type="dxa"/>
            <w:tcBorders>
              <w:top w:val="single" w:sz="2" w:space="0" w:color="000000"/>
              <w:left w:val="single" w:sz="2" w:space="0" w:color="000000"/>
              <w:bottom w:val="single" w:sz="2" w:space="0" w:color="000000"/>
              <w:right w:val="single" w:sz="2" w:space="0" w:color="000000"/>
            </w:tcBorders>
            <w:vAlign w:val="center"/>
          </w:tcPr>
          <w:p w14:paraId="7E3BCC6A" w14:textId="77777777" w:rsidR="004D4A28" w:rsidRPr="004A6A59" w:rsidRDefault="004D4A28" w:rsidP="00361368">
            <w:pPr>
              <w:spacing w:line="259" w:lineRule="auto"/>
              <w:ind w:left="56"/>
              <w:jc w:val="center"/>
              <w:rPr>
                <w:b/>
              </w:rPr>
            </w:pPr>
            <w:r w:rsidRPr="00944589">
              <w:rPr>
                <w:b/>
                <w:sz w:val="18"/>
                <w:szCs w:val="18"/>
              </w:rPr>
              <w:t>373972</w:t>
            </w:r>
          </w:p>
        </w:tc>
        <w:tc>
          <w:tcPr>
            <w:tcW w:w="735" w:type="dxa"/>
            <w:tcBorders>
              <w:top w:val="single" w:sz="2" w:space="0" w:color="000000"/>
              <w:left w:val="single" w:sz="2" w:space="0" w:color="000000"/>
              <w:bottom w:val="single" w:sz="2" w:space="0" w:color="000000"/>
              <w:right w:val="single" w:sz="2" w:space="0" w:color="000000"/>
            </w:tcBorders>
            <w:vAlign w:val="center"/>
          </w:tcPr>
          <w:p w14:paraId="571DEE73" w14:textId="77777777" w:rsidR="004D4A28" w:rsidRPr="004A6A59" w:rsidRDefault="004D4A28" w:rsidP="00361368">
            <w:pPr>
              <w:spacing w:line="259" w:lineRule="auto"/>
              <w:ind w:left="58"/>
              <w:jc w:val="center"/>
              <w:rPr>
                <w:b/>
              </w:rPr>
            </w:pPr>
            <w:r w:rsidRPr="00944589">
              <w:rPr>
                <w:b/>
                <w:sz w:val="18"/>
                <w:szCs w:val="18"/>
              </w:rPr>
              <w:t>344171</w:t>
            </w:r>
          </w:p>
        </w:tc>
        <w:tc>
          <w:tcPr>
            <w:tcW w:w="734" w:type="dxa"/>
            <w:tcBorders>
              <w:top w:val="single" w:sz="2" w:space="0" w:color="000000"/>
              <w:left w:val="single" w:sz="2" w:space="0" w:color="000000"/>
              <w:bottom w:val="single" w:sz="2" w:space="0" w:color="000000"/>
              <w:right w:val="single" w:sz="2" w:space="0" w:color="000000"/>
            </w:tcBorders>
            <w:vAlign w:val="center"/>
          </w:tcPr>
          <w:p w14:paraId="32519A01" w14:textId="77777777" w:rsidR="004D4A28" w:rsidRPr="004A6A59" w:rsidRDefault="004D4A28" w:rsidP="00361368">
            <w:pPr>
              <w:spacing w:line="259" w:lineRule="auto"/>
              <w:ind w:left="56"/>
              <w:jc w:val="center"/>
              <w:rPr>
                <w:b/>
              </w:rPr>
            </w:pPr>
            <w:r w:rsidRPr="00944589">
              <w:rPr>
                <w:b/>
                <w:sz w:val="18"/>
                <w:szCs w:val="18"/>
              </w:rPr>
              <w:t>303032</w:t>
            </w:r>
          </w:p>
        </w:tc>
        <w:tc>
          <w:tcPr>
            <w:tcW w:w="734" w:type="dxa"/>
            <w:tcBorders>
              <w:top w:val="single" w:sz="2" w:space="0" w:color="000000"/>
              <w:left w:val="single" w:sz="2" w:space="0" w:color="000000"/>
              <w:bottom w:val="single" w:sz="2" w:space="0" w:color="000000"/>
              <w:right w:val="single" w:sz="2" w:space="0" w:color="000000"/>
            </w:tcBorders>
            <w:vAlign w:val="center"/>
          </w:tcPr>
          <w:p w14:paraId="7F8DE53C" w14:textId="77777777" w:rsidR="004D4A28" w:rsidRPr="004A6A59" w:rsidRDefault="004D4A28" w:rsidP="00361368">
            <w:pPr>
              <w:spacing w:line="259" w:lineRule="auto"/>
              <w:ind w:left="58"/>
              <w:jc w:val="center"/>
              <w:rPr>
                <w:b/>
                <w:sz w:val="18"/>
              </w:rPr>
            </w:pPr>
            <w:r w:rsidRPr="00944589">
              <w:rPr>
                <w:b/>
                <w:sz w:val="18"/>
                <w:szCs w:val="18"/>
              </w:rPr>
              <w:t>310432</w:t>
            </w:r>
          </w:p>
        </w:tc>
        <w:tc>
          <w:tcPr>
            <w:tcW w:w="735" w:type="dxa"/>
            <w:tcBorders>
              <w:top w:val="single" w:sz="2" w:space="0" w:color="000000"/>
              <w:left w:val="single" w:sz="2" w:space="0" w:color="000000"/>
              <w:bottom w:val="single" w:sz="2" w:space="0" w:color="000000"/>
              <w:right w:val="single" w:sz="2" w:space="0" w:color="000000"/>
            </w:tcBorders>
            <w:vAlign w:val="center"/>
          </w:tcPr>
          <w:p w14:paraId="01A03CF1" w14:textId="77777777" w:rsidR="004D4A28" w:rsidRPr="004A6A59" w:rsidRDefault="004D4A28" w:rsidP="00361368">
            <w:pPr>
              <w:spacing w:line="259" w:lineRule="auto"/>
              <w:ind w:left="58"/>
              <w:jc w:val="center"/>
              <w:rPr>
                <w:b/>
              </w:rPr>
            </w:pPr>
            <w:r w:rsidRPr="00364545">
              <w:rPr>
                <w:b/>
                <w:sz w:val="18"/>
              </w:rPr>
              <w:t>254402</w:t>
            </w:r>
          </w:p>
        </w:tc>
        <w:tc>
          <w:tcPr>
            <w:tcW w:w="734" w:type="dxa"/>
            <w:tcBorders>
              <w:top w:val="single" w:sz="2" w:space="0" w:color="000000"/>
              <w:left w:val="single" w:sz="2" w:space="0" w:color="000000"/>
              <w:bottom w:val="single" w:sz="2" w:space="0" w:color="000000"/>
              <w:right w:val="single" w:sz="2" w:space="0" w:color="000000"/>
            </w:tcBorders>
            <w:vAlign w:val="center"/>
          </w:tcPr>
          <w:p w14:paraId="7B4E8CB0" w14:textId="77777777" w:rsidR="004D4A28" w:rsidRPr="004A6A59" w:rsidRDefault="004D4A28" w:rsidP="00361368">
            <w:pPr>
              <w:spacing w:line="259" w:lineRule="auto"/>
              <w:ind w:left="56"/>
              <w:jc w:val="center"/>
              <w:rPr>
                <w:b/>
              </w:rPr>
            </w:pPr>
            <w:r w:rsidRPr="00364545">
              <w:rPr>
                <w:b/>
                <w:sz w:val="18"/>
              </w:rPr>
              <w:t>259213</w:t>
            </w:r>
          </w:p>
        </w:tc>
        <w:tc>
          <w:tcPr>
            <w:tcW w:w="735" w:type="dxa"/>
            <w:tcBorders>
              <w:top w:val="single" w:sz="2" w:space="0" w:color="000000"/>
              <w:left w:val="single" w:sz="2" w:space="0" w:color="000000"/>
              <w:bottom w:val="single" w:sz="2" w:space="0" w:color="000000"/>
              <w:right w:val="single" w:sz="2" w:space="0" w:color="000000"/>
            </w:tcBorders>
            <w:vAlign w:val="center"/>
          </w:tcPr>
          <w:p w14:paraId="0F78436A" w14:textId="77777777" w:rsidR="004D4A28" w:rsidRPr="004A6A59" w:rsidRDefault="004D4A28" w:rsidP="00361368">
            <w:pPr>
              <w:spacing w:line="259" w:lineRule="auto"/>
              <w:ind w:left="58"/>
              <w:jc w:val="center"/>
              <w:rPr>
                <w:b/>
              </w:rPr>
            </w:pPr>
            <w:r w:rsidRPr="00364545">
              <w:rPr>
                <w:b/>
                <w:sz w:val="18"/>
              </w:rPr>
              <w:t>241362</w:t>
            </w:r>
          </w:p>
        </w:tc>
        <w:tc>
          <w:tcPr>
            <w:tcW w:w="734" w:type="dxa"/>
            <w:tcBorders>
              <w:top w:val="single" w:sz="2" w:space="0" w:color="000000"/>
              <w:left w:val="single" w:sz="2" w:space="0" w:color="000000"/>
              <w:bottom w:val="single" w:sz="2" w:space="0" w:color="000000"/>
              <w:right w:val="single" w:sz="2" w:space="0" w:color="000000"/>
            </w:tcBorders>
            <w:vAlign w:val="center"/>
          </w:tcPr>
          <w:p w14:paraId="13BEE1BF" w14:textId="77777777" w:rsidR="004D4A28" w:rsidRPr="004A6A59" w:rsidRDefault="004D4A28" w:rsidP="00361368">
            <w:pPr>
              <w:spacing w:line="259" w:lineRule="auto"/>
              <w:ind w:left="56"/>
              <w:jc w:val="center"/>
              <w:rPr>
                <w:b/>
              </w:rPr>
            </w:pPr>
            <w:r w:rsidRPr="00364545">
              <w:rPr>
                <w:b/>
                <w:sz w:val="18"/>
              </w:rPr>
              <w:t>236549</w:t>
            </w:r>
          </w:p>
        </w:tc>
        <w:tc>
          <w:tcPr>
            <w:tcW w:w="735" w:type="dxa"/>
            <w:tcBorders>
              <w:top w:val="single" w:sz="2" w:space="0" w:color="000000"/>
              <w:left w:val="single" w:sz="2" w:space="0" w:color="000000"/>
              <w:bottom w:val="single" w:sz="2" w:space="0" w:color="000000"/>
              <w:right w:val="single" w:sz="2" w:space="0" w:color="000000"/>
            </w:tcBorders>
            <w:vAlign w:val="center"/>
          </w:tcPr>
          <w:p w14:paraId="1CE7249F" w14:textId="77777777" w:rsidR="004D4A28" w:rsidRPr="004A6A59" w:rsidRDefault="004D4A28" w:rsidP="00361368">
            <w:pPr>
              <w:spacing w:line="259" w:lineRule="auto"/>
              <w:ind w:left="56"/>
              <w:jc w:val="center"/>
              <w:rPr>
                <w:b/>
                <w:sz w:val="18"/>
              </w:rPr>
            </w:pPr>
            <w:r w:rsidRPr="00364545">
              <w:rPr>
                <w:b/>
                <w:sz w:val="18"/>
              </w:rPr>
              <w:t>224391</w:t>
            </w:r>
          </w:p>
        </w:tc>
      </w:tr>
    </w:tbl>
    <w:p w14:paraId="1709BE1C" w14:textId="77777777" w:rsidR="004D4A28" w:rsidRDefault="004D4A28" w:rsidP="004D4A28">
      <w:pPr>
        <w:pStyle w:val="Caption"/>
      </w:pPr>
      <w:bookmarkStart w:id="159" w:name="_Toc123916511"/>
      <w:r>
        <w:t xml:space="preserve">Tableau </w:t>
      </w:r>
      <w:r w:rsidR="00757301">
        <w:fldChar w:fldCharType="begin"/>
      </w:r>
      <w:r w:rsidR="00757301">
        <w:instrText xml:space="preserve"> SEQ Tableau \* ARABIC </w:instrText>
      </w:r>
      <w:r w:rsidR="00757301">
        <w:fldChar w:fldCharType="separate"/>
      </w:r>
      <w:r>
        <w:rPr>
          <w:noProof/>
        </w:rPr>
        <w:t>19</w:t>
      </w:r>
      <w:r w:rsidR="00757301">
        <w:rPr>
          <w:noProof/>
        </w:rPr>
        <w:fldChar w:fldCharType="end"/>
      </w:r>
      <w:r>
        <w:t> : Projections d’émissions de CO</w:t>
      </w:r>
      <w:r w:rsidRPr="007F09F7">
        <w:rPr>
          <w:vertAlign w:val="subscript"/>
        </w:rPr>
        <w:t>2</w:t>
      </w:r>
      <w:r>
        <w:t xml:space="preserve"> (en ktCO</w:t>
      </w:r>
      <w:r w:rsidRPr="007F09F7">
        <w:rPr>
          <w:vertAlign w:val="subscript"/>
        </w:rPr>
        <w:t>2</w:t>
      </w:r>
      <w:r>
        <w:t>e) au périmètre Kyoto dans le scénario AME 2021 (avec mesures existantes)</w:t>
      </w:r>
      <w:bookmarkEnd w:id="159"/>
    </w:p>
    <w:p w14:paraId="6BCEFB15" w14:textId="77777777" w:rsidR="004D4A28" w:rsidRDefault="004D4A28" w:rsidP="004D4A28">
      <w:pPr>
        <w:pStyle w:val="Caption"/>
      </w:pPr>
      <w:r>
        <w:t>Source : Inventaire CCNUCC, Citepa/MTES, soumission 2022 et projections d’émissions MTES, 2021</w:t>
      </w:r>
    </w:p>
    <w:p w14:paraId="7E833655" w14:textId="77777777" w:rsidR="004D4A28" w:rsidRPr="009B2382" w:rsidRDefault="004D4A28" w:rsidP="004D4A28"/>
    <w:p w14:paraId="0AC855B1" w14:textId="77777777" w:rsidR="004D4A28" w:rsidRDefault="004D4A28" w:rsidP="004D4A28">
      <w:pPr>
        <w:pStyle w:val="Caption"/>
      </w:pPr>
      <w:bookmarkStart w:id="160" w:name="_Toc123916473"/>
      <w:r>
        <w:rPr>
          <w:noProof/>
        </w:rPr>
        <w:drawing>
          <wp:inline distT="0" distB="0" distL="0" distR="0" wp14:anchorId="06A0D13B" wp14:editId="62877091">
            <wp:extent cx="6318250" cy="3632200"/>
            <wp:effectExtent l="0" t="0" r="6350" b="6350"/>
            <wp:docPr id="28705" name="Graphique 28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8C0FB0" w14:textId="77777777" w:rsidR="004D4A28" w:rsidRDefault="004D4A28" w:rsidP="004D4A28">
      <w:pPr>
        <w:pStyle w:val="Caption"/>
      </w:pPr>
      <w:r>
        <w:t xml:space="preserve">Figure </w:t>
      </w:r>
      <w:r w:rsidR="00757301">
        <w:fldChar w:fldCharType="begin"/>
      </w:r>
      <w:r w:rsidR="00757301">
        <w:instrText xml:space="preserve"> SEQ Figure \* ARABIC </w:instrText>
      </w:r>
      <w:r w:rsidR="00757301">
        <w:fldChar w:fldCharType="separate"/>
      </w:r>
      <w:r>
        <w:rPr>
          <w:noProof/>
        </w:rPr>
        <w:t>62</w:t>
      </w:r>
      <w:r w:rsidR="00757301">
        <w:rPr>
          <w:noProof/>
        </w:rPr>
        <w:fldChar w:fldCharType="end"/>
      </w:r>
      <w:r>
        <w:t xml:space="preserve"> : </w:t>
      </w:r>
      <w:r w:rsidRPr="00BA4A6C">
        <w:t xml:space="preserve">Projection par </w:t>
      </w:r>
      <w:r>
        <w:t>gaz</w:t>
      </w:r>
      <w:r w:rsidRPr="00BA4A6C">
        <w:t xml:space="preserve"> </w:t>
      </w:r>
      <w:r>
        <w:t xml:space="preserve">hors UTCATF </w:t>
      </w:r>
      <w:r w:rsidRPr="00BA4A6C">
        <w:t>en kt</w:t>
      </w:r>
      <w:r>
        <w:t>CO</w:t>
      </w:r>
      <w:r w:rsidRPr="007F09F7">
        <w:rPr>
          <w:vertAlign w:val="subscript"/>
        </w:rPr>
        <w:t>2</w:t>
      </w:r>
      <w:r w:rsidRPr="000425AE">
        <w:rPr>
          <w:vertAlign w:val="subscript"/>
        </w:rPr>
        <w:t>e</w:t>
      </w:r>
      <w:r w:rsidRPr="00BA4A6C">
        <w:t>, au format Kyoto, scénario AM</w:t>
      </w:r>
      <w:r>
        <w:t>E</w:t>
      </w:r>
      <w:r w:rsidRPr="00BA4A6C">
        <w:t xml:space="preserve"> </w:t>
      </w:r>
      <w:r>
        <w:t>2021</w:t>
      </w:r>
      <w:bookmarkEnd w:id="160"/>
    </w:p>
    <w:p w14:paraId="1242A91C" w14:textId="77777777" w:rsidR="004D4A28" w:rsidRPr="001E34E8" w:rsidRDefault="004D4A28" w:rsidP="004D4A28">
      <w:pPr>
        <w:pStyle w:val="Caption"/>
      </w:pPr>
      <w:r w:rsidRPr="00BA4A6C">
        <w:t xml:space="preserve">Source : Inventaire CCNUCC, Citepa/MTES, soumission </w:t>
      </w:r>
      <w:r>
        <w:t>2022</w:t>
      </w:r>
      <w:r w:rsidRPr="00BA4A6C">
        <w:t xml:space="preserve"> et projections d’émissions MTES, 20</w:t>
      </w:r>
      <w:r>
        <w:t>21</w:t>
      </w:r>
    </w:p>
    <w:p w14:paraId="225E464E" w14:textId="77777777" w:rsidR="004D4A28" w:rsidRDefault="004D4A28" w:rsidP="004D4A28"/>
    <w:tbl>
      <w:tblPr>
        <w:tblStyle w:val="TableGrid0"/>
        <w:tblW w:w="10193" w:type="dxa"/>
        <w:tblInd w:w="10" w:type="dxa"/>
        <w:tblLayout w:type="fixed"/>
        <w:tblCellMar>
          <w:top w:w="39" w:type="dxa"/>
          <w:left w:w="28" w:type="dxa"/>
          <w:bottom w:w="2" w:type="dxa"/>
          <w:right w:w="48" w:type="dxa"/>
        </w:tblCellMar>
        <w:tblLook w:val="04A0" w:firstRow="1" w:lastRow="0" w:firstColumn="1" w:lastColumn="0" w:noHBand="0" w:noVBand="1"/>
      </w:tblPr>
      <w:tblGrid>
        <w:gridCol w:w="1121"/>
        <w:gridCol w:w="851"/>
        <w:gridCol w:w="709"/>
        <w:gridCol w:w="708"/>
        <w:gridCol w:w="851"/>
        <w:gridCol w:w="850"/>
        <w:gridCol w:w="851"/>
        <w:gridCol w:w="709"/>
        <w:gridCol w:w="708"/>
        <w:gridCol w:w="709"/>
        <w:gridCol w:w="709"/>
        <w:gridCol w:w="709"/>
        <w:gridCol w:w="708"/>
      </w:tblGrid>
      <w:tr w:rsidR="004D4A28" w14:paraId="5D914E1F" w14:textId="77777777" w:rsidTr="00361368">
        <w:trPr>
          <w:trHeight w:val="321"/>
        </w:trPr>
        <w:tc>
          <w:tcPr>
            <w:tcW w:w="1121" w:type="dxa"/>
            <w:tcBorders>
              <w:top w:val="single" w:sz="2" w:space="0" w:color="000000"/>
              <w:left w:val="single" w:sz="2" w:space="0" w:color="000000"/>
              <w:bottom w:val="single" w:sz="2" w:space="0" w:color="000000"/>
              <w:right w:val="single" w:sz="2" w:space="0" w:color="000000"/>
            </w:tcBorders>
            <w:shd w:val="clear" w:color="auto" w:fill="6D2A78"/>
          </w:tcPr>
          <w:p w14:paraId="15BBDB7B" w14:textId="77777777" w:rsidR="004D4A28" w:rsidRDefault="004D4A28" w:rsidP="00361368">
            <w:pPr>
              <w:spacing w:line="259" w:lineRule="auto"/>
              <w:ind w:left="67"/>
              <w:jc w:val="left"/>
            </w:pPr>
            <w:r>
              <w:t xml:space="preserve">AME 21 – </w:t>
            </w:r>
            <w:r w:rsidRPr="00141043">
              <w:t>CH</w:t>
            </w:r>
            <w:r w:rsidRPr="004F1EC8">
              <w:rPr>
                <w:vertAlign w:val="subscript"/>
              </w:rPr>
              <w:t>4</w:t>
            </w:r>
            <w:r w:rsidRPr="00141043">
              <w:t xml:space="preserve"> </w:t>
            </w:r>
          </w:p>
        </w:tc>
        <w:tc>
          <w:tcPr>
            <w:tcW w:w="851" w:type="dxa"/>
            <w:tcBorders>
              <w:top w:val="single" w:sz="2" w:space="0" w:color="000000"/>
              <w:left w:val="single" w:sz="2" w:space="0" w:color="000000"/>
              <w:bottom w:val="single" w:sz="2" w:space="0" w:color="000000"/>
              <w:right w:val="single" w:sz="2" w:space="0" w:color="000000"/>
            </w:tcBorders>
            <w:shd w:val="clear" w:color="auto" w:fill="6D2A78"/>
          </w:tcPr>
          <w:p w14:paraId="62DFB98D" w14:textId="77777777" w:rsidR="004D4A28" w:rsidRDefault="004D4A28" w:rsidP="00361368">
            <w:pPr>
              <w:spacing w:line="259" w:lineRule="auto"/>
              <w:ind w:left="19"/>
              <w:jc w:val="center"/>
            </w:pPr>
            <w:r>
              <w:rPr>
                <w:b/>
                <w:color w:val="FFFFFF"/>
                <w:sz w:val="18"/>
              </w:rPr>
              <w:t xml:space="preserve">1990 </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3BDE3515" w14:textId="77777777" w:rsidR="004D4A28" w:rsidRDefault="004D4A28" w:rsidP="00361368">
            <w:pPr>
              <w:spacing w:line="259" w:lineRule="auto"/>
              <w:ind w:left="21"/>
              <w:jc w:val="center"/>
              <w:rPr>
                <w:b/>
                <w:color w:val="FFFFFF"/>
                <w:sz w:val="18"/>
              </w:rPr>
            </w:pPr>
            <w:r>
              <w:rPr>
                <w:b/>
                <w:color w:val="FFFFFF"/>
                <w:sz w:val="18"/>
              </w:rPr>
              <w:t>1995</w:t>
            </w:r>
          </w:p>
        </w:tc>
        <w:tc>
          <w:tcPr>
            <w:tcW w:w="708" w:type="dxa"/>
            <w:tcBorders>
              <w:top w:val="single" w:sz="2" w:space="0" w:color="000000"/>
              <w:left w:val="single" w:sz="2" w:space="0" w:color="000000"/>
              <w:bottom w:val="single" w:sz="2" w:space="0" w:color="000000"/>
              <w:right w:val="single" w:sz="2" w:space="0" w:color="000000"/>
            </w:tcBorders>
            <w:shd w:val="clear" w:color="auto" w:fill="6D2A78"/>
          </w:tcPr>
          <w:p w14:paraId="56A73ED2" w14:textId="77777777" w:rsidR="004D4A28" w:rsidRDefault="004D4A28" w:rsidP="00361368">
            <w:pPr>
              <w:spacing w:line="259" w:lineRule="auto"/>
              <w:ind w:left="21"/>
              <w:jc w:val="center"/>
            </w:pPr>
            <w:r>
              <w:rPr>
                <w:b/>
                <w:color w:val="FFFFFF"/>
                <w:sz w:val="18"/>
              </w:rPr>
              <w:t xml:space="preserve">2000 </w:t>
            </w:r>
          </w:p>
        </w:tc>
        <w:tc>
          <w:tcPr>
            <w:tcW w:w="851" w:type="dxa"/>
            <w:tcBorders>
              <w:top w:val="single" w:sz="2" w:space="0" w:color="000000"/>
              <w:left w:val="single" w:sz="2" w:space="0" w:color="000000"/>
              <w:bottom w:val="single" w:sz="2" w:space="0" w:color="000000"/>
              <w:right w:val="single" w:sz="2" w:space="0" w:color="000000"/>
            </w:tcBorders>
            <w:shd w:val="clear" w:color="auto" w:fill="6D2A78"/>
          </w:tcPr>
          <w:p w14:paraId="6921D01C" w14:textId="77777777" w:rsidR="004D4A28" w:rsidRDefault="004D4A28" w:rsidP="00361368">
            <w:pPr>
              <w:spacing w:line="259" w:lineRule="auto"/>
              <w:ind w:left="19"/>
              <w:jc w:val="center"/>
            </w:pPr>
            <w:r>
              <w:rPr>
                <w:b/>
                <w:color w:val="FFFFFF"/>
                <w:sz w:val="18"/>
              </w:rPr>
              <w:t xml:space="preserve">2005 </w:t>
            </w:r>
          </w:p>
        </w:tc>
        <w:tc>
          <w:tcPr>
            <w:tcW w:w="850" w:type="dxa"/>
            <w:tcBorders>
              <w:top w:val="single" w:sz="2" w:space="0" w:color="000000"/>
              <w:left w:val="single" w:sz="2" w:space="0" w:color="000000"/>
              <w:bottom w:val="single" w:sz="2" w:space="0" w:color="000000"/>
              <w:right w:val="single" w:sz="2" w:space="0" w:color="000000"/>
            </w:tcBorders>
            <w:shd w:val="clear" w:color="auto" w:fill="6D2A78"/>
          </w:tcPr>
          <w:p w14:paraId="5139A97F" w14:textId="77777777" w:rsidR="004D4A28" w:rsidRDefault="004D4A28" w:rsidP="00361368">
            <w:pPr>
              <w:spacing w:line="259" w:lineRule="auto"/>
              <w:ind w:left="21"/>
              <w:jc w:val="center"/>
            </w:pPr>
            <w:r>
              <w:rPr>
                <w:b/>
                <w:color w:val="FFFFFF"/>
                <w:sz w:val="18"/>
              </w:rPr>
              <w:t xml:space="preserve">2010 </w:t>
            </w:r>
          </w:p>
        </w:tc>
        <w:tc>
          <w:tcPr>
            <w:tcW w:w="851" w:type="dxa"/>
            <w:tcBorders>
              <w:top w:val="single" w:sz="2" w:space="0" w:color="000000"/>
              <w:left w:val="single" w:sz="2" w:space="0" w:color="000000"/>
              <w:bottom w:val="single" w:sz="2" w:space="0" w:color="000000"/>
              <w:right w:val="single" w:sz="2" w:space="0" w:color="000000"/>
            </w:tcBorders>
            <w:shd w:val="clear" w:color="auto" w:fill="6D2A78"/>
          </w:tcPr>
          <w:p w14:paraId="2C28597C" w14:textId="77777777" w:rsidR="004D4A28" w:rsidRDefault="004D4A28" w:rsidP="00361368">
            <w:pPr>
              <w:spacing w:line="259" w:lineRule="auto"/>
              <w:ind w:left="19"/>
              <w:jc w:val="center"/>
            </w:pPr>
            <w:r>
              <w:rPr>
                <w:b/>
                <w:color w:val="FFFFFF"/>
                <w:sz w:val="18"/>
              </w:rPr>
              <w:t xml:space="preserve">2015 </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22FDB68D" w14:textId="77777777" w:rsidR="004D4A28" w:rsidRDefault="004D4A28" w:rsidP="00361368">
            <w:pPr>
              <w:spacing w:line="259" w:lineRule="auto"/>
              <w:ind w:left="21"/>
              <w:jc w:val="center"/>
              <w:rPr>
                <w:b/>
                <w:color w:val="FFFFFF"/>
                <w:sz w:val="18"/>
              </w:rPr>
            </w:pPr>
            <w:r>
              <w:rPr>
                <w:b/>
                <w:color w:val="FFFFFF"/>
                <w:sz w:val="18"/>
              </w:rPr>
              <w:t>2019</w:t>
            </w:r>
          </w:p>
        </w:tc>
        <w:tc>
          <w:tcPr>
            <w:tcW w:w="708" w:type="dxa"/>
            <w:tcBorders>
              <w:top w:val="single" w:sz="2" w:space="0" w:color="000000"/>
              <w:left w:val="single" w:sz="2" w:space="0" w:color="000000"/>
              <w:bottom w:val="single" w:sz="2" w:space="0" w:color="000000"/>
              <w:right w:val="single" w:sz="2" w:space="0" w:color="000000"/>
            </w:tcBorders>
            <w:shd w:val="clear" w:color="auto" w:fill="6D2A78"/>
          </w:tcPr>
          <w:p w14:paraId="7A510427" w14:textId="77777777" w:rsidR="004D4A28" w:rsidRDefault="004D4A28" w:rsidP="00361368">
            <w:pPr>
              <w:spacing w:line="259" w:lineRule="auto"/>
              <w:ind w:left="21"/>
              <w:jc w:val="center"/>
            </w:pPr>
            <w:r>
              <w:rPr>
                <w:b/>
                <w:color w:val="FFFFFF"/>
                <w:sz w:val="18"/>
              </w:rPr>
              <w:t xml:space="preserve">2020 </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11195092" w14:textId="77777777" w:rsidR="004D4A28" w:rsidRDefault="004D4A28" w:rsidP="00361368">
            <w:pPr>
              <w:spacing w:line="259" w:lineRule="auto"/>
              <w:ind w:left="19"/>
              <w:jc w:val="center"/>
            </w:pPr>
            <w:r>
              <w:rPr>
                <w:b/>
                <w:color w:val="FFFFFF"/>
                <w:sz w:val="18"/>
              </w:rPr>
              <w:t xml:space="preserve">2025 </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1334A305" w14:textId="77777777" w:rsidR="004D4A28" w:rsidRDefault="004D4A28" w:rsidP="00361368">
            <w:pPr>
              <w:spacing w:line="259" w:lineRule="auto"/>
              <w:ind w:left="21"/>
              <w:jc w:val="center"/>
            </w:pPr>
            <w:r>
              <w:rPr>
                <w:b/>
                <w:color w:val="FFFFFF"/>
                <w:sz w:val="18"/>
              </w:rPr>
              <w:t xml:space="preserve">2030 </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655EB036" w14:textId="77777777" w:rsidR="004D4A28" w:rsidRDefault="004D4A28" w:rsidP="00361368">
            <w:pPr>
              <w:spacing w:line="259" w:lineRule="auto"/>
              <w:ind w:left="20"/>
              <w:jc w:val="center"/>
            </w:pPr>
            <w:r>
              <w:rPr>
                <w:b/>
                <w:color w:val="FFFFFF"/>
                <w:sz w:val="18"/>
              </w:rPr>
              <w:t xml:space="preserve">2035 </w:t>
            </w:r>
          </w:p>
        </w:tc>
        <w:tc>
          <w:tcPr>
            <w:tcW w:w="708" w:type="dxa"/>
            <w:tcBorders>
              <w:top w:val="single" w:sz="2" w:space="0" w:color="000000"/>
              <w:left w:val="single" w:sz="2" w:space="0" w:color="000000"/>
              <w:bottom w:val="single" w:sz="2" w:space="0" w:color="000000"/>
              <w:right w:val="single" w:sz="2" w:space="0" w:color="000000"/>
            </w:tcBorders>
            <w:shd w:val="clear" w:color="auto" w:fill="6D2A78"/>
          </w:tcPr>
          <w:p w14:paraId="7C9AE6B3" w14:textId="77777777" w:rsidR="004D4A28" w:rsidRDefault="004D4A28" w:rsidP="00361368">
            <w:pPr>
              <w:spacing w:line="259" w:lineRule="auto"/>
              <w:ind w:left="20"/>
              <w:jc w:val="center"/>
              <w:rPr>
                <w:b/>
                <w:color w:val="FFFFFF"/>
                <w:sz w:val="18"/>
              </w:rPr>
            </w:pPr>
            <w:r>
              <w:rPr>
                <w:b/>
                <w:color w:val="FFFFFF"/>
                <w:sz w:val="18"/>
              </w:rPr>
              <w:t>2050</w:t>
            </w:r>
          </w:p>
        </w:tc>
      </w:tr>
      <w:tr w:rsidR="004D4A28" w14:paraId="56474317" w14:textId="77777777" w:rsidTr="00361368">
        <w:trPr>
          <w:trHeight w:val="275"/>
        </w:trPr>
        <w:tc>
          <w:tcPr>
            <w:tcW w:w="1121" w:type="dxa"/>
            <w:tcBorders>
              <w:top w:val="single" w:sz="2" w:space="0" w:color="000000"/>
              <w:left w:val="single" w:sz="2" w:space="0" w:color="000000"/>
              <w:bottom w:val="single" w:sz="2" w:space="0" w:color="000000"/>
              <w:right w:val="single" w:sz="2" w:space="0" w:color="000000"/>
            </w:tcBorders>
          </w:tcPr>
          <w:p w14:paraId="2A6EE716" w14:textId="77777777" w:rsidR="004D4A28" w:rsidRDefault="004D4A28" w:rsidP="00361368">
            <w:pPr>
              <w:spacing w:line="259" w:lineRule="auto"/>
            </w:pPr>
            <w:r>
              <w:rPr>
                <w:sz w:val="18"/>
              </w:rPr>
              <w:t xml:space="preserve">Energie </w:t>
            </w:r>
          </w:p>
        </w:tc>
        <w:tc>
          <w:tcPr>
            <w:tcW w:w="851" w:type="dxa"/>
            <w:tcBorders>
              <w:top w:val="single" w:sz="2" w:space="0" w:color="000000"/>
              <w:left w:val="single" w:sz="2" w:space="0" w:color="000000"/>
              <w:bottom w:val="single" w:sz="2" w:space="0" w:color="000000"/>
              <w:right w:val="single" w:sz="2" w:space="0" w:color="000000"/>
            </w:tcBorders>
            <w:vAlign w:val="bottom"/>
          </w:tcPr>
          <w:p w14:paraId="7BA3F913" w14:textId="77777777" w:rsidR="004D4A28" w:rsidRPr="00637624" w:rsidRDefault="004D4A28" w:rsidP="00361368">
            <w:pPr>
              <w:spacing w:line="259" w:lineRule="auto"/>
              <w:ind w:left="106"/>
              <w:rPr>
                <w:sz w:val="18"/>
                <w:szCs w:val="18"/>
              </w:rPr>
            </w:pPr>
            <w:r w:rsidRPr="00944589">
              <w:rPr>
                <w:rFonts w:asciiTheme="majorHAnsi" w:hAnsiTheme="majorHAnsi"/>
                <w:sz w:val="16"/>
                <w:szCs w:val="16"/>
              </w:rPr>
              <w:t>12404</w:t>
            </w:r>
          </w:p>
        </w:tc>
        <w:tc>
          <w:tcPr>
            <w:tcW w:w="709" w:type="dxa"/>
            <w:tcBorders>
              <w:top w:val="single" w:sz="2" w:space="0" w:color="000000"/>
              <w:left w:val="single" w:sz="2" w:space="0" w:color="000000"/>
              <w:bottom w:val="single" w:sz="2" w:space="0" w:color="000000"/>
              <w:right w:val="single" w:sz="2" w:space="0" w:color="000000"/>
            </w:tcBorders>
            <w:vAlign w:val="bottom"/>
          </w:tcPr>
          <w:p w14:paraId="5C97560C"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11918</w:t>
            </w:r>
          </w:p>
        </w:tc>
        <w:tc>
          <w:tcPr>
            <w:tcW w:w="708" w:type="dxa"/>
            <w:tcBorders>
              <w:top w:val="single" w:sz="2" w:space="0" w:color="000000"/>
              <w:left w:val="single" w:sz="2" w:space="0" w:color="000000"/>
              <w:bottom w:val="single" w:sz="2" w:space="0" w:color="000000"/>
              <w:right w:val="single" w:sz="2" w:space="0" w:color="000000"/>
            </w:tcBorders>
            <w:vAlign w:val="bottom"/>
          </w:tcPr>
          <w:p w14:paraId="34CCE5D9"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7568</w:t>
            </w:r>
          </w:p>
        </w:tc>
        <w:tc>
          <w:tcPr>
            <w:tcW w:w="851" w:type="dxa"/>
            <w:tcBorders>
              <w:top w:val="single" w:sz="2" w:space="0" w:color="000000"/>
              <w:left w:val="single" w:sz="2" w:space="0" w:color="000000"/>
              <w:bottom w:val="single" w:sz="2" w:space="0" w:color="000000"/>
              <w:right w:val="single" w:sz="2" w:space="0" w:color="000000"/>
            </w:tcBorders>
            <w:vAlign w:val="bottom"/>
          </w:tcPr>
          <w:p w14:paraId="339A875B"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4922</w:t>
            </w:r>
          </w:p>
        </w:tc>
        <w:tc>
          <w:tcPr>
            <w:tcW w:w="850" w:type="dxa"/>
            <w:tcBorders>
              <w:top w:val="single" w:sz="2" w:space="0" w:color="000000"/>
              <w:left w:val="single" w:sz="2" w:space="0" w:color="000000"/>
              <w:bottom w:val="single" w:sz="2" w:space="0" w:color="000000"/>
              <w:right w:val="single" w:sz="2" w:space="0" w:color="000000"/>
            </w:tcBorders>
            <w:vAlign w:val="bottom"/>
          </w:tcPr>
          <w:p w14:paraId="4A477983"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3704</w:t>
            </w:r>
          </w:p>
        </w:tc>
        <w:tc>
          <w:tcPr>
            <w:tcW w:w="851" w:type="dxa"/>
            <w:tcBorders>
              <w:top w:val="single" w:sz="2" w:space="0" w:color="000000"/>
              <w:left w:val="single" w:sz="2" w:space="0" w:color="000000"/>
              <w:bottom w:val="single" w:sz="2" w:space="0" w:color="000000"/>
              <w:right w:val="single" w:sz="2" w:space="0" w:color="000000"/>
            </w:tcBorders>
            <w:vAlign w:val="bottom"/>
          </w:tcPr>
          <w:p w14:paraId="330D6D0F"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2743</w:t>
            </w:r>
          </w:p>
        </w:tc>
        <w:tc>
          <w:tcPr>
            <w:tcW w:w="709" w:type="dxa"/>
            <w:tcBorders>
              <w:top w:val="single" w:sz="2" w:space="0" w:color="000000"/>
              <w:left w:val="single" w:sz="2" w:space="0" w:color="000000"/>
              <w:bottom w:val="single" w:sz="2" w:space="0" w:color="000000"/>
              <w:right w:val="single" w:sz="2" w:space="0" w:color="000000"/>
            </w:tcBorders>
            <w:vAlign w:val="bottom"/>
          </w:tcPr>
          <w:p w14:paraId="251DA374"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2398</w:t>
            </w:r>
          </w:p>
        </w:tc>
        <w:tc>
          <w:tcPr>
            <w:tcW w:w="708" w:type="dxa"/>
            <w:tcBorders>
              <w:top w:val="single" w:sz="2" w:space="0" w:color="000000"/>
              <w:left w:val="single" w:sz="2" w:space="0" w:color="000000"/>
              <w:bottom w:val="single" w:sz="2" w:space="0" w:color="000000"/>
              <w:right w:val="single" w:sz="2" w:space="0" w:color="000000"/>
            </w:tcBorders>
            <w:vAlign w:val="bottom"/>
          </w:tcPr>
          <w:p w14:paraId="7D146C28"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2 320</w:t>
            </w:r>
          </w:p>
        </w:tc>
        <w:tc>
          <w:tcPr>
            <w:tcW w:w="709" w:type="dxa"/>
            <w:tcBorders>
              <w:top w:val="single" w:sz="2" w:space="0" w:color="000000"/>
              <w:left w:val="single" w:sz="2" w:space="0" w:color="000000"/>
              <w:bottom w:val="single" w:sz="2" w:space="0" w:color="000000"/>
              <w:right w:val="single" w:sz="2" w:space="0" w:color="000000"/>
            </w:tcBorders>
            <w:vAlign w:val="bottom"/>
          </w:tcPr>
          <w:p w14:paraId="138644A1"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2 262</w:t>
            </w:r>
          </w:p>
        </w:tc>
        <w:tc>
          <w:tcPr>
            <w:tcW w:w="709" w:type="dxa"/>
            <w:tcBorders>
              <w:top w:val="single" w:sz="2" w:space="0" w:color="000000"/>
              <w:left w:val="single" w:sz="2" w:space="0" w:color="000000"/>
              <w:bottom w:val="single" w:sz="2" w:space="0" w:color="000000"/>
              <w:right w:val="single" w:sz="2" w:space="0" w:color="000000"/>
            </w:tcBorders>
            <w:vAlign w:val="bottom"/>
          </w:tcPr>
          <w:p w14:paraId="21037EFA"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2 191</w:t>
            </w:r>
          </w:p>
        </w:tc>
        <w:tc>
          <w:tcPr>
            <w:tcW w:w="709" w:type="dxa"/>
            <w:tcBorders>
              <w:top w:val="single" w:sz="2" w:space="0" w:color="000000"/>
              <w:left w:val="single" w:sz="2" w:space="0" w:color="000000"/>
              <w:bottom w:val="single" w:sz="2" w:space="0" w:color="000000"/>
              <w:right w:val="single" w:sz="2" w:space="0" w:color="000000"/>
            </w:tcBorders>
            <w:vAlign w:val="bottom"/>
          </w:tcPr>
          <w:p w14:paraId="1E2AEFEC"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2 158</w:t>
            </w:r>
          </w:p>
        </w:tc>
        <w:tc>
          <w:tcPr>
            <w:tcW w:w="708" w:type="dxa"/>
            <w:tcBorders>
              <w:top w:val="single" w:sz="2" w:space="0" w:color="000000"/>
              <w:left w:val="single" w:sz="2" w:space="0" w:color="000000"/>
              <w:bottom w:val="single" w:sz="2" w:space="0" w:color="000000"/>
              <w:right w:val="single" w:sz="2" w:space="0" w:color="000000"/>
            </w:tcBorders>
            <w:vAlign w:val="bottom"/>
          </w:tcPr>
          <w:p w14:paraId="704305ED"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2 199</w:t>
            </w:r>
          </w:p>
        </w:tc>
      </w:tr>
      <w:tr w:rsidR="004D4A28" w14:paraId="1D831BAA" w14:textId="77777777" w:rsidTr="00361368">
        <w:trPr>
          <w:trHeight w:val="335"/>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06E5BC13" w14:textId="77777777" w:rsidR="004D4A28" w:rsidRDefault="004D4A28" w:rsidP="00361368">
            <w:pPr>
              <w:spacing w:line="259" w:lineRule="auto"/>
            </w:pPr>
            <w:r>
              <w:rPr>
                <w:sz w:val="18"/>
              </w:rPr>
              <w:t xml:space="preserve">Procédés industriels, solvants et autres produits </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66CDBE7" w14:textId="77777777" w:rsidR="004D4A28" w:rsidRPr="00637624" w:rsidRDefault="004D4A28" w:rsidP="00361368">
            <w:pPr>
              <w:spacing w:line="259" w:lineRule="auto"/>
              <w:ind w:left="19"/>
              <w:jc w:val="center"/>
              <w:rPr>
                <w:sz w:val="18"/>
                <w:szCs w:val="18"/>
              </w:rPr>
            </w:pPr>
            <w:r w:rsidRPr="00634E4C">
              <w:rPr>
                <w:rFonts w:asciiTheme="majorHAnsi" w:hAnsiTheme="majorHAnsi"/>
                <w:sz w:val="16"/>
              </w:rPr>
              <w:t>220</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93CECD6" w14:textId="77777777" w:rsidR="004D4A28" w:rsidRPr="00637624" w:rsidRDefault="004D4A28" w:rsidP="00361368">
            <w:pPr>
              <w:spacing w:line="259" w:lineRule="auto"/>
              <w:ind w:left="106"/>
              <w:rPr>
                <w:rFonts w:ascii="Calibri" w:hAnsi="Calibri" w:cs="Calibri"/>
                <w:b/>
                <w:bCs/>
                <w:color w:val="000000"/>
                <w:sz w:val="18"/>
                <w:szCs w:val="18"/>
              </w:rPr>
            </w:pPr>
            <w:r w:rsidRPr="00634E4C">
              <w:rPr>
                <w:rFonts w:asciiTheme="majorHAnsi" w:hAnsiTheme="majorHAnsi"/>
                <w:sz w:val="16"/>
              </w:rPr>
              <w:t>221</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1567EE6" w14:textId="77777777" w:rsidR="004D4A28" w:rsidRPr="00637624" w:rsidRDefault="004D4A28" w:rsidP="00361368">
            <w:pPr>
              <w:spacing w:line="259" w:lineRule="auto"/>
              <w:ind w:left="106"/>
              <w:rPr>
                <w:rFonts w:ascii="Calibri" w:hAnsi="Calibri" w:cs="Calibri"/>
                <w:b/>
                <w:bCs/>
                <w:color w:val="000000"/>
                <w:sz w:val="18"/>
                <w:szCs w:val="18"/>
              </w:rPr>
            </w:pPr>
            <w:r w:rsidRPr="00634E4C">
              <w:rPr>
                <w:rFonts w:asciiTheme="majorHAnsi" w:hAnsiTheme="majorHAnsi"/>
                <w:sz w:val="16"/>
              </w:rPr>
              <w:t>236</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E4EF706"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207</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667873B" w14:textId="77777777" w:rsidR="004D4A28" w:rsidRPr="00637624" w:rsidRDefault="004D4A28" w:rsidP="00361368">
            <w:pPr>
              <w:spacing w:line="259" w:lineRule="auto"/>
              <w:ind w:left="106"/>
              <w:rPr>
                <w:rFonts w:ascii="Calibri" w:hAnsi="Calibri" w:cs="Calibri"/>
                <w:b/>
                <w:bCs/>
                <w:color w:val="000000"/>
                <w:sz w:val="18"/>
                <w:szCs w:val="18"/>
              </w:rPr>
            </w:pPr>
            <w:r w:rsidRPr="00634E4C">
              <w:rPr>
                <w:rFonts w:asciiTheme="majorHAnsi" w:hAnsiTheme="majorHAnsi"/>
                <w:sz w:val="16"/>
              </w:rPr>
              <w:t>147</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CBBD6F3"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85</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D31ED10"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66</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F604EE9"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67</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CC02126"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75</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1C4AD36"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75</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135B495"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75</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45D61F0"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73</w:t>
            </w:r>
          </w:p>
        </w:tc>
      </w:tr>
      <w:tr w:rsidR="004D4A28" w14:paraId="2F543C7E" w14:textId="77777777" w:rsidTr="00361368">
        <w:trPr>
          <w:trHeight w:val="277"/>
        </w:trPr>
        <w:tc>
          <w:tcPr>
            <w:tcW w:w="1121" w:type="dxa"/>
            <w:tcBorders>
              <w:top w:val="single" w:sz="2" w:space="0" w:color="000000"/>
              <w:left w:val="single" w:sz="2" w:space="0" w:color="000000"/>
              <w:bottom w:val="single" w:sz="2" w:space="0" w:color="000000"/>
              <w:right w:val="single" w:sz="2" w:space="0" w:color="000000"/>
            </w:tcBorders>
          </w:tcPr>
          <w:p w14:paraId="49C91CAD" w14:textId="77777777" w:rsidR="004D4A28" w:rsidRDefault="004D4A28" w:rsidP="00361368">
            <w:pPr>
              <w:spacing w:line="259" w:lineRule="auto"/>
            </w:pPr>
            <w:r>
              <w:rPr>
                <w:sz w:val="18"/>
              </w:rPr>
              <w:t xml:space="preserve">Agriculture (hors énergie) </w:t>
            </w:r>
          </w:p>
        </w:tc>
        <w:tc>
          <w:tcPr>
            <w:tcW w:w="851" w:type="dxa"/>
            <w:tcBorders>
              <w:top w:val="single" w:sz="2" w:space="0" w:color="000000"/>
              <w:left w:val="single" w:sz="2" w:space="0" w:color="000000"/>
              <w:bottom w:val="single" w:sz="2" w:space="0" w:color="000000"/>
              <w:right w:val="single" w:sz="2" w:space="0" w:color="000000"/>
            </w:tcBorders>
            <w:vAlign w:val="bottom"/>
          </w:tcPr>
          <w:p w14:paraId="435E0379" w14:textId="77777777" w:rsidR="004D4A28" w:rsidRPr="00637624" w:rsidRDefault="004D4A28" w:rsidP="00361368">
            <w:pPr>
              <w:spacing w:line="259" w:lineRule="auto"/>
              <w:ind w:left="106"/>
              <w:rPr>
                <w:sz w:val="18"/>
                <w:szCs w:val="18"/>
              </w:rPr>
            </w:pPr>
            <w:r w:rsidRPr="00634E4C">
              <w:rPr>
                <w:rFonts w:asciiTheme="majorHAnsi" w:hAnsiTheme="majorHAnsi"/>
                <w:sz w:val="16"/>
              </w:rPr>
              <w:t>42218</w:t>
            </w:r>
          </w:p>
        </w:tc>
        <w:tc>
          <w:tcPr>
            <w:tcW w:w="709" w:type="dxa"/>
            <w:tcBorders>
              <w:top w:val="single" w:sz="2" w:space="0" w:color="000000"/>
              <w:left w:val="single" w:sz="2" w:space="0" w:color="000000"/>
              <w:bottom w:val="single" w:sz="2" w:space="0" w:color="000000"/>
              <w:right w:val="single" w:sz="2" w:space="0" w:color="000000"/>
            </w:tcBorders>
            <w:vAlign w:val="bottom"/>
          </w:tcPr>
          <w:p w14:paraId="08B7FEA5"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41145</w:t>
            </w:r>
          </w:p>
        </w:tc>
        <w:tc>
          <w:tcPr>
            <w:tcW w:w="708" w:type="dxa"/>
            <w:tcBorders>
              <w:top w:val="single" w:sz="2" w:space="0" w:color="000000"/>
              <w:left w:val="single" w:sz="2" w:space="0" w:color="000000"/>
              <w:bottom w:val="single" w:sz="2" w:space="0" w:color="000000"/>
              <w:right w:val="single" w:sz="2" w:space="0" w:color="000000"/>
            </w:tcBorders>
            <w:vAlign w:val="bottom"/>
          </w:tcPr>
          <w:p w14:paraId="15B0B093"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42197</w:t>
            </w:r>
          </w:p>
        </w:tc>
        <w:tc>
          <w:tcPr>
            <w:tcW w:w="851" w:type="dxa"/>
            <w:tcBorders>
              <w:top w:val="single" w:sz="2" w:space="0" w:color="000000"/>
              <w:left w:val="single" w:sz="2" w:space="0" w:color="000000"/>
              <w:bottom w:val="single" w:sz="2" w:space="0" w:color="000000"/>
              <w:right w:val="single" w:sz="2" w:space="0" w:color="000000"/>
            </w:tcBorders>
            <w:vAlign w:val="bottom"/>
          </w:tcPr>
          <w:p w14:paraId="3672A675"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39373</w:t>
            </w:r>
          </w:p>
        </w:tc>
        <w:tc>
          <w:tcPr>
            <w:tcW w:w="850" w:type="dxa"/>
            <w:tcBorders>
              <w:top w:val="single" w:sz="2" w:space="0" w:color="000000"/>
              <w:left w:val="single" w:sz="2" w:space="0" w:color="000000"/>
              <w:bottom w:val="single" w:sz="2" w:space="0" w:color="000000"/>
              <w:right w:val="single" w:sz="2" w:space="0" w:color="000000"/>
            </w:tcBorders>
            <w:vAlign w:val="bottom"/>
          </w:tcPr>
          <w:p w14:paraId="6768B30A"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39325</w:t>
            </w:r>
          </w:p>
        </w:tc>
        <w:tc>
          <w:tcPr>
            <w:tcW w:w="851" w:type="dxa"/>
            <w:tcBorders>
              <w:top w:val="single" w:sz="2" w:space="0" w:color="000000"/>
              <w:left w:val="single" w:sz="2" w:space="0" w:color="000000"/>
              <w:bottom w:val="single" w:sz="2" w:space="0" w:color="000000"/>
              <w:right w:val="single" w:sz="2" w:space="0" w:color="000000"/>
            </w:tcBorders>
            <w:vAlign w:val="bottom"/>
          </w:tcPr>
          <w:p w14:paraId="36A96CFC"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39281</w:t>
            </w:r>
          </w:p>
        </w:tc>
        <w:tc>
          <w:tcPr>
            <w:tcW w:w="709" w:type="dxa"/>
            <w:tcBorders>
              <w:top w:val="single" w:sz="2" w:space="0" w:color="000000"/>
              <w:left w:val="single" w:sz="2" w:space="0" w:color="000000"/>
              <w:bottom w:val="single" w:sz="2" w:space="0" w:color="000000"/>
              <w:right w:val="single" w:sz="2" w:space="0" w:color="000000"/>
            </w:tcBorders>
            <w:vAlign w:val="bottom"/>
          </w:tcPr>
          <w:p w14:paraId="1CC6DE09"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37445</w:t>
            </w:r>
          </w:p>
        </w:tc>
        <w:tc>
          <w:tcPr>
            <w:tcW w:w="708" w:type="dxa"/>
            <w:tcBorders>
              <w:top w:val="single" w:sz="2" w:space="0" w:color="000000"/>
              <w:left w:val="single" w:sz="2" w:space="0" w:color="000000"/>
              <w:bottom w:val="single" w:sz="2" w:space="0" w:color="000000"/>
              <w:right w:val="single" w:sz="2" w:space="0" w:color="000000"/>
            </w:tcBorders>
            <w:vAlign w:val="bottom"/>
          </w:tcPr>
          <w:p w14:paraId="1440B49F"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37 180</w:t>
            </w:r>
          </w:p>
        </w:tc>
        <w:tc>
          <w:tcPr>
            <w:tcW w:w="709" w:type="dxa"/>
            <w:tcBorders>
              <w:top w:val="single" w:sz="2" w:space="0" w:color="000000"/>
              <w:left w:val="single" w:sz="2" w:space="0" w:color="000000"/>
              <w:bottom w:val="single" w:sz="2" w:space="0" w:color="000000"/>
              <w:right w:val="single" w:sz="2" w:space="0" w:color="000000"/>
            </w:tcBorders>
            <w:vAlign w:val="bottom"/>
          </w:tcPr>
          <w:p w14:paraId="115DF7D4"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36 538</w:t>
            </w:r>
          </w:p>
        </w:tc>
        <w:tc>
          <w:tcPr>
            <w:tcW w:w="709" w:type="dxa"/>
            <w:tcBorders>
              <w:top w:val="single" w:sz="2" w:space="0" w:color="000000"/>
              <w:left w:val="single" w:sz="2" w:space="0" w:color="000000"/>
              <w:bottom w:val="single" w:sz="2" w:space="0" w:color="000000"/>
              <w:right w:val="single" w:sz="2" w:space="0" w:color="000000"/>
            </w:tcBorders>
            <w:vAlign w:val="bottom"/>
          </w:tcPr>
          <w:p w14:paraId="5CF93F1B"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35 950</w:t>
            </w:r>
          </w:p>
        </w:tc>
        <w:tc>
          <w:tcPr>
            <w:tcW w:w="709" w:type="dxa"/>
            <w:tcBorders>
              <w:top w:val="single" w:sz="2" w:space="0" w:color="000000"/>
              <w:left w:val="single" w:sz="2" w:space="0" w:color="000000"/>
              <w:bottom w:val="single" w:sz="2" w:space="0" w:color="000000"/>
              <w:right w:val="single" w:sz="2" w:space="0" w:color="000000"/>
            </w:tcBorders>
            <w:vAlign w:val="bottom"/>
          </w:tcPr>
          <w:p w14:paraId="60F6C666"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35 340</w:t>
            </w:r>
          </w:p>
        </w:tc>
        <w:tc>
          <w:tcPr>
            <w:tcW w:w="708" w:type="dxa"/>
            <w:tcBorders>
              <w:top w:val="single" w:sz="2" w:space="0" w:color="000000"/>
              <w:left w:val="single" w:sz="2" w:space="0" w:color="000000"/>
              <w:bottom w:val="single" w:sz="2" w:space="0" w:color="000000"/>
              <w:right w:val="single" w:sz="2" w:space="0" w:color="000000"/>
            </w:tcBorders>
            <w:vAlign w:val="bottom"/>
          </w:tcPr>
          <w:p w14:paraId="76261DDA"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34 518</w:t>
            </w:r>
          </w:p>
        </w:tc>
      </w:tr>
      <w:tr w:rsidR="004D4A28" w14:paraId="22466E7D" w14:textId="77777777" w:rsidTr="00361368">
        <w:trPr>
          <w:trHeight w:val="273"/>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4DA170D5" w14:textId="77777777" w:rsidR="004D4A28" w:rsidRDefault="004D4A28" w:rsidP="00361368">
            <w:pPr>
              <w:spacing w:line="259" w:lineRule="auto"/>
            </w:pPr>
            <w:r>
              <w:rPr>
                <w:sz w:val="18"/>
              </w:rPr>
              <w:t xml:space="preserve">UTCF </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5728B06" w14:textId="77777777" w:rsidR="004D4A28" w:rsidRPr="00637624" w:rsidRDefault="004D4A28" w:rsidP="00361368">
            <w:pPr>
              <w:spacing w:line="259" w:lineRule="auto"/>
              <w:ind w:left="19"/>
              <w:jc w:val="center"/>
              <w:rPr>
                <w:sz w:val="18"/>
                <w:szCs w:val="18"/>
              </w:rPr>
            </w:pPr>
            <w:r w:rsidRPr="00944589">
              <w:rPr>
                <w:rFonts w:asciiTheme="majorHAnsi" w:hAnsiTheme="majorHAnsi"/>
                <w:sz w:val="16"/>
                <w:szCs w:val="16"/>
              </w:rPr>
              <w:t>933</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64C3161"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3670</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40F4C07"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1693</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9E470B4"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1189</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BC459CB" w14:textId="77777777" w:rsidR="004D4A28" w:rsidRPr="00637624" w:rsidRDefault="004D4A28" w:rsidP="00361368">
            <w:pPr>
              <w:spacing w:line="259" w:lineRule="auto"/>
              <w:ind w:left="106"/>
              <w:rPr>
                <w:rFonts w:ascii="Calibri" w:hAnsi="Calibri" w:cs="Calibri"/>
                <w:b/>
                <w:bCs/>
                <w:color w:val="000000"/>
                <w:sz w:val="18"/>
                <w:szCs w:val="18"/>
              </w:rPr>
            </w:pPr>
            <w:r w:rsidRPr="00634E4C">
              <w:rPr>
                <w:rFonts w:asciiTheme="majorHAnsi" w:hAnsiTheme="majorHAnsi"/>
                <w:sz w:val="16"/>
              </w:rPr>
              <w:t>1130</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6B5A79F"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1078</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1EC67BC"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1138</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554837E"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1 128</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6455DB3"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1 127</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E288F91"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1 127</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5188AF6"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1 127</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997DEAE"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1 127</w:t>
            </w:r>
          </w:p>
        </w:tc>
      </w:tr>
      <w:tr w:rsidR="004D4A28" w14:paraId="32C0AD59" w14:textId="77777777" w:rsidTr="00361368">
        <w:trPr>
          <w:trHeight w:val="277"/>
        </w:trPr>
        <w:tc>
          <w:tcPr>
            <w:tcW w:w="1121" w:type="dxa"/>
            <w:tcBorders>
              <w:top w:val="single" w:sz="2" w:space="0" w:color="000000"/>
              <w:left w:val="single" w:sz="2" w:space="0" w:color="000000"/>
              <w:bottom w:val="single" w:sz="2" w:space="0" w:color="000000"/>
              <w:right w:val="single" w:sz="2" w:space="0" w:color="000000"/>
            </w:tcBorders>
          </w:tcPr>
          <w:p w14:paraId="03096A82" w14:textId="77777777" w:rsidR="004D4A28" w:rsidRDefault="004D4A28" w:rsidP="00361368">
            <w:pPr>
              <w:spacing w:line="259" w:lineRule="auto"/>
            </w:pPr>
            <w:r>
              <w:rPr>
                <w:sz w:val="18"/>
              </w:rPr>
              <w:t xml:space="preserve">Déchets </w:t>
            </w:r>
          </w:p>
        </w:tc>
        <w:tc>
          <w:tcPr>
            <w:tcW w:w="851" w:type="dxa"/>
            <w:tcBorders>
              <w:top w:val="single" w:sz="2" w:space="0" w:color="000000"/>
              <w:left w:val="single" w:sz="2" w:space="0" w:color="000000"/>
              <w:bottom w:val="single" w:sz="2" w:space="0" w:color="000000"/>
              <w:right w:val="single" w:sz="2" w:space="0" w:color="000000"/>
            </w:tcBorders>
            <w:vAlign w:val="bottom"/>
          </w:tcPr>
          <w:p w14:paraId="1B47C071" w14:textId="77777777" w:rsidR="004D4A28" w:rsidRPr="00637624" w:rsidRDefault="004D4A28" w:rsidP="00361368">
            <w:pPr>
              <w:spacing w:line="259" w:lineRule="auto"/>
              <w:ind w:left="106"/>
              <w:rPr>
                <w:sz w:val="18"/>
                <w:szCs w:val="18"/>
              </w:rPr>
            </w:pPr>
            <w:r w:rsidRPr="00944589">
              <w:rPr>
                <w:rFonts w:asciiTheme="majorHAnsi" w:hAnsiTheme="majorHAnsi"/>
                <w:sz w:val="16"/>
                <w:szCs w:val="16"/>
              </w:rPr>
              <w:t>14318</w:t>
            </w:r>
          </w:p>
        </w:tc>
        <w:tc>
          <w:tcPr>
            <w:tcW w:w="709" w:type="dxa"/>
            <w:tcBorders>
              <w:top w:val="single" w:sz="2" w:space="0" w:color="000000"/>
              <w:left w:val="single" w:sz="2" w:space="0" w:color="000000"/>
              <w:bottom w:val="single" w:sz="2" w:space="0" w:color="000000"/>
              <w:right w:val="single" w:sz="2" w:space="0" w:color="000000"/>
            </w:tcBorders>
            <w:vAlign w:val="bottom"/>
          </w:tcPr>
          <w:p w14:paraId="2AAE5FE8"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17099</w:t>
            </w:r>
          </w:p>
        </w:tc>
        <w:tc>
          <w:tcPr>
            <w:tcW w:w="708" w:type="dxa"/>
            <w:tcBorders>
              <w:top w:val="single" w:sz="2" w:space="0" w:color="000000"/>
              <w:left w:val="single" w:sz="2" w:space="0" w:color="000000"/>
              <w:bottom w:val="single" w:sz="2" w:space="0" w:color="000000"/>
              <w:right w:val="single" w:sz="2" w:space="0" w:color="000000"/>
            </w:tcBorders>
            <w:vAlign w:val="bottom"/>
          </w:tcPr>
          <w:p w14:paraId="7EA2223E" w14:textId="77777777" w:rsidR="004D4A28" w:rsidRPr="00637624" w:rsidRDefault="004D4A28" w:rsidP="00361368">
            <w:pPr>
              <w:spacing w:line="259" w:lineRule="auto"/>
              <w:ind w:left="106"/>
              <w:rPr>
                <w:rFonts w:ascii="Calibri" w:hAnsi="Calibri" w:cs="Calibri"/>
                <w:b/>
                <w:bCs/>
                <w:color w:val="000000"/>
                <w:sz w:val="18"/>
                <w:szCs w:val="18"/>
              </w:rPr>
            </w:pPr>
            <w:r w:rsidRPr="00634E4C">
              <w:rPr>
                <w:rFonts w:asciiTheme="majorHAnsi" w:hAnsiTheme="majorHAnsi"/>
                <w:sz w:val="16"/>
              </w:rPr>
              <w:t>18602</w:t>
            </w:r>
          </w:p>
        </w:tc>
        <w:tc>
          <w:tcPr>
            <w:tcW w:w="851" w:type="dxa"/>
            <w:tcBorders>
              <w:top w:val="single" w:sz="2" w:space="0" w:color="000000"/>
              <w:left w:val="single" w:sz="2" w:space="0" w:color="000000"/>
              <w:bottom w:val="single" w:sz="2" w:space="0" w:color="000000"/>
              <w:right w:val="single" w:sz="2" w:space="0" w:color="000000"/>
            </w:tcBorders>
            <w:vAlign w:val="bottom"/>
          </w:tcPr>
          <w:p w14:paraId="2D0891FF"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19129</w:t>
            </w:r>
          </w:p>
        </w:tc>
        <w:tc>
          <w:tcPr>
            <w:tcW w:w="850" w:type="dxa"/>
            <w:tcBorders>
              <w:top w:val="single" w:sz="2" w:space="0" w:color="000000"/>
              <w:left w:val="single" w:sz="2" w:space="0" w:color="000000"/>
              <w:bottom w:val="single" w:sz="2" w:space="0" w:color="000000"/>
              <w:right w:val="single" w:sz="2" w:space="0" w:color="000000"/>
            </w:tcBorders>
            <w:vAlign w:val="bottom"/>
          </w:tcPr>
          <w:p w14:paraId="3CD5A5A6"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18487</w:t>
            </w:r>
          </w:p>
        </w:tc>
        <w:tc>
          <w:tcPr>
            <w:tcW w:w="851" w:type="dxa"/>
            <w:tcBorders>
              <w:top w:val="single" w:sz="2" w:space="0" w:color="000000"/>
              <w:left w:val="single" w:sz="2" w:space="0" w:color="000000"/>
              <w:bottom w:val="single" w:sz="2" w:space="0" w:color="000000"/>
              <w:right w:val="single" w:sz="2" w:space="0" w:color="000000"/>
            </w:tcBorders>
            <w:vAlign w:val="bottom"/>
          </w:tcPr>
          <w:p w14:paraId="6B40AC1E"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15753</w:t>
            </w:r>
          </w:p>
        </w:tc>
        <w:tc>
          <w:tcPr>
            <w:tcW w:w="709" w:type="dxa"/>
            <w:tcBorders>
              <w:top w:val="single" w:sz="2" w:space="0" w:color="000000"/>
              <w:left w:val="single" w:sz="2" w:space="0" w:color="000000"/>
              <w:bottom w:val="single" w:sz="2" w:space="0" w:color="000000"/>
              <w:right w:val="single" w:sz="2" w:space="0" w:color="000000"/>
            </w:tcBorders>
            <w:vAlign w:val="bottom"/>
          </w:tcPr>
          <w:p w14:paraId="2B17DA6F"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15830</w:t>
            </w:r>
          </w:p>
        </w:tc>
        <w:tc>
          <w:tcPr>
            <w:tcW w:w="708" w:type="dxa"/>
            <w:tcBorders>
              <w:top w:val="single" w:sz="2" w:space="0" w:color="000000"/>
              <w:left w:val="single" w:sz="2" w:space="0" w:color="000000"/>
              <w:bottom w:val="single" w:sz="2" w:space="0" w:color="000000"/>
              <w:right w:val="single" w:sz="2" w:space="0" w:color="000000"/>
            </w:tcBorders>
            <w:vAlign w:val="bottom"/>
          </w:tcPr>
          <w:p w14:paraId="4D239E94"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15 594</w:t>
            </w:r>
          </w:p>
        </w:tc>
        <w:tc>
          <w:tcPr>
            <w:tcW w:w="709" w:type="dxa"/>
            <w:tcBorders>
              <w:top w:val="single" w:sz="2" w:space="0" w:color="000000"/>
              <w:left w:val="single" w:sz="2" w:space="0" w:color="000000"/>
              <w:bottom w:val="single" w:sz="2" w:space="0" w:color="000000"/>
              <w:right w:val="single" w:sz="2" w:space="0" w:color="000000"/>
            </w:tcBorders>
            <w:vAlign w:val="bottom"/>
          </w:tcPr>
          <w:p w14:paraId="6A876DD4"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14 700</w:t>
            </w:r>
          </w:p>
        </w:tc>
        <w:tc>
          <w:tcPr>
            <w:tcW w:w="709" w:type="dxa"/>
            <w:tcBorders>
              <w:top w:val="single" w:sz="2" w:space="0" w:color="000000"/>
              <w:left w:val="single" w:sz="2" w:space="0" w:color="000000"/>
              <w:bottom w:val="single" w:sz="2" w:space="0" w:color="000000"/>
              <w:right w:val="single" w:sz="2" w:space="0" w:color="000000"/>
            </w:tcBorders>
            <w:vAlign w:val="bottom"/>
          </w:tcPr>
          <w:p w14:paraId="688D4497" w14:textId="77777777" w:rsidR="004D4A28" w:rsidRPr="00637624" w:rsidRDefault="004D4A28" w:rsidP="00361368">
            <w:pPr>
              <w:spacing w:line="259" w:lineRule="auto"/>
              <w:ind w:left="106"/>
              <w:jc w:val="center"/>
              <w:rPr>
                <w:rFonts w:ascii="Calibri" w:hAnsi="Calibri" w:cs="Calibri"/>
                <w:b/>
                <w:bCs/>
                <w:color w:val="000000"/>
                <w:sz w:val="18"/>
                <w:szCs w:val="18"/>
              </w:rPr>
            </w:pPr>
            <w:r w:rsidRPr="00637624">
              <w:rPr>
                <w:rFonts w:ascii="Calibri" w:hAnsi="Calibri" w:cs="Calibri"/>
                <w:b/>
                <w:bCs/>
                <w:color w:val="000000"/>
                <w:sz w:val="18"/>
                <w:szCs w:val="18"/>
              </w:rPr>
              <w:t>14 232</w:t>
            </w:r>
          </w:p>
        </w:tc>
        <w:tc>
          <w:tcPr>
            <w:tcW w:w="709" w:type="dxa"/>
            <w:tcBorders>
              <w:top w:val="single" w:sz="2" w:space="0" w:color="000000"/>
              <w:left w:val="single" w:sz="2" w:space="0" w:color="000000"/>
              <w:bottom w:val="single" w:sz="2" w:space="0" w:color="000000"/>
              <w:right w:val="single" w:sz="2" w:space="0" w:color="000000"/>
            </w:tcBorders>
            <w:vAlign w:val="bottom"/>
          </w:tcPr>
          <w:p w14:paraId="0E8D4840" w14:textId="77777777" w:rsidR="004D4A28" w:rsidRPr="00637624" w:rsidRDefault="004D4A28" w:rsidP="00361368">
            <w:pPr>
              <w:spacing w:line="259" w:lineRule="auto"/>
              <w:ind w:left="106"/>
              <w:jc w:val="center"/>
              <w:rPr>
                <w:rFonts w:ascii="Calibri" w:hAnsi="Calibri" w:cs="Calibri"/>
                <w:b/>
                <w:bCs/>
                <w:color w:val="000000"/>
                <w:sz w:val="18"/>
                <w:szCs w:val="18"/>
              </w:rPr>
            </w:pPr>
            <w:r w:rsidRPr="00637624">
              <w:rPr>
                <w:rFonts w:ascii="Calibri" w:hAnsi="Calibri" w:cs="Calibri"/>
                <w:b/>
                <w:bCs/>
                <w:color w:val="000000"/>
                <w:sz w:val="18"/>
                <w:szCs w:val="18"/>
              </w:rPr>
              <w:t>14 146</w:t>
            </w:r>
          </w:p>
        </w:tc>
        <w:tc>
          <w:tcPr>
            <w:tcW w:w="708" w:type="dxa"/>
            <w:tcBorders>
              <w:top w:val="single" w:sz="2" w:space="0" w:color="000000"/>
              <w:left w:val="single" w:sz="2" w:space="0" w:color="000000"/>
              <w:bottom w:val="single" w:sz="2" w:space="0" w:color="000000"/>
              <w:right w:val="single" w:sz="2" w:space="0" w:color="000000"/>
            </w:tcBorders>
            <w:vAlign w:val="bottom"/>
          </w:tcPr>
          <w:p w14:paraId="5D19683C" w14:textId="77777777" w:rsidR="004D4A28" w:rsidRPr="00637624" w:rsidRDefault="004D4A28" w:rsidP="00361368">
            <w:pPr>
              <w:spacing w:line="259" w:lineRule="auto"/>
              <w:ind w:left="106"/>
              <w:jc w:val="center"/>
              <w:rPr>
                <w:rFonts w:ascii="Calibri" w:hAnsi="Calibri" w:cs="Calibri"/>
                <w:b/>
                <w:bCs/>
                <w:color w:val="000000"/>
                <w:sz w:val="18"/>
                <w:szCs w:val="18"/>
              </w:rPr>
            </w:pPr>
            <w:r w:rsidRPr="00637624">
              <w:rPr>
                <w:rFonts w:ascii="Calibri" w:hAnsi="Calibri" w:cs="Calibri"/>
                <w:b/>
                <w:bCs/>
                <w:color w:val="000000"/>
                <w:sz w:val="18"/>
                <w:szCs w:val="18"/>
              </w:rPr>
              <w:t>14 260</w:t>
            </w:r>
          </w:p>
        </w:tc>
      </w:tr>
      <w:tr w:rsidR="004D4A28" w14:paraId="306B2838" w14:textId="77777777" w:rsidTr="00361368">
        <w:trPr>
          <w:trHeight w:val="275"/>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24C70A39" w14:textId="77777777" w:rsidR="004D4A28" w:rsidRDefault="004D4A28" w:rsidP="00361368">
            <w:pPr>
              <w:spacing w:line="259" w:lineRule="auto"/>
            </w:pPr>
            <w:r>
              <w:rPr>
                <w:b/>
                <w:sz w:val="18"/>
              </w:rPr>
              <w:t xml:space="preserve">Ensemble (hors UTCF) </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2DFECDA" w14:textId="77777777" w:rsidR="004D4A28" w:rsidRPr="00637624" w:rsidRDefault="004D4A28" w:rsidP="00361368">
            <w:pPr>
              <w:spacing w:line="259" w:lineRule="auto"/>
              <w:ind w:left="106"/>
              <w:rPr>
                <w:sz w:val="18"/>
                <w:szCs w:val="18"/>
              </w:rPr>
            </w:pPr>
            <w:r w:rsidRPr="00944589">
              <w:rPr>
                <w:rFonts w:asciiTheme="majorHAnsi" w:hAnsiTheme="majorHAnsi"/>
                <w:sz w:val="16"/>
                <w:szCs w:val="16"/>
              </w:rPr>
              <w:t>69161</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38E06E3"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70383</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AAB2C4D"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68603</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3CF5DC9"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63632</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54DE3B9"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61663</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8262C37"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57862</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B7B0521"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55740</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980CA4F"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55 161</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CDE1457"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53 575</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EBF06B4"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52 448</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170EA9A"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51 719</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3E4ED29"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51 050</w:t>
            </w:r>
          </w:p>
        </w:tc>
      </w:tr>
      <w:tr w:rsidR="004D4A28" w14:paraId="56B27C1D" w14:textId="77777777" w:rsidTr="00361368">
        <w:trPr>
          <w:trHeight w:val="276"/>
        </w:trPr>
        <w:tc>
          <w:tcPr>
            <w:tcW w:w="1121" w:type="dxa"/>
            <w:tcBorders>
              <w:top w:val="single" w:sz="2" w:space="0" w:color="000000"/>
              <w:left w:val="single" w:sz="2" w:space="0" w:color="000000"/>
              <w:bottom w:val="single" w:sz="2" w:space="0" w:color="000000"/>
              <w:right w:val="single" w:sz="2" w:space="0" w:color="000000"/>
            </w:tcBorders>
          </w:tcPr>
          <w:p w14:paraId="19F2BC98" w14:textId="77777777" w:rsidR="004D4A28" w:rsidRDefault="004D4A28" w:rsidP="00361368">
            <w:pPr>
              <w:spacing w:line="259" w:lineRule="auto"/>
            </w:pPr>
            <w:r>
              <w:rPr>
                <w:b/>
                <w:sz w:val="18"/>
              </w:rPr>
              <w:t xml:space="preserve">Ensemble (avec UTCF) </w:t>
            </w:r>
          </w:p>
        </w:tc>
        <w:tc>
          <w:tcPr>
            <w:tcW w:w="851" w:type="dxa"/>
            <w:tcBorders>
              <w:top w:val="single" w:sz="2" w:space="0" w:color="000000"/>
              <w:left w:val="single" w:sz="2" w:space="0" w:color="000000"/>
              <w:bottom w:val="single" w:sz="2" w:space="0" w:color="000000"/>
              <w:right w:val="single" w:sz="2" w:space="0" w:color="000000"/>
            </w:tcBorders>
            <w:vAlign w:val="bottom"/>
          </w:tcPr>
          <w:p w14:paraId="1039DB4E" w14:textId="77777777" w:rsidR="004D4A28" w:rsidRPr="00637624" w:rsidRDefault="004D4A28" w:rsidP="00361368">
            <w:pPr>
              <w:spacing w:line="259" w:lineRule="auto"/>
              <w:ind w:left="106"/>
              <w:rPr>
                <w:sz w:val="18"/>
                <w:szCs w:val="18"/>
              </w:rPr>
            </w:pPr>
            <w:r w:rsidRPr="00944589">
              <w:rPr>
                <w:rFonts w:asciiTheme="majorHAnsi" w:hAnsiTheme="majorHAnsi"/>
                <w:sz w:val="16"/>
                <w:szCs w:val="16"/>
              </w:rPr>
              <w:t>70094</w:t>
            </w:r>
          </w:p>
        </w:tc>
        <w:tc>
          <w:tcPr>
            <w:tcW w:w="709" w:type="dxa"/>
            <w:tcBorders>
              <w:top w:val="single" w:sz="2" w:space="0" w:color="000000"/>
              <w:left w:val="single" w:sz="2" w:space="0" w:color="000000"/>
              <w:bottom w:val="single" w:sz="2" w:space="0" w:color="000000"/>
              <w:right w:val="single" w:sz="2" w:space="0" w:color="000000"/>
            </w:tcBorders>
            <w:vAlign w:val="bottom"/>
          </w:tcPr>
          <w:p w14:paraId="169EE8C6"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74053</w:t>
            </w:r>
          </w:p>
        </w:tc>
        <w:tc>
          <w:tcPr>
            <w:tcW w:w="708" w:type="dxa"/>
            <w:tcBorders>
              <w:top w:val="single" w:sz="2" w:space="0" w:color="000000"/>
              <w:left w:val="single" w:sz="2" w:space="0" w:color="000000"/>
              <w:bottom w:val="single" w:sz="2" w:space="0" w:color="000000"/>
              <w:right w:val="single" w:sz="2" w:space="0" w:color="000000"/>
            </w:tcBorders>
            <w:vAlign w:val="bottom"/>
          </w:tcPr>
          <w:p w14:paraId="6954B890"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70296</w:t>
            </w:r>
          </w:p>
        </w:tc>
        <w:tc>
          <w:tcPr>
            <w:tcW w:w="851" w:type="dxa"/>
            <w:tcBorders>
              <w:top w:val="single" w:sz="2" w:space="0" w:color="000000"/>
              <w:left w:val="single" w:sz="2" w:space="0" w:color="000000"/>
              <w:bottom w:val="single" w:sz="2" w:space="0" w:color="000000"/>
              <w:right w:val="single" w:sz="2" w:space="0" w:color="000000"/>
            </w:tcBorders>
            <w:vAlign w:val="bottom"/>
          </w:tcPr>
          <w:p w14:paraId="723954D6"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64820</w:t>
            </w:r>
          </w:p>
        </w:tc>
        <w:tc>
          <w:tcPr>
            <w:tcW w:w="850" w:type="dxa"/>
            <w:tcBorders>
              <w:top w:val="single" w:sz="2" w:space="0" w:color="000000"/>
              <w:left w:val="single" w:sz="2" w:space="0" w:color="000000"/>
              <w:bottom w:val="single" w:sz="2" w:space="0" w:color="000000"/>
              <w:right w:val="single" w:sz="2" w:space="0" w:color="000000"/>
            </w:tcBorders>
            <w:vAlign w:val="bottom"/>
          </w:tcPr>
          <w:p w14:paraId="1C787E7F"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62793</w:t>
            </w:r>
          </w:p>
        </w:tc>
        <w:tc>
          <w:tcPr>
            <w:tcW w:w="851" w:type="dxa"/>
            <w:tcBorders>
              <w:top w:val="single" w:sz="2" w:space="0" w:color="000000"/>
              <w:left w:val="single" w:sz="2" w:space="0" w:color="000000"/>
              <w:bottom w:val="single" w:sz="2" w:space="0" w:color="000000"/>
              <w:right w:val="single" w:sz="2" w:space="0" w:color="000000"/>
            </w:tcBorders>
            <w:vAlign w:val="bottom"/>
          </w:tcPr>
          <w:p w14:paraId="55997F37"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58940</w:t>
            </w:r>
          </w:p>
        </w:tc>
        <w:tc>
          <w:tcPr>
            <w:tcW w:w="709" w:type="dxa"/>
            <w:tcBorders>
              <w:top w:val="single" w:sz="2" w:space="0" w:color="000000"/>
              <w:left w:val="single" w:sz="2" w:space="0" w:color="000000"/>
              <w:bottom w:val="single" w:sz="2" w:space="0" w:color="000000"/>
              <w:right w:val="single" w:sz="2" w:space="0" w:color="000000"/>
            </w:tcBorders>
            <w:vAlign w:val="bottom"/>
          </w:tcPr>
          <w:p w14:paraId="7CB239D8" w14:textId="77777777" w:rsidR="004D4A28" w:rsidRPr="00637624" w:rsidRDefault="004D4A28" w:rsidP="00361368">
            <w:pPr>
              <w:spacing w:line="259" w:lineRule="auto"/>
              <w:ind w:left="106"/>
              <w:rPr>
                <w:rFonts w:ascii="Calibri" w:hAnsi="Calibri" w:cs="Calibri"/>
                <w:b/>
                <w:bCs/>
                <w:color w:val="000000"/>
                <w:sz w:val="18"/>
                <w:szCs w:val="18"/>
              </w:rPr>
            </w:pPr>
            <w:r w:rsidRPr="00944589">
              <w:rPr>
                <w:rFonts w:asciiTheme="majorHAnsi" w:hAnsiTheme="majorHAnsi"/>
                <w:sz w:val="16"/>
                <w:szCs w:val="16"/>
              </w:rPr>
              <w:t>56877</w:t>
            </w:r>
          </w:p>
        </w:tc>
        <w:tc>
          <w:tcPr>
            <w:tcW w:w="708" w:type="dxa"/>
            <w:tcBorders>
              <w:top w:val="single" w:sz="2" w:space="0" w:color="000000"/>
              <w:left w:val="single" w:sz="2" w:space="0" w:color="000000"/>
              <w:bottom w:val="single" w:sz="2" w:space="0" w:color="000000"/>
              <w:right w:val="single" w:sz="2" w:space="0" w:color="000000"/>
            </w:tcBorders>
            <w:vAlign w:val="bottom"/>
          </w:tcPr>
          <w:p w14:paraId="5C61FDA4"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56 289</w:t>
            </w:r>
          </w:p>
        </w:tc>
        <w:tc>
          <w:tcPr>
            <w:tcW w:w="709" w:type="dxa"/>
            <w:tcBorders>
              <w:top w:val="single" w:sz="2" w:space="0" w:color="000000"/>
              <w:left w:val="single" w:sz="2" w:space="0" w:color="000000"/>
              <w:bottom w:val="single" w:sz="2" w:space="0" w:color="000000"/>
              <w:right w:val="single" w:sz="2" w:space="0" w:color="000000"/>
            </w:tcBorders>
            <w:vAlign w:val="bottom"/>
          </w:tcPr>
          <w:p w14:paraId="364C6541"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54 702</w:t>
            </w:r>
          </w:p>
        </w:tc>
        <w:tc>
          <w:tcPr>
            <w:tcW w:w="709" w:type="dxa"/>
            <w:tcBorders>
              <w:top w:val="single" w:sz="2" w:space="0" w:color="000000"/>
              <w:left w:val="single" w:sz="2" w:space="0" w:color="000000"/>
              <w:bottom w:val="single" w:sz="2" w:space="0" w:color="000000"/>
              <w:right w:val="single" w:sz="2" w:space="0" w:color="000000"/>
            </w:tcBorders>
            <w:vAlign w:val="bottom"/>
          </w:tcPr>
          <w:p w14:paraId="2BD53EF0"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53 575</w:t>
            </w:r>
          </w:p>
        </w:tc>
        <w:tc>
          <w:tcPr>
            <w:tcW w:w="709" w:type="dxa"/>
            <w:tcBorders>
              <w:top w:val="single" w:sz="2" w:space="0" w:color="000000"/>
              <w:left w:val="single" w:sz="2" w:space="0" w:color="000000"/>
              <w:bottom w:val="single" w:sz="2" w:space="0" w:color="000000"/>
              <w:right w:val="single" w:sz="2" w:space="0" w:color="000000"/>
            </w:tcBorders>
            <w:vAlign w:val="bottom"/>
          </w:tcPr>
          <w:p w14:paraId="2EDC4C3D"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52 846</w:t>
            </w:r>
          </w:p>
        </w:tc>
        <w:tc>
          <w:tcPr>
            <w:tcW w:w="708" w:type="dxa"/>
            <w:tcBorders>
              <w:top w:val="single" w:sz="2" w:space="0" w:color="000000"/>
              <w:left w:val="single" w:sz="2" w:space="0" w:color="000000"/>
              <w:bottom w:val="single" w:sz="2" w:space="0" w:color="000000"/>
              <w:right w:val="single" w:sz="2" w:space="0" w:color="000000"/>
            </w:tcBorders>
            <w:vAlign w:val="bottom"/>
          </w:tcPr>
          <w:p w14:paraId="54658BD6" w14:textId="77777777" w:rsidR="004D4A28" w:rsidRPr="00637624" w:rsidRDefault="004D4A28" w:rsidP="00361368">
            <w:pPr>
              <w:spacing w:line="259" w:lineRule="auto"/>
              <w:ind w:left="106"/>
              <w:rPr>
                <w:rFonts w:ascii="Calibri" w:hAnsi="Calibri" w:cs="Calibri"/>
                <w:b/>
                <w:bCs/>
                <w:color w:val="000000"/>
                <w:sz w:val="18"/>
                <w:szCs w:val="18"/>
              </w:rPr>
            </w:pPr>
            <w:r w:rsidRPr="00637624">
              <w:rPr>
                <w:rFonts w:ascii="Calibri" w:hAnsi="Calibri" w:cs="Calibri"/>
                <w:b/>
                <w:bCs/>
                <w:color w:val="000000"/>
                <w:sz w:val="18"/>
                <w:szCs w:val="18"/>
              </w:rPr>
              <w:t>52 177</w:t>
            </w:r>
          </w:p>
        </w:tc>
      </w:tr>
    </w:tbl>
    <w:p w14:paraId="1850498B" w14:textId="77777777" w:rsidR="004D4A28" w:rsidRDefault="004D4A28" w:rsidP="004D4A28">
      <w:pPr>
        <w:pStyle w:val="Caption"/>
      </w:pPr>
      <w:bookmarkStart w:id="161" w:name="_Toc123916512"/>
      <w:r>
        <w:t xml:space="preserve">Tableau </w:t>
      </w:r>
      <w:r w:rsidR="00757301">
        <w:fldChar w:fldCharType="begin"/>
      </w:r>
      <w:r w:rsidR="00757301">
        <w:instrText xml:space="preserve"> SEQ Tableau \* ARABIC </w:instrText>
      </w:r>
      <w:r w:rsidR="00757301">
        <w:fldChar w:fldCharType="separate"/>
      </w:r>
      <w:r>
        <w:rPr>
          <w:noProof/>
        </w:rPr>
        <w:t>20</w:t>
      </w:r>
      <w:r w:rsidR="00757301">
        <w:rPr>
          <w:noProof/>
        </w:rPr>
        <w:fldChar w:fldCharType="end"/>
      </w:r>
      <w:r>
        <w:t xml:space="preserve"> </w:t>
      </w:r>
      <w:r w:rsidRPr="00F66E1F">
        <w:t xml:space="preserve">: Projections d’émissions de </w:t>
      </w:r>
      <w:r w:rsidRPr="00141043">
        <w:t>CH</w:t>
      </w:r>
      <w:r w:rsidRPr="004F1EC8">
        <w:rPr>
          <w:vertAlign w:val="subscript"/>
        </w:rPr>
        <w:t>4</w:t>
      </w:r>
      <w:r>
        <w:t xml:space="preserve"> </w:t>
      </w:r>
      <w:r w:rsidRPr="00F66E1F">
        <w:t xml:space="preserve">(en </w:t>
      </w:r>
      <w:r w:rsidRPr="00590551">
        <w:t>kt</w:t>
      </w:r>
      <w:r>
        <w:t>CO</w:t>
      </w:r>
      <w:r w:rsidRPr="007F09F7">
        <w:rPr>
          <w:vertAlign w:val="subscript"/>
        </w:rPr>
        <w:t>2</w:t>
      </w:r>
      <w:r w:rsidRPr="00F66E1F">
        <w:rPr>
          <w:vertAlign w:val="subscript"/>
        </w:rPr>
        <w:t>e</w:t>
      </w:r>
      <w:r w:rsidRPr="00F66E1F">
        <w:t xml:space="preserve">) au périmètre Kyoto dans le scénario AME </w:t>
      </w:r>
      <w:r>
        <w:t xml:space="preserve">2021 </w:t>
      </w:r>
      <w:r w:rsidRPr="00F66E1F">
        <w:t>(avec mesures existantes)</w:t>
      </w:r>
      <w:bookmarkEnd w:id="161"/>
    </w:p>
    <w:p w14:paraId="5B220747" w14:textId="77777777" w:rsidR="004D4A28" w:rsidRPr="006E15FD" w:rsidRDefault="004D4A28" w:rsidP="004D4A28">
      <w:pPr>
        <w:pStyle w:val="Caption"/>
      </w:pPr>
      <w:r w:rsidRPr="006E15FD">
        <w:t>Source : Inventaire CCNUCC, Citepa/MTES, soumission 20</w:t>
      </w:r>
      <w:r>
        <w:t>22</w:t>
      </w:r>
      <w:r w:rsidRPr="006E15FD">
        <w:t xml:space="preserve"> et projections d’émissions MTES, 20</w:t>
      </w:r>
      <w:r>
        <w:t>21</w:t>
      </w:r>
    </w:p>
    <w:p w14:paraId="437E07F5" w14:textId="77777777" w:rsidR="004D4A28" w:rsidRDefault="004D4A28" w:rsidP="004D4A28"/>
    <w:p w14:paraId="550421B0" w14:textId="77777777" w:rsidR="004D4A28" w:rsidRDefault="004D4A28" w:rsidP="004D4A28"/>
    <w:tbl>
      <w:tblPr>
        <w:tblStyle w:val="TableGrid0"/>
        <w:tblW w:w="10477" w:type="dxa"/>
        <w:tblInd w:w="10" w:type="dxa"/>
        <w:tblLayout w:type="fixed"/>
        <w:tblCellMar>
          <w:top w:w="39" w:type="dxa"/>
          <w:left w:w="28" w:type="dxa"/>
          <w:bottom w:w="2" w:type="dxa"/>
        </w:tblCellMar>
        <w:tblLook w:val="04A0" w:firstRow="1" w:lastRow="0" w:firstColumn="1" w:lastColumn="0" w:noHBand="0" w:noVBand="1"/>
      </w:tblPr>
      <w:tblGrid>
        <w:gridCol w:w="1263"/>
        <w:gridCol w:w="851"/>
        <w:gridCol w:w="708"/>
        <w:gridCol w:w="851"/>
        <w:gridCol w:w="850"/>
        <w:gridCol w:w="851"/>
        <w:gridCol w:w="850"/>
        <w:gridCol w:w="851"/>
        <w:gridCol w:w="851"/>
        <w:gridCol w:w="708"/>
        <w:gridCol w:w="567"/>
        <w:gridCol w:w="567"/>
        <w:gridCol w:w="709"/>
      </w:tblGrid>
      <w:tr w:rsidR="004D4A28" w14:paraId="08AB6A92" w14:textId="77777777" w:rsidTr="00361368">
        <w:trPr>
          <w:trHeight w:val="460"/>
        </w:trPr>
        <w:tc>
          <w:tcPr>
            <w:tcW w:w="126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A8D350E" w14:textId="77777777" w:rsidR="004D4A28" w:rsidRDefault="004D4A28" w:rsidP="00361368">
            <w:pPr>
              <w:spacing w:line="259" w:lineRule="auto"/>
            </w:pPr>
            <w:r>
              <w:t xml:space="preserve">AME 21 – </w:t>
            </w:r>
            <w:r w:rsidRPr="00141043">
              <w:t>N</w:t>
            </w:r>
            <w:r w:rsidRPr="004F1EC8">
              <w:rPr>
                <w:vertAlign w:val="subscript"/>
              </w:rPr>
              <w:t>2</w:t>
            </w:r>
            <w:r w:rsidRPr="00141043">
              <w:t xml:space="preserve">O </w:t>
            </w:r>
          </w:p>
        </w:tc>
        <w:tc>
          <w:tcPr>
            <w:tcW w:w="85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63924F1" w14:textId="77777777" w:rsidR="004D4A28" w:rsidRDefault="004D4A28" w:rsidP="00361368">
            <w:pPr>
              <w:spacing w:line="259" w:lineRule="auto"/>
              <w:ind w:right="30"/>
              <w:jc w:val="center"/>
            </w:pPr>
            <w:r>
              <w:rPr>
                <w:b/>
                <w:color w:val="FFFFFF"/>
                <w:sz w:val="18"/>
              </w:rPr>
              <w:t>1990</w:t>
            </w:r>
          </w:p>
        </w:tc>
        <w:tc>
          <w:tcPr>
            <w:tcW w:w="70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94AF6A2" w14:textId="77777777" w:rsidR="004D4A28" w:rsidRDefault="004D4A28" w:rsidP="00361368">
            <w:pPr>
              <w:spacing w:line="259" w:lineRule="auto"/>
              <w:ind w:right="30"/>
              <w:jc w:val="center"/>
              <w:rPr>
                <w:b/>
                <w:color w:val="FFFFFF"/>
                <w:sz w:val="18"/>
              </w:rPr>
            </w:pPr>
            <w:r>
              <w:rPr>
                <w:b/>
                <w:color w:val="FFFFFF"/>
                <w:sz w:val="18"/>
              </w:rPr>
              <w:t>1995</w:t>
            </w:r>
          </w:p>
        </w:tc>
        <w:tc>
          <w:tcPr>
            <w:tcW w:w="85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BE490D2" w14:textId="77777777" w:rsidR="004D4A28" w:rsidRPr="00637624" w:rsidRDefault="004D4A28" w:rsidP="00361368">
            <w:pPr>
              <w:spacing w:line="259" w:lineRule="auto"/>
              <w:ind w:right="30"/>
              <w:jc w:val="center"/>
              <w:rPr>
                <w:b/>
                <w:color w:val="FFFFFF"/>
                <w:sz w:val="18"/>
              </w:rPr>
            </w:pPr>
            <w:r>
              <w:rPr>
                <w:b/>
                <w:color w:val="FFFFFF"/>
                <w:sz w:val="18"/>
              </w:rPr>
              <w:t>2000</w:t>
            </w:r>
          </w:p>
        </w:tc>
        <w:tc>
          <w:tcPr>
            <w:tcW w:w="85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A94BEAC" w14:textId="77777777" w:rsidR="004D4A28" w:rsidRPr="00637624" w:rsidRDefault="004D4A28" w:rsidP="00361368">
            <w:pPr>
              <w:spacing w:line="259" w:lineRule="auto"/>
              <w:ind w:right="30"/>
              <w:jc w:val="center"/>
              <w:rPr>
                <w:b/>
                <w:color w:val="FFFFFF"/>
                <w:sz w:val="18"/>
              </w:rPr>
            </w:pPr>
            <w:r>
              <w:rPr>
                <w:b/>
                <w:color w:val="FFFFFF"/>
                <w:sz w:val="18"/>
              </w:rPr>
              <w:t>2005</w:t>
            </w:r>
          </w:p>
        </w:tc>
        <w:tc>
          <w:tcPr>
            <w:tcW w:w="85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763CC63" w14:textId="77777777" w:rsidR="004D4A28" w:rsidRPr="00637624" w:rsidRDefault="004D4A28" w:rsidP="00361368">
            <w:pPr>
              <w:spacing w:line="259" w:lineRule="auto"/>
              <w:ind w:right="30"/>
              <w:jc w:val="center"/>
              <w:rPr>
                <w:b/>
                <w:color w:val="FFFFFF"/>
                <w:sz w:val="18"/>
              </w:rPr>
            </w:pPr>
            <w:r>
              <w:rPr>
                <w:b/>
                <w:color w:val="FFFFFF"/>
                <w:sz w:val="18"/>
              </w:rPr>
              <w:t>2010</w:t>
            </w:r>
          </w:p>
        </w:tc>
        <w:tc>
          <w:tcPr>
            <w:tcW w:w="85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AA4CE20" w14:textId="77777777" w:rsidR="004D4A28" w:rsidRPr="00637624" w:rsidRDefault="004D4A28" w:rsidP="00361368">
            <w:pPr>
              <w:spacing w:line="259" w:lineRule="auto"/>
              <w:ind w:right="30"/>
              <w:jc w:val="center"/>
              <w:rPr>
                <w:b/>
                <w:color w:val="FFFFFF"/>
                <w:sz w:val="18"/>
              </w:rPr>
            </w:pPr>
            <w:r>
              <w:rPr>
                <w:b/>
                <w:color w:val="FFFFFF"/>
                <w:sz w:val="18"/>
              </w:rPr>
              <w:t>2015</w:t>
            </w:r>
          </w:p>
        </w:tc>
        <w:tc>
          <w:tcPr>
            <w:tcW w:w="85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F848B80" w14:textId="77777777" w:rsidR="004D4A28" w:rsidRDefault="004D4A28" w:rsidP="00361368">
            <w:pPr>
              <w:spacing w:line="259" w:lineRule="auto"/>
              <w:ind w:right="30"/>
              <w:jc w:val="center"/>
              <w:rPr>
                <w:b/>
                <w:color w:val="FFFFFF"/>
                <w:sz w:val="18"/>
              </w:rPr>
            </w:pPr>
            <w:r>
              <w:rPr>
                <w:b/>
                <w:color w:val="FFFFFF"/>
                <w:sz w:val="18"/>
              </w:rPr>
              <w:t>2019</w:t>
            </w:r>
          </w:p>
        </w:tc>
        <w:tc>
          <w:tcPr>
            <w:tcW w:w="85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AE87A4D" w14:textId="77777777" w:rsidR="004D4A28" w:rsidRPr="00637624" w:rsidRDefault="004D4A28" w:rsidP="00361368">
            <w:pPr>
              <w:spacing w:line="259" w:lineRule="auto"/>
              <w:ind w:right="30"/>
              <w:jc w:val="center"/>
              <w:rPr>
                <w:b/>
                <w:color w:val="FFFFFF"/>
                <w:sz w:val="18"/>
              </w:rPr>
            </w:pPr>
            <w:r>
              <w:rPr>
                <w:b/>
                <w:color w:val="FFFFFF"/>
                <w:sz w:val="18"/>
              </w:rPr>
              <w:t>2020</w:t>
            </w:r>
          </w:p>
        </w:tc>
        <w:tc>
          <w:tcPr>
            <w:tcW w:w="70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3A8BCC9" w14:textId="77777777" w:rsidR="004D4A28" w:rsidRPr="00637624" w:rsidRDefault="004D4A28" w:rsidP="00361368">
            <w:pPr>
              <w:spacing w:line="259" w:lineRule="auto"/>
              <w:ind w:right="30"/>
              <w:jc w:val="center"/>
              <w:rPr>
                <w:b/>
                <w:color w:val="FFFFFF"/>
                <w:sz w:val="18"/>
              </w:rPr>
            </w:pPr>
            <w:r>
              <w:rPr>
                <w:b/>
                <w:color w:val="FFFFFF"/>
                <w:sz w:val="18"/>
              </w:rPr>
              <w:t>2025</w:t>
            </w:r>
          </w:p>
        </w:tc>
        <w:tc>
          <w:tcPr>
            <w:tcW w:w="567"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B5F1234" w14:textId="77777777" w:rsidR="004D4A28" w:rsidRPr="00637624" w:rsidRDefault="004D4A28" w:rsidP="00361368">
            <w:pPr>
              <w:spacing w:line="259" w:lineRule="auto"/>
              <w:ind w:right="30"/>
              <w:jc w:val="center"/>
              <w:rPr>
                <w:b/>
                <w:color w:val="FFFFFF"/>
                <w:sz w:val="18"/>
              </w:rPr>
            </w:pPr>
            <w:r>
              <w:rPr>
                <w:b/>
                <w:color w:val="FFFFFF"/>
                <w:sz w:val="18"/>
              </w:rPr>
              <w:t>2030</w:t>
            </w:r>
          </w:p>
        </w:tc>
        <w:tc>
          <w:tcPr>
            <w:tcW w:w="567"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94A5506" w14:textId="77777777" w:rsidR="004D4A28" w:rsidRPr="00637624" w:rsidRDefault="004D4A28" w:rsidP="00361368">
            <w:pPr>
              <w:spacing w:line="259" w:lineRule="auto"/>
              <w:ind w:right="30"/>
              <w:jc w:val="center"/>
              <w:rPr>
                <w:b/>
                <w:color w:val="FFFFFF"/>
                <w:sz w:val="18"/>
              </w:rPr>
            </w:pPr>
            <w:r>
              <w:rPr>
                <w:b/>
                <w:color w:val="FFFFFF"/>
                <w:sz w:val="18"/>
              </w:rPr>
              <w:t>2035</w:t>
            </w:r>
          </w:p>
        </w:tc>
        <w:tc>
          <w:tcPr>
            <w:tcW w:w="70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3AC6BAC" w14:textId="77777777" w:rsidR="004D4A28" w:rsidRDefault="004D4A28" w:rsidP="00361368">
            <w:pPr>
              <w:spacing w:line="259" w:lineRule="auto"/>
              <w:ind w:right="30"/>
              <w:jc w:val="center"/>
              <w:rPr>
                <w:b/>
                <w:color w:val="FFFFFF"/>
                <w:sz w:val="18"/>
              </w:rPr>
            </w:pPr>
            <w:r>
              <w:rPr>
                <w:b/>
                <w:color w:val="FFFFFF"/>
                <w:sz w:val="18"/>
              </w:rPr>
              <w:t>2050</w:t>
            </w:r>
          </w:p>
        </w:tc>
      </w:tr>
      <w:tr w:rsidR="004D4A28" w14:paraId="789E5463" w14:textId="77777777" w:rsidTr="00361368">
        <w:trPr>
          <w:trHeight w:val="344"/>
        </w:trPr>
        <w:tc>
          <w:tcPr>
            <w:tcW w:w="1263" w:type="dxa"/>
            <w:tcBorders>
              <w:top w:val="single" w:sz="2" w:space="0" w:color="000000"/>
              <w:left w:val="single" w:sz="2" w:space="0" w:color="000000"/>
              <w:bottom w:val="single" w:sz="2" w:space="0" w:color="000000"/>
              <w:right w:val="single" w:sz="2" w:space="0" w:color="000000"/>
            </w:tcBorders>
          </w:tcPr>
          <w:p w14:paraId="332428A6" w14:textId="77777777" w:rsidR="004D4A28" w:rsidRDefault="004D4A28" w:rsidP="00361368">
            <w:pPr>
              <w:spacing w:line="259" w:lineRule="auto"/>
            </w:pPr>
            <w:r>
              <w:rPr>
                <w:sz w:val="18"/>
              </w:rPr>
              <w:t xml:space="preserve">Energie </w:t>
            </w:r>
          </w:p>
        </w:tc>
        <w:tc>
          <w:tcPr>
            <w:tcW w:w="851" w:type="dxa"/>
            <w:tcBorders>
              <w:top w:val="single" w:sz="2" w:space="0" w:color="000000"/>
              <w:left w:val="single" w:sz="2" w:space="0" w:color="000000"/>
              <w:bottom w:val="single" w:sz="2" w:space="0" w:color="000000"/>
              <w:right w:val="single" w:sz="2" w:space="0" w:color="000000"/>
            </w:tcBorders>
            <w:vAlign w:val="center"/>
          </w:tcPr>
          <w:p w14:paraId="0D383855" w14:textId="77777777" w:rsidR="004D4A28" w:rsidRDefault="004D4A28" w:rsidP="00361368">
            <w:pPr>
              <w:spacing w:line="259" w:lineRule="auto"/>
              <w:ind w:right="28"/>
              <w:jc w:val="center"/>
            </w:pPr>
            <w:r w:rsidRPr="005D0955">
              <w:rPr>
                <w:rFonts w:asciiTheme="majorHAnsi" w:hAnsiTheme="majorHAnsi"/>
                <w:sz w:val="18"/>
                <w:szCs w:val="18"/>
              </w:rPr>
              <w:t>3433</w:t>
            </w:r>
          </w:p>
        </w:tc>
        <w:tc>
          <w:tcPr>
            <w:tcW w:w="708" w:type="dxa"/>
            <w:tcBorders>
              <w:top w:val="single" w:sz="2" w:space="0" w:color="000000"/>
              <w:left w:val="single" w:sz="2" w:space="0" w:color="000000"/>
              <w:bottom w:val="single" w:sz="2" w:space="0" w:color="000000"/>
              <w:right w:val="single" w:sz="2" w:space="0" w:color="000000"/>
            </w:tcBorders>
            <w:vAlign w:val="center"/>
          </w:tcPr>
          <w:p w14:paraId="40D5C80E"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4046</w:t>
            </w:r>
          </w:p>
        </w:tc>
        <w:tc>
          <w:tcPr>
            <w:tcW w:w="851" w:type="dxa"/>
            <w:tcBorders>
              <w:top w:val="single" w:sz="2" w:space="0" w:color="000000"/>
              <w:left w:val="single" w:sz="2" w:space="0" w:color="000000"/>
              <w:bottom w:val="single" w:sz="2" w:space="0" w:color="000000"/>
              <w:right w:val="single" w:sz="2" w:space="0" w:color="000000"/>
            </w:tcBorders>
            <w:vAlign w:val="center"/>
          </w:tcPr>
          <w:p w14:paraId="64689D3F"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3900</w:t>
            </w:r>
          </w:p>
        </w:tc>
        <w:tc>
          <w:tcPr>
            <w:tcW w:w="850" w:type="dxa"/>
            <w:tcBorders>
              <w:top w:val="single" w:sz="2" w:space="0" w:color="000000"/>
              <w:left w:val="single" w:sz="2" w:space="0" w:color="000000"/>
              <w:bottom w:val="single" w:sz="2" w:space="0" w:color="000000"/>
              <w:right w:val="single" w:sz="2" w:space="0" w:color="000000"/>
            </w:tcBorders>
            <w:vAlign w:val="center"/>
          </w:tcPr>
          <w:p w14:paraId="1C6563C3"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4183</w:t>
            </w:r>
          </w:p>
        </w:tc>
        <w:tc>
          <w:tcPr>
            <w:tcW w:w="851" w:type="dxa"/>
            <w:tcBorders>
              <w:top w:val="single" w:sz="2" w:space="0" w:color="000000"/>
              <w:left w:val="single" w:sz="2" w:space="0" w:color="000000"/>
              <w:bottom w:val="single" w:sz="2" w:space="0" w:color="000000"/>
              <w:right w:val="single" w:sz="2" w:space="0" w:color="000000"/>
            </w:tcBorders>
            <w:vAlign w:val="center"/>
          </w:tcPr>
          <w:p w14:paraId="78B0FC90"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3638</w:t>
            </w:r>
          </w:p>
        </w:tc>
        <w:tc>
          <w:tcPr>
            <w:tcW w:w="850" w:type="dxa"/>
            <w:tcBorders>
              <w:top w:val="single" w:sz="2" w:space="0" w:color="000000"/>
              <w:left w:val="single" w:sz="2" w:space="0" w:color="000000"/>
              <w:bottom w:val="single" w:sz="2" w:space="0" w:color="000000"/>
              <w:right w:val="single" w:sz="2" w:space="0" w:color="000000"/>
            </w:tcBorders>
            <w:vAlign w:val="center"/>
          </w:tcPr>
          <w:p w14:paraId="38D62084"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3731</w:t>
            </w:r>
          </w:p>
        </w:tc>
        <w:tc>
          <w:tcPr>
            <w:tcW w:w="851" w:type="dxa"/>
            <w:tcBorders>
              <w:top w:val="single" w:sz="2" w:space="0" w:color="000000"/>
              <w:left w:val="single" w:sz="2" w:space="0" w:color="000000"/>
              <w:bottom w:val="single" w:sz="2" w:space="0" w:color="000000"/>
              <w:right w:val="single" w:sz="2" w:space="0" w:color="000000"/>
            </w:tcBorders>
            <w:vAlign w:val="center"/>
          </w:tcPr>
          <w:p w14:paraId="09AA39B4" w14:textId="77777777" w:rsidR="004D4A28"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3537</w:t>
            </w:r>
          </w:p>
        </w:tc>
        <w:tc>
          <w:tcPr>
            <w:tcW w:w="851" w:type="dxa"/>
            <w:tcBorders>
              <w:top w:val="single" w:sz="2" w:space="0" w:color="000000"/>
              <w:left w:val="single" w:sz="2" w:space="0" w:color="000000"/>
              <w:bottom w:val="single" w:sz="2" w:space="0" w:color="000000"/>
              <w:right w:val="single" w:sz="2" w:space="0" w:color="000000"/>
            </w:tcBorders>
            <w:vAlign w:val="center"/>
          </w:tcPr>
          <w:p w14:paraId="62746862"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3 072</w:t>
            </w:r>
          </w:p>
        </w:tc>
        <w:tc>
          <w:tcPr>
            <w:tcW w:w="708" w:type="dxa"/>
            <w:tcBorders>
              <w:top w:val="single" w:sz="2" w:space="0" w:color="000000"/>
              <w:left w:val="single" w:sz="2" w:space="0" w:color="000000"/>
              <w:bottom w:val="single" w:sz="2" w:space="0" w:color="000000"/>
              <w:right w:val="single" w:sz="2" w:space="0" w:color="000000"/>
            </w:tcBorders>
            <w:vAlign w:val="center"/>
          </w:tcPr>
          <w:p w14:paraId="26D56812"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2 933</w:t>
            </w:r>
          </w:p>
        </w:tc>
        <w:tc>
          <w:tcPr>
            <w:tcW w:w="567" w:type="dxa"/>
            <w:tcBorders>
              <w:top w:val="single" w:sz="2" w:space="0" w:color="000000"/>
              <w:left w:val="single" w:sz="2" w:space="0" w:color="000000"/>
              <w:bottom w:val="single" w:sz="2" w:space="0" w:color="000000"/>
              <w:right w:val="single" w:sz="2" w:space="0" w:color="000000"/>
            </w:tcBorders>
            <w:vAlign w:val="center"/>
          </w:tcPr>
          <w:p w14:paraId="640646AA"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2 611</w:t>
            </w:r>
          </w:p>
        </w:tc>
        <w:tc>
          <w:tcPr>
            <w:tcW w:w="567" w:type="dxa"/>
            <w:tcBorders>
              <w:top w:val="single" w:sz="2" w:space="0" w:color="000000"/>
              <w:left w:val="single" w:sz="2" w:space="0" w:color="000000"/>
              <w:bottom w:val="single" w:sz="2" w:space="0" w:color="000000"/>
              <w:right w:val="single" w:sz="2" w:space="0" w:color="000000"/>
            </w:tcBorders>
            <w:vAlign w:val="center"/>
          </w:tcPr>
          <w:p w14:paraId="5FD1D693"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2 495</w:t>
            </w:r>
          </w:p>
        </w:tc>
        <w:tc>
          <w:tcPr>
            <w:tcW w:w="709" w:type="dxa"/>
            <w:tcBorders>
              <w:top w:val="single" w:sz="2" w:space="0" w:color="000000"/>
              <w:left w:val="single" w:sz="2" w:space="0" w:color="000000"/>
              <w:bottom w:val="single" w:sz="2" w:space="0" w:color="000000"/>
              <w:right w:val="single" w:sz="2" w:space="0" w:color="000000"/>
            </w:tcBorders>
            <w:vAlign w:val="center"/>
          </w:tcPr>
          <w:p w14:paraId="1021B80C"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2 281</w:t>
            </w:r>
          </w:p>
        </w:tc>
      </w:tr>
      <w:tr w:rsidR="004D4A28" w14:paraId="2DF7B9BA" w14:textId="77777777" w:rsidTr="00361368">
        <w:trPr>
          <w:trHeight w:val="419"/>
        </w:trPr>
        <w:tc>
          <w:tcPr>
            <w:tcW w:w="1263" w:type="dxa"/>
            <w:tcBorders>
              <w:top w:val="single" w:sz="2" w:space="0" w:color="000000"/>
              <w:left w:val="single" w:sz="2" w:space="0" w:color="000000"/>
              <w:bottom w:val="single" w:sz="2" w:space="0" w:color="000000"/>
              <w:right w:val="single" w:sz="2" w:space="0" w:color="000000"/>
            </w:tcBorders>
            <w:shd w:val="clear" w:color="auto" w:fill="ECE6E2"/>
          </w:tcPr>
          <w:p w14:paraId="6D18445C" w14:textId="77777777" w:rsidR="004D4A28" w:rsidRDefault="004D4A28" w:rsidP="00361368">
            <w:pPr>
              <w:spacing w:line="259" w:lineRule="auto"/>
            </w:pPr>
            <w:r>
              <w:rPr>
                <w:sz w:val="18"/>
              </w:rPr>
              <w:t xml:space="preserve">Procédés industriels, solvants et autres produits </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037AED" w14:textId="77777777" w:rsidR="004D4A28" w:rsidRDefault="004D4A28" w:rsidP="00361368">
            <w:pPr>
              <w:spacing w:line="259" w:lineRule="auto"/>
              <w:ind w:right="28"/>
              <w:jc w:val="center"/>
            </w:pPr>
            <w:r w:rsidRPr="005D0955">
              <w:rPr>
                <w:rFonts w:asciiTheme="majorHAnsi" w:hAnsiTheme="majorHAnsi"/>
                <w:sz w:val="18"/>
                <w:szCs w:val="18"/>
              </w:rPr>
              <w:t>23831</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8FB987" w14:textId="77777777" w:rsidR="004D4A28" w:rsidRPr="00637624" w:rsidRDefault="004D4A28" w:rsidP="00361368">
            <w:pPr>
              <w:spacing w:line="259" w:lineRule="auto"/>
              <w:ind w:right="28"/>
              <w:jc w:val="center"/>
              <w:rPr>
                <w:rFonts w:ascii="Calibri" w:hAnsi="Calibri" w:cs="Calibri"/>
                <w:b/>
                <w:bCs/>
                <w:color w:val="000000"/>
                <w:sz w:val="20"/>
                <w:szCs w:val="20"/>
              </w:rPr>
            </w:pPr>
            <w:r w:rsidRPr="00634E4C">
              <w:rPr>
                <w:rFonts w:asciiTheme="majorHAnsi" w:hAnsiTheme="majorHAnsi"/>
                <w:sz w:val="18"/>
              </w:rPr>
              <w:t>25932</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CD4B4F" w14:textId="77777777" w:rsidR="004D4A28" w:rsidRPr="00637624" w:rsidRDefault="004D4A28" w:rsidP="00361368">
            <w:pPr>
              <w:spacing w:line="259" w:lineRule="auto"/>
              <w:ind w:right="28"/>
              <w:jc w:val="center"/>
              <w:rPr>
                <w:rFonts w:ascii="Calibri" w:hAnsi="Calibri" w:cs="Calibri"/>
                <w:b/>
                <w:bCs/>
                <w:color w:val="000000"/>
                <w:sz w:val="20"/>
                <w:szCs w:val="20"/>
              </w:rPr>
            </w:pPr>
            <w:r w:rsidRPr="00634E4C">
              <w:rPr>
                <w:rFonts w:asciiTheme="majorHAnsi" w:hAnsiTheme="majorHAnsi"/>
                <w:sz w:val="18"/>
              </w:rPr>
              <w:t>11924</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CED251" w14:textId="77777777" w:rsidR="004D4A28" w:rsidRPr="00637624" w:rsidRDefault="004D4A28" w:rsidP="00361368">
            <w:pPr>
              <w:spacing w:line="259" w:lineRule="auto"/>
              <w:ind w:right="28"/>
              <w:jc w:val="center"/>
              <w:rPr>
                <w:rFonts w:ascii="Calibri" w:hAnsi="Calibri" w:cs="Calibri"/>
                <w:b/>
                <w:bCs/>
                <w:color w:val="000000"/>
                <w:sz w:val="20"/>
                <w:szCs w:val="20"/>
              </w:rPr>
            </w:pPr>
            <w:r w:rsidRPr="00634E4C">
              <w:rPr>
                <w:rFonts w:asciiTheme="majorHAnsi" w:hAnsiTheme="majorHAnsi"/>
                <w:sz w:val="18"/>
              </w:rPr>
              <w:t>6760</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67453E" w14:textId="77777777" w:rsidR="004D4A28" w:rsidRPr="00637624" w:rsidRDefault="004D4A28" w:rsidP="00361368">
            <w:pPr>
              <w:spacing w:line="259" w:lineRule="auto"/>
              <w:ind w:right="28"/>
              <w:jc w:val="center"/>
              <w:rPr>
                <w:rFonts w:ascii="Calibri" w:hAnsi="Calibri" w:cs="Calibri"/>
                <w:b/>
                <w:bCs/>
                <w:color w:val="000000"/>
                <w:sz w:val="20"/>
                <w:szCs w:val="20"/>
              </w:rPr>
            </w:pPr>
            <w:r w:rsidRPr="00634E4C">
              <w:rPr>
                <w:rFonts w:asciiTheme="majorHAnsi" w:hAnsiTheme="majorHAnsi"/>
                <w:sz w:val="18"/>
              </w:rPr>
              <w:t>2287</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D830DE" w14:textId="77777777" w:rsidR="004D4A28" w:rsidRPr="00637624" w:rsidRDefault="004D4A28" w:rsidP="00361368">
            <w:pPr>
              <w:spacing w:line="259" w:lineRule="auto"/>
              <w:ind w:right="28"/>
              <w:jc w:val="center"/>
              <w:rPr>
                <w:rFonts w:ascii="Calibri" w:hAnsi="Calibri" w:cs="Calibri"/>
                <w:b/>
                <w:bCs/>
                <w:color w:val="000000"/>
                <w:sz w:val="20"/>
                <w:szCs w:val="20"/>
              </w:rPr>
            </w:pPr>
            <w:r w:rsidRPr="00634E4C">
              <w:rPr>
                <w:rFonts w:asciiTheme="majorHAnsi" w:hAnsiTheme="majorHAnsi"/>
                <w:sz w:val="18"/>
              </w:rPr>
              <w:t>1291</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D78A38" w14:textId="77777777" w:rsidR="004D4A28"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918</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DE4A73"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983</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DB2241"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903</w:t>
            </w:r>
          </w:p>
        </w:tc>
        <w:tc>
          <w:tcPr>
            <w:tcW w:w="5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BDD07D"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821</w:t>
            </w:r>
          </w:p>
        </w:tc>
        <w:tc>
          <w:tcPr>
            <w:tcW w:w="5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4F3F9B7"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822</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BFC50F"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825</w:t>
            </w:r>
          </w:p>
        </w:tc>
      </w:tr>
      <w:tr w:rsidR="004D4A28" w14:paraId="64B03914" w14:textId="77777777" w:rsidTr="00361368">
        <w:trPr>
          <w:trHeight w:val="347"/>
        </w:trPr>
        <w:tc>
          <w:tcPr>
            <w:tcW w:w="1263" w:type="dxa"/>
            <w:tcBorders>
              <w:top w:val="single" w:sz="2" w:space="0" w:color="000000"/>
              <w:left w:val="single" w:sz="2" w:space="0" w:color="000000"/>
              <w:bottom w:val="single" w:sz="2" w:space="0" w:color="000000"/>
              <w:right w:val="single" w:sz="2" w:space="0" w:color="000000"/>
            </w:tcBorders>
          </w:tcPr>
          <w:p w14:paraId="139CCFEB" w14:textId="77777777" w:rsidR="004D4A28" w:rsidRDefault="004D4A28" w:rsidP="00361368">
            <w:pPr>
              <w:spacing w:line="259" w:lineRule="auto"/>
            </w:pPr>
            <w:r>
              <w:rPr>
                <w:sz w:val="18"/>
              </w:rPr>
              <w:t xml:space="preserve">Agriculture (hors énergie) </w:t>
            </w:r>
          </w:p>
        </w:tc>
        <w:tc>
          <w:tcPr>
            <w:tcW w:w="851" w:type="dxa"/>
            <w:tcBorders>
              <w:top w:val="single" w:sz="2" w:space="0" w:color="000000"/>
              <w:left w:val="single" w:sz="2" w:space="0" w:color="000000"/>
              <w:bottom w:val="single" w:sz="2" w:space="0" w:color="000000"/>
              <w:right w:val="single" w:sz="2" w:space="0" w:color="000000"/>
            </w:tcBorders>
            <w:vAlign w:val="center"/>
          </w:tcPr>
          <w:p w14:paraId="01E11875" w14:textId="77777777" w:rsidR="004D4A28" w:rsidRDefault="004D4A28" w:rsidP="00361368">
            <w:pPr>
              <w:spacing w:line="259" w:lineRule="auto"/>
              <w:ind w:right="28"/>
              <w:jc w:val="center"/>
            </w:pPr>
            <w:r w:rsidRPr="005D0955">
              <w:rPr>
                <w:rFonts w:asciiTheme="majorHAnsi" w:hAnsiTheme="majorHAnsi"/>
                <w:sz w:val="18"/>
                <w:szCs w:val="18"/>
              </w:rPr>
              <w:t>36691</w:t>
            </w:r>
          </w:p>
        </w:tc>
        <w:tc>
          <w:tcPr>
            <w:tcW w:w="708" w:type="dxa"/>
            <w:tcBorders>
              <w:top w:val="single" w:sz="2" w:space="0" w:color="000000"/>
              <w:left w:val="single" w:sz="2" w:space="0" w:color="000000"/>
              <w:bottom w:val="single" w:sz="2" w:space="0" w:color="000000"/>
              <w:right w:val="single" w:sz="2" w:space="0" w:color="000000"/>
            </w:tcBorders>
            <w:vAlign w:val="center"/>
          </w:tcPr>
          <w:p w14:paraId="3373E8D1"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35162</w:t>
            </w:r>
          </w:p>
        </w:tc>
        <w:tc>
          <w:tcPr>
            <w:tcW w:w="851" w:type="dxa"/>
            <w:tcBorders>
              <w:top w:val="single" w:sz="2" w:space="0" w:color="000000"/>
              <w:left w:val="single" w:sz="2" w:space="0" w:color="000000"/>
              <w:bottom w:val="single" w:sz="2" w:space="0" w:color="000000"/>
              <w:right w:val="single" w:sz="2" w:space="0" w:color="000000"/>
            </w:tcBorders>
            <w:vAlign w:val="center"/>
          </w:tcPr>
          <w:p w14:paraId="00B76922"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37106</w:t>
            </w:r>
          </w:p>
        </w:tc>
        <w:tc>
          <w:tcPr>
            <w:tcW w:w="850" w:type="dxa"/>
            <w:tcBorders>
              <w:top w:val="single" w:sz="2" w:space="0" w:color="000000"/>
              <w:left w:val="single" w:sz="2" w:space="0" w:color="000000"/>
              <w:bottom w:val="single" w:sz="2" w:space="0" w:color="000000"/>
              <w:right w:val="single" w:sz="2" w:space="0" w:color="000000"/>
            </w:tcBorders>
            <w:vAlign w:val="center"/>
          </w:tcPr>
          <w:p w14:paraId="1748E13F"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34680</w:t>
            </w:r>
          </w:p>
        </w:tc>
        <w:tc>
          <w:tcPr>
            <w:tcW w:w="851" w:type="dxa"/>
            <w:tcBorders>
              <w:top w:val="single" w:sz="2" w:space="0" w:color="000000"/>
              <w:left w:val="single" w:sz="2" w:space="0" w:color="000000"/>
              <w:bottom w:val="single" w:sz="2" w:space="0" w:color="000000"/>
              <w:right w:val="single" w:sz="2" w:space="0" w:color="000000"/>
            </w:tcBorders>
            <w:vAlign w:val="center"/>
          </w:tcPr>
          <w:p w14:paraId="61F5E196"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33892</w:t>
            </w:r>
          </w:p>
        </w:tc>
        <w:tc>
          <w:tcPr>
            <w:tcW w:w="850" w:type="dxa"/>
            <w:tcBorders>
              <w:top w:val="single" w:sz="2" w:space="0" w:color="000000"/>
              <w:left w:val="single" w:sz="2" w:space="0" w:color="000000"/>
              <w:bottom w:val="single" w:sz="2" w:space="0" w:color="000000"/>
              <w:right w:val="single" w:sz="2" w:space="0" w:color="000000"/>
            </w:tcBorders>
            <w:vAlign w:val="center"/>
          </w:tcPr>
          <w:p w14:paraId="30DC2992"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34263</w:t>
            </w:r>
          </w:p>
        </w:tc>
        <w:tc>
          <w:tcPr>
            <w:tcW w:w="851" w:type="dxa"/>
            <w:tcBorders>
              <w:top w:val="single" w:sz="2" w:space="0" w:color="000000"/>
              <w:left w:val="single" w:sz="2" w:space="0" w:color="000000"/>
              <w:bottom w:val="single" w:sz="2" w:space="0" w:color="000000"/>
              <w:right w:val="single" w:sz="2" w:space="0" w:color="000000"/>
            </w:tcBorders>
            <w:vAlign w:val="center"/>
          </w:tcPr>
          <w:p w14:paraId="0933A1C1" w14:textId="77777777" w:rsidR="004D4A28"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33020</w:t>
            </w:r>
          </w:p>
        </w:tc>
        <w:tc>
          <w:tcPr>
            <w:tcW w:w="851" w:type="dxa"/>
            <w:tcBorders>
              <w:top w:val="single" w:sz="2" w:space="0" w:color="000000"/>
              <w:left w:val="single" w:sz="2" w:space="0" w:color="000000"/>
              <w:bottom w:val="single" w:sz="2" w:space="0" w:color="000000"/>
              <w:right w:val="single" w:sz="2" w:space="0" w:color="000000"/>
            </w:tcBorders>
            <w:vAlign w:val="center"/>
          </w:tcPr>
          <w:p w14:paraId="1CD1292E"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33 731</w:t>
            </w:r>
          </w:p>
        </w:tc>
        <w:tc>
          <w:tcPr>
            <w:tcW w:w="708" w:type="dxa"/>
            <w:tcBorders>
              <w:top w:val="single" w:sz="2" w:space="0" w:color="000000"/>
              <w:left w:val="single" w:sz="2" w:space="0" w:color="000000"/>
              <w:bottom w:val="single" w:sz="2" w:space="0" w:color="000000"/>
              <w:right w:val="single" w:sz="2" w:space="0" w:color="000000"/>
            </w:tcBorders>
            <w:vAlign w:val="center"/>
          </w:tcPr>
          <w:p w14:paraId="1F2588CE"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33 337</w:t>
            </w:r>
          </w:p>
        </w:tc>
        <w:tc>
          <w:tcPr>
            <w:tcW w:w="567" w:type="dxa"/>
            <w:tcBorders>
              <w:top w:val="single" w:sz="2" w:space="0" w:color="000000"/>
              <w:left w:val="single" w:sz="2" w:space="0" w:color="000000"/>
              <w:bottom w:val="single" w:sz="2" w:space="0" w:color="000000"/>
              <w:right w:val="single" w:sz="2" w:space="0" w:color="000000"/>
            </w:tcBorders>
            <w:vAlign w:val="center"/>
          </w:tcPr>
          <w:p w14:paraId="7DFDF80F"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32 820</w:t>
            </w:r>
          </w:p>
        </w:tc>
        <w:tc>
          <w:tcPr>
            <w:tcW w:w="567" w:type="dxa"/>
            <w:tcBorders>
              <w:top w:val="single" w:sz="2" w:space="0" w:color="000000"/>
              <w:left w:val="single" w:sz="2" w:space="0" w:color="000000"/>
              <w:bottom w:val="single" w:sz="2" w:space="0" w:color="000000"/>
              <w:right w:val="single" w:sz="2" w:space="0" w:color="000000"/>
            </w:tcBorders>
            <w:vAlign w:val="center"/>
          </w:tcPr>
          <w:p w14:paraId="1322649E"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32 410</w:t>
            </w:r>
          </w:p>
        </w:tc>
        <w:tc>
          <w:tcPr>
            <w:tcW w:w="709" w:type="dxa"/>
            <w:tcBorders>
              <w:top w:val="single" w:sz="2" w:space="0" w:color="000000"/>
              <w:left w:val="single" w:sz="2" w:space="0" w:color="000000"/>
              <w:bottom w:val="single" w:sz="2" w:space="0" w:color="000000"/>
              <w:right w:val="single" w:sz="2" w:space="0" w:color="000000"/>
            </w:tcBorders>
            <w:vAlign w:val="center"/>
          </w:tcPr>
          <w:p w14:paraId="297ABCF8"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31 217</w:t>
            </w:r>
          </w:p>
        </w:tc>
      </w:tr>
      <w:tr w:rsidR="004D4A28" w14:paraId="6C5A1B9E" w14:textId="77777777" w:rsidTr="00361368">
        <w:trPr>
          <w:trHeight w:val="342"/>
        </w:trPr>
        <w:tc>
          <w:tcPr>
            <w:tcW w:w="1263" w:type="dxa"/>
            <w:tcBorders>
              <w:top w:val="single" w:sz="2" w:space="0" w:color="000000"/>
              <w:left w:val="single" w:sz="2" w:space="0" w:color="000000"/>
              <w:bottom w:val="single" w:sz="2" w:space="0" w:color="000000"/>
              <w:right w:val="single" w:sz="2" w:space="0" w:color="000000"/>
            </w:tcBorders>
            <w:shd w:val="clear" w:color="auto" w:fill="ECE6E2"/>
          </w:tcPr>
          <w:p w14:paraId="578A9CF0" w14:textId="77777777" w:rsidR="004D4A28" w:rsidRDefault="004D4A28" w:rsidP="00361368">
            <w:pPr>
              <w:spacing w:line="259" w:lineRule="auto"/>
            </w:pPr>
            <w:r>
              <w:rPr>
                <w:sz w:val="18"/>
              </w:rPr>
              <w:t xml:space="preserve">UTCF </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BB399DF" w14:textId="77777777" w:rsidR="004D4A28" w:rsidRDefault="004D4A28" w:rsidP="00361368">
            <w:pPr>
              <w:spacing w:line="259" w:lineRule="auto"/>
              <w:ind w:right="28"/>
              <w:jc w:val="center"/>
            </w:pPr>
            <w:r w:rsidRPr="005D0955">
              <w:rPr>
                <w:rFonts w:asciiTheme="majorHAnsi" w:hAnsiTheme="majorHAnsi"/>
                <w:sz w:val="18"/>
                <w:szCs w:val="18"/>
              </w:rPr>
              <w:t>3226</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22F56D"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3246</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2E225A"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3193</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E8A2AC"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2971</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7B5815F"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3216</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30C7AB"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2944</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68C0C4" w14:textId="77777777" w:rsidR="004D4A28"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2867</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B7EA48"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3 119</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A3A626"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3 119</w:t>
            </w:r>
          </w:p>
        </w:tc>
        <w:tc>
          <w:tcPr>
            <w:tcW w:w="5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29B90E"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3 119</w:t>
            </w:r>
          </w:p>
        </w:tc>
        <w:tc>
          <w:tcPr>
            <w:tcW w:w="5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ACF8DF"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3 119</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D451FE"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3 119</w:t>
            </w:r>
          </w:p>
        </w:tc>
      </w:tr>
      <w:tr w:rsidR="004D4A28" w14:paraId="1C46EFD2" w14:textId="77777777" w:rsidTr="00361368">
        <w:trPr>
          <w:trHeight w:val="347"/>
        </w:trPr>
        <w:tc>
          <w:tcPr>
            <w:tcW w:w="1263" w:type="dxa"/>
            <w:tcBorders>
              <w:top w:val="single" w:sz="2" w:space="0" w:color="000000"/>
              <w:left w:val="single" w:sz="2" w:space="0" w:color="000000"/>
              <w:bottom w:val="single" w:sz="2" w:space="0" w:color="000000"/>
              <w:right w:val="single" w:sz="2" w:space="0" w:color="000000"/>
            </w:tcBorders>
          </w:tcPr>
          <w:p w14:paraId="57E26BE4" w14:textId="77777777" w:rsidR="004D4A28" w:rsidRDefault="004D4A28" w:rsidP="00361368">
            <w:pPr>
              <w:spacing w:line="259" w:lineRule="auto"/>
            </w:pPr>
            <w:r>
              <w:rPr>
                <w:sz w:val="18"/>
              </w:rPr>
              <w:t xml:space="preserve">Déchets </w:t>
            </w:r>
          </w:p>
        </w:tc>
        <w:tc>
          <w:tcPr>
            <w:tcW w:w="851" w:type="dxa"/>
            <w:tcBorders>
              <w:top w:val="single" w:sz="2" w:space="0" w:color="000000"/>
              <w:left w:val="single" w:sz="2" w:space="0" w:color="000000"/>
              <w:bottom w:val="single" w:sz="2" w:space="0" w:color="000000"/>
              <w:right w:val="single" w:sz="2" w:space="0" w:color="000000"/>
            </w:tcBorders>
            <w:vAlign w:val="center"/>
          </w:tcPr>
          <w:p w14:paraId="2451F9FF" w14:textId="77777777" w:rsidR="004D4A28" w:rsidRDefault="004D4A28" w:rsidP="00361368">
            <w:pPr>
              <w:spacing w:line="259" w:lineRule="auto"/>
              <w:ind w:right="28"/>
              <w:jc w:val="center"/>
            </w:pPr>
            <w:r w:rsidRPr="005D0955">
              <w:rPr>
                <w:rFonts w:asciiTheme="majorHAnsi" w:hAnsiTheme="majorHAnsi"/>
                <w:sz w:val="18"/>
                <w:szCs w:val="18"/>
              </w:rPr>
              <w:t>771</w:t>
            </w:r>
          </w:p>
        </w:tc>
        <w:tc>
          <w:tcPr>
            <w:tcW w:w="708" w:type="dxa"/>
            <w:tcBorders>
              <w:top w:val="single" w:sz="2" w:space="0" w:color="000000"/>
              <w:left w:val="single" w:sz="2" w:space="0" w:color="000000"/>
              <w:bottom w:val="single" w:sz="2" w:space="0" w:color="000000"/>
              <w:right w:val="single" w:sz="2" w:space="0" w:color="000000"/>
            </w:tcBorders>
            <w:vAlign w:val="center"/>
          </w:tcPr>
          <w:p w14:paraId="77F08240"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796</w:t>
            </w:r>
          </w:p>
        </w:tc>
        <w:tc>
          <w:tcPr>
            <w:tcW w:w="851" w:type="dxa"/>
            <w:tcBorders>
              <w:top w:val="single" w:sz="2" w:space="0" w:color="000000"/>
              <w:left w:val="single" w:sz="2" w:space="0" w:color="000000"/>
              <w:bottom w:val="single" w:sz="2" w:space="0" w:color="000000"/>
              <w:right w:val="single" w:sz="2" w:space="0" w:color="000000"/>
            </w:tcBorders>
            <w:vAlign w:val="center"/>
          </w:tcPr>
          <w:p w14:paraId="60C1D08D"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750</w:t>
            </w:r>
          </w:p>
        </w:tc>
        <w:tc>
          <w:tcPr>
            <w:tcW w:w="850" w:type="dxa"/>
            <w:tcBorders>
              <w:top w:val="single" w:sz="2" w:space="0" w:color="000000"/>
              <w:left w:val="single" w:sz="2" w:space="0" w:color="000000"/>
              <w:bottom w:val="single" w:sz="2" w:space="0" w:color="000000"/>
              <w:right w:val="single" w:sz="2" w:space="0" w:color="000000"/>
            </w:tcBorders>
            <w:vAlign w:val="center"/>
          </w:tcPr>
          <w:p w14:paraId="066AA271"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684</w:t>
            </w:r>
          </w:p>
        </w:tc>
        <w:tc>
          <w:tcPr>
            <w:tcW w:w="851" w:type="dxa"/>
            <w:tcBorders>
              <w:top w:val="single" w:sz="2" w:space="0" w:color="000000"/>
              <w:left w:val="single" w:sz="2" w:space="0" w:color="000000"/>
              <w:bottom w:val="single" w:sz="2" w:space="0" w:color="000000"/>
              <w:right w:val="single" w:sz="2" w:space="0" w:color="000000"/>
            </w:tcBorders>
            <w:vAlign w:val="center"/>
          </w:tcPr>
          <w:p w14:paraId="43E68E22"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661</w:t>
            </w:r>
          </w:p>
        </w:tc>
        <w:tc>
          <w:tcPr>
            <w:tcW w:w="850" w:type="dxa"/>
            <w:tcBorders>
              <w:top w:val="single" w:sz="2" w:space="0" w:color="000000"/>
              <w:left w:val="single" w:sz="2" w:space="0" w:color="000000"/>
              <w:bottom w:val="single" w:sz="2" w:space="0" w:color="000000"/>
              <w:right w:val="single" w:sz="2" w:space="0" w:color="000000"/>
            </w:tcBorders>
            <w:vAlign w:val="center"/>
          </w:tcPr>
          <w:p w14:paraId="7EE79A52"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610</w:t>
            </w:r>
          </w:p>
        </w:tc>
        <w:tc>
          <w:tcPr>
            <w:tcW w:w="851" w:type="dxa"/>
            <w:tcBorders>
              <w:top w:val="single" w:sz="2" w:space="0" w:color="000000"/>
              <w:left w:val="single" w:sz="2" w:space="0" w:color="000000"/>
              <w:bottom w:val="single" w:sz="2" w:space="0" w:color="000000"/>
              <w:right w:val="single" w:sz="2" w:space="0" w:color="000000"/>
            </w:tcBorders>
            <w:vAlign w:val="center"/>
          </w:tcPr>
          <w:p w14:paraId="1618322E" w14:textId="77777777" w:rsidR="004D4A28"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597</w:t>
            </w:r>
          </w:p>
        </w:tc>
        <w:tc>
          <w:tcPr>
            <w:tcW w:w="851" w:type="dxa"/>
            <w:tcBorders>
              <w:top w:val="single" w:sz="2" w:space="0" w:color="000000"/>
              <w:left w:val="single" w:sz="2" w:space="0" w:color="000000"/>
              <w:bottom w:val="single" w:sz="2" w:space="0" w:color="000000"/>
              <w:right w:val="single" w:sz="2" w:space="0" w:color="000000"/>
            </w:tcBorders>
            <w:vAlign w:val="center"/>
          </w:tcPr>
          <w:p w14:paraId="3949C1E3"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662</w:t>
            </w:r>
          </w:p>
        </w:tc>
        <w:tc>
          <w:tcPr>
            <w:tcW w:w="708" w:type="dxa"/>
            <w:tcBorders>
              <w:top w:val="single" w:sz="2" w:space="0" w:color="000000"/>
              <w:left w:val="single" w:sz="2" w:space="0" w:color="000000"/>
              <w:bottom w:val="single" w:sz="2" w:space="0" w:color="000000"/>
              <w:right w:val="single" w:sz="2" w:space="0" w:color="000000"/>
            </w:tcBorders>
            <w:vAlign w:val="center"/>
          </w:tcPr>
          <w:p w14:paraId="5D9FFDA0"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666</w:t>
            </w:r>
          </w:p>
        </w:tc>
        <w:tc>
          <w:tcPr>
            <w:tcW w:w="567" w:type="dxa"/>
            <w:tcBorders>
              <w:top w:val="single" w:sz="2" w:space="0" w:color="000000"/>
              <w:left w:val="single" w:sz="2" w:space="0" w:color="000000"/>
              <w:bottom w:val="single" w:sz="2" w:space="0" w:color="000000"/>
              <w:right w:val="single" w:sz="2" w:space="0" w:color="000000"/>
            </w:tcBorders>
            <w:vAlign w:val="center"/>
          </w:tcPr>
          <w:p w14:paraId="5DD1CCFF"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670</w:t>
            </w:r>
          </w:p>
        </w:tc>
        <w:tc>
          <w:tcPr>
            <w:tcW w:w="567" w:type="dxa"/>
            <w:tcBorders>
              <w:top w:val="single" w:sz="2" w:space="0" w:color="000000"/>
              <w:left w:val="single" w:sz="2" w:space="0" w:color="000000"/>
              <w:bottom w:val="single" w:sz="2" w:space="0" w:color="000000"/>
              <w:right w:val="single" w:sz="2" w:space="0" w:color="000000"/>
            </w:tcBorders>
            <w:vAlign w:val="center"/>
          </w:tcPr>
          <w:p w14:paraId="54B245BA"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690</w:t>
            </w:r>
          </w:p>
        </w:tc>
        <w:tc>
          <w:tcPr>
            <w:tcW w:w="709" w:type="dxa"/>
            <w:tcBorders>
              <w:top w:val="single" w:sz="2" w:space="0" w:color="000000"/>
              <w:left w:val="single" w:sz="2" w:space="0" w:color="000000"/>
              <w:bottom w:val="single" w:sz="2" w:space="0" w:color="000000"/>
              <w:right w:val="single" w:sz="2" w:space="0" w:color="000000"/>
            </w:tcBorders>
            <w:vAlign w:val="center"/>
          </w:tcPr>
          <w:p w14:paraId="5629CA69"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681</w:t>
            </w:r>
          </w:p>
        </w:tc>
      </w:tr>
      <w:tr w:rsidR="004D4A28" w14:paraId="116E8281" w14:textId="77777777" w:rsidTr="00361368">
        <w:trPr>
          <w:trHeight w:val="344"/>
        </w:trPr>
        <w:tc>
          <w:tcPr>
            <w:tcW w:w="1263" w:type="dxa"/>
            <w:tcBorders>
              <w:top w:val="single" w:sz="2" w:space="0" w:color="000000"/>
              <w:left w:val="single" w:sz="2" w:space="0" w:color="000000"/>
              <w:bottom w:val="single" w:sz="2" w:space="0" w:color="000000"/>
              <w:right w:val="single" w:sz="2" w:space="0" w:color="000000"/>
            </w:tcBorders>
            <w:shd w:val="clear" w:color="auto" w:fill="ECE6E2"/>
          </w:tcPr>
          <w:p w14:paraId="686AFE50" w14:textId="77777777" w:rsidR="004D4A28" w:rsidRDefault="004D4A28" w:rsidP="00361368">
            <w:pPr>
              <w:spacing w:line="259" w:lineRule="auto"/>
            </w:pPr>
            <w:r>
              <w:rPr>
                <w:b/>
                <w:sz w:val="18"/>
              </w:rPr>
              <w:t xml:space="preserve">Ensemble (hors UTCF) </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AB37A6" w14:textId="77777777" w:rsidR="004D4A28" w:rsidRDefault="004D4A28" w:rsidP="00361368">
            <w:pPr>
              <w:spacing w:line="259" w:lineRule="auto"/>
              <w:ind w:right="28"/>
              <w:jc w:val="center"/>
            </w:pPr>
            <w:r w:rsidRPr="005D0955">
              <w:rPr>
                <w:rFonts w:asciiTheme="majorHAnsi" w:hAnsiTheme="majorHAnsi"/>
                <w:sz w:val="18"/>
                <w:szCs w:val="18"/>
              </w:rPr>
              <w:t>64725</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82CD6C"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65937</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0F744A"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53681</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ECFC5E"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46307</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9A98E9"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40478</w:t>
            </w:r>
          </w:p>
        </w:tc>
        <w:tc>
          <w:tcPr>
            <w:tcW w:w="8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E8F8A9"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39895</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985950" w14:textId="77777777" w:rsidR="004D4A28"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38071</w:t>
            </w:r>
          </w:p>
        </w:tc>
        <w:tc>
          <w:tcPr>
            <w:tcW w:w="85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A73DE2"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38 447</w:t>
            </w:r>
          </w:p>
        </w:tc>
        <w:tc>
          <w:tcPr>
            <w:tcW w:w="70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FDEF9F"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37 839</w:t>
            </w:r>
          </w:p>
        </w:tc>
        <w:tc>
          <w:tcPr>
            <w:tcW w:w="5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DEB5DF"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36 921</w:t>
            </w:r>
          </w:p>
        </w:tc>
        <w:tc>
          <w:tcPr>
            <w:tcW w:w="5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F429D0"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36 418</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F50FDD"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35 004</w:t>
            </w:r>
          </w:p>
        </w:tc>
      </w:tr>
      <w:tr w:rsidR="004D4A28" w14:paraId="68B6780F" w14:textId="77777777" w:rsidTr="00361368">
        <w:trPr>
          <w:trHeight w:val="346"/>
        </w:trPr>
        <w:tc>
          <w:tcPr>
            <w:tcW w:w="1263" w:type="dxa"/>
            <w:tcBorders>
              <w:top w:val="single" w:sz="2" w:space="0" w:color="000000"/>
              <w:left w:val="single" w:sz="2" w:space="0" w:color="000000"/>
              <w:bottom w:val="single" w:sz="2" w:space="0" w:color="000000"/>
              <w:right w:val="single" w:sz="2" w:space="0" w:color="000000"/>
            </w:tcBorders>
          </w:tcPr>
          <w:p w14:paraId="579153F2" w14:textId="77777777" w:rsidR="004D4A28" w:rsidRDefault="004D4A28" w:rsidP="00361368">
            <w:pPr>
              <w:spacing w:line="259" w:lineRule="auto"/>
            </w:pPr>
            <w:r>
              <w:rPr>
                <w:b/>
                <w:sz w:val="18"/>
              </w:rPr>
              <w:t xml:space="preserve">Ensemble (avec UTCF) </w:t>
            </w:r>
          </w:p>
        </w:tc>
        <w:tc>
          <w:tcPr>
            <w:tcW w:w="851" w:type="dxa"/>
            <w:tcBorders>
              <w:top w:val="single" w:sz="2" w:space="0" w:color="000000"/>
              <w:left w:val="single" w:sz="2" w:space="0" w:color="000000"/>
              <w:bottom w:val="single" w:sz="2" w:space="0" w:color="000000"/>
              <w:right w:val="single" w:sz="2" w:space="0" w:color="000000"/>
            </w:tcBorders>
            <w:vAlign w:val="center"/>
          </w:tcPr>
          <w:p w14:paraId="7D4E56E2" w14:textId="77777777" w:rsidR="004D4A28" w:rsidRDefault="004D4A28" w:rsidP="00361368">
            <w:pPr>
              <w:spacing w:line="259" w:lineRule="auto"/>
              <w:ind w:right="28"/>
              <w:jc w:val="center"/>
            </w:pPr>
            <w:r w:rsidRPr="005D0955">
              <w:rPr>
                <w:rFonts w:asciiTheme="majorHAnsi" w:hAnsiTheme="majorHAnsi"/>
                <w:sz w:val="18"/>
                <w:szCs w:val="18"/>
              </w:rPr>
              <w:t>67951</w:t>
            </w:r>
          </w:p>
        </w:tc>
        <w:tc>
          <w:tcPr>
            <w:tcW w:w="708" w:type="dxa"/>
            <w:tcBorders>
              <w:top w:val="single" w:sz="2" w:space="0" w:color="000000"/>
              <w:left w:val="single" w:sz="2" w:space="0" w:color="000000"/>
              <w:bottom w:val="single" w:sz="2" w:space="0" w:color="000000"/>
              <w:right w:val="single" w:sz="2" w:space="0" w:color="000000"/>
            </w:tcBorders>
            <w:vAlign w:val="center"/>
          </w:tcPr>
          <w:p w14:paraId="4168127D"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69183</w:t>
            </w:r>
          </w:p>
        </w:tc>
        <w:tc>
          <w:tcPr>
            <w:tcW w:w="851" w:type="dxa"/>
            <w:tcBorders>
              <w:top w:val="single" w:sz="2" w:space="0" w:color="000000"/>
              <w:left w:val="single" w:sz="2" w:space="0" w:color="000000"/>
              <w:bottom w:val="single" w:sz="2" w:space="0" w:color="000000"/>
              <w:right w:val="single" w:sz="2" w:space="0" w:color="000000"/>
            </w:tcBorders>
            <w:vAlign w:val="center"/>
          </w:tcPr>
          <w:p w14:paraId="509A1EF3"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56873</w:t>
            </w:r>
          </w:p>
        </w:tc>
        <w:tc>
          <w:tcPr>
            <w:tcW w:w="850" w:type="dxa"/>
            <w:tcBorders>
              <w:top w:val="single" w:sz="2" w:space="0" w:color="000000"/>
              <w:left w:val="single" w:sz="2" w:space="0" w:color="000000"/>
              <w:bottom w:val="single" w:sz="2" w:space="0" w:color="000000"/>
              <w:right w:val="single" w:sz="2" w:space="0" w:color="000000"/>
            </w:tcBorders>
            <w:vAlign w:val="center"/>
          </w:tcPr>
          <w:p w14:paraId="43A22C70"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49279</w:t>
            </w:r>
          </w:p>
        </w:tc>
        <w:tc>
          <w:tcPr>
            <w:tcW w:w="851" w:type="dxa"/>
            <w:tcBorders>
              <w:top w:val="single" w:sz="2" w:space="0" w:color="000000"/>
              <w:left w:val="single" w:sz="2" w:space="0" w:color="000000"/>
              <w:bottom w:val="single" w:sz="2" w:space="0" w:color="000000"/>
              <w:right w:val="single" w:sz="2" w:space="0" w:color="000000"/>
            </w:tcBorders>
            <w:vAlign w:val="center"/>
          </w:tcPr>
          <w:p w14:paraId="3F8FAE90"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43694</w:t>
            </w:r>
          </w:p>
        </w:tc>
        <w:tc>
          <w:tcPr>
            <w:tcW w:w="850" w:type="dxa"/>
            <w:tcBorders>
              <w:top w:val="single" w:sz="2" w:space="0" w:color="000000"/>
              <w:left w:val="single" w:sz="2" w:space="0" w:color="000000"/>
              <w:bottom w:val="single" w:sz="2" w:space="0" w:color="000000"/>
              <w:right w:val="single" w:sz="2" w:space="0" w:color="000000"/>
            </w:tcBorders>
            <w:vAlign w:val="center"/>
          </w:tcPr>
          <w:p w14:paraId="0628970B" w14:textId="77777777" w:rsidR="004D4A28" w:rsidRPr="00637624"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42840</w:t>
            </w:r>
          </w:p>
        </w:tc>
        <w:tc>
          <w:tcPr>
            <w:tcW w:w="851" w:type="dxa"/>
            <w:tcBorders>
              <w:top w:val="single" w:sz="2" w:space="0" w:color="000000"/>
              <w:left w:val="single" w:sz="2" w:space="0" w:color="000000"/>
              <w:bottom w:val="single" w:sz="2" w:space="0" w:color="000000"/>
              <w:right w:val="single" w:sz="2" w:space="0" w:color="000000"/>
            </w:tcBorders>
            <w:vAlign w:val="center"/>
          </w:tcPr>
          <w:p w14:paraId="5E373478" w14:textId="77777777" w:rsidR="004D4A28" w:rsidRDefault="004D4A28" w:rsidP="00361368">
            <w:pPr>
              <w:spacing w:line="259" w:lineRule="auto"/>
              <w:ind w:right="28"/>
              <w:jc w:val="center"/>
              <w:rPr>
                <w:rFonts w:ascii="Calibri" w:hAnsi="Calibri" w:cs="Calibri"/>
                <w:b/>
                <w:bCs/>
                <w:color w:val="000000"/>
                <w:sz w:val="20"/>
                <w:szCs w:val="20"/>
              </w:rPr>
            </w:pPr>
            <w:r w:rsidRPr="005D0955">
              <w:rPr>
                <w:rFonts w:asciiTheme="majorHAnsi" w:hAnsiTheme="majorHAnsi"/>
                <w:sz w:val="18"/>
                <w:szCs w:val="18"/>
              </w:rPr>
              <w:t>40939</w:t>
            </w:r>
          </w:p>
        </w:tc>
        <w:tc>
          <w:tcPr>
            <w:tcW w:w="851" w:type="dxa"/>
            <w:tcBorders>
              <w:top w:val="single" w:sz="2" w:space="0" w:color="000000"/>
              <w:left w:val="single" w:sz="2" w:space="0" w:color="000000"/>
              <w:bottom w:val="single" w:sz="2" w:space="0" w:color="000000"/>
              <w:right w:val="single" w:sz="2" w:space="0" w:color="000000"/>
            </w:tcBorders>
            <w:vAlign w:val="center"/>
          </w:tcPr>
          <w:p w14:paraId="06E4D7A2"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41 566</w:t>
            </w:r>
          </w:p>
        </w:tc>
        <w:tc>
          <w:tcPr>
            <w:tcW w:w="708" w:type="dxa"/>
            <w:tcBorders>
              <w:top w:val="single" w:sz="2" w:space="0" w:color="000000"/>
              <w:left w:val="single" w:sz="2" w:space="0" w:color="000000"/>
              <w:bottom w:val="single" w:sz="2" w:space="0" w:color="000000"/>
              <w:right w:val="single" w:sz="2" w:space="0" w:color="000000"/>
            </w:tcBorders>
            <w:vAlign w:val="center"/>
          </w:tcPr>
          <w:p w14:paraId="143114E1"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40 959</w:t>
            </w:r>
          </w:p>
        </w:tc>
        <w:tc>
          <w:tcPr>
            <w:tcW w:w="567" w:type="dxa"/>
            <w:tcBorders>
              <w:top w:val="single" w:sz="2" w:space="0" w:color="000000"/>
              <w:left w:val="single" w:sz="2" w:space="0" w:color="000000"/>
              <w:bottom w:val="single" w:sz="2" w:space="0" w:color="000000"/>
              <w:right w:val="single" w:sz="2" w:space="0" w:color="000000"/>
            </w:tcBorders>
            <w:vAlign w:val="center"/>
          </w:tcPr>
          <w:p w14:paraId="39FAC9F7"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40 041</w:t>
            </w:r>
          </w:p>
        </w:tc>
        <w:tc>
          <w:tcPr>
            <w:tcW w:w="567" w:type="dxa"/>
            <w:tcBorders>
              <w:top w:val="single" w:sz="2" w:space="0" w:color="000000"/>
              <w:left w:val="single" w:sz="2" w:space="0" w:color="000000"/>
              <w:bottom w:val="single" w:sz="2" w:space="0" w:color="000000"/>
              <w:right w:val="single" w:sz="2" w:space="0" w:color="000000"/>
            </w:tcBorders>
            <w:vAlign w:val="center"/>
          </w:tcPr>
          <w:p w14:paraId="6522D47B"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39 537</w:t>
            </w:r>
          </w:p>
        </w:tc>
        <w:tc>
          <w:tcPr>
            <w:tcW w:w="709" w:type="dxa"/>
            <w:tcBorders>
              <w:top w:val="single" w:sz="2" w:space="0" w:color="000000"/>
              <w:left w:val="single" w:sz="2" w:space="0" w:color="000000"/>
              <w:bottom w:val="single" w:sz="2" w:space="0" w:color="000000"/>
              <w:right w:val="single" w:sz="2" w:space="0" w:color="000000"/>
            </w:tcBorders>
            <w:vAlign w:val="center"/>
          </w:tcPr>
          <w:p w14:paraId="043E6507" w14:textId="77777777" w:rsidR="004D4A28" w:rsidRPr="00637624" w:rsidRDefault="004D4A28" w:rsidP="00361368">
            <w:pPr>
              <w:spacing w:line="259" w:lineRule="auto"/>
              <w:ind w:right="28"/>
              <w:jc w:val="center"/>
              <w:rPr>
                <w:rFonts w:ascii="Calibri" w:hAnsi="Calibri" w:cs="Calibri"/>
                <w:b/>
                <w:bCs/>
                <w:color w:val="000000"/>
                <w:sz w:val="20"/>
                <w:szCs w:val="20"/>
              </w:rPr>
            </w:pPr>
            <w:r>
              <w:rPr>
                <w:rFonts w:ascii="Calibri" w:hAnsi="Calibri" w:cs="Calibri"/>
                <w:b/>
                <w:bCs/>
                <w:color w:val="000000"/>
                <w:sz w:val="20"/>
                <w:szCs w:val="20"/>
              </w:rPr>
              <w:t>38 123</w:t>
            </w:r>
          </w:p>
        </w:tc>
      </w:tr>
    </w:tbl>
    <w:p w14:paraId="3B28D255" w14:textId="77777777" w:rsidR="004D4A28" w:rsidRDefault="004D4A28" w:rsidP="004D4A28">
      <w:pPr>
        <w:pStyle w:val="Caption"/>
      </w:pPr>
      <w:bookmarkStart w:id="162" w:name="_Toc123916513"/>
      <w:r>
        <w:t xml:space="preserve">Tableau </w:t>
      </w:r>
      <w:r w:rsidR="00757301">
        <w:fldChar w:fldCharType="begin"/>
      </w:r>
      <w:r w:rsidR="00757301">
        <w:instrText xml:space="preserve"> SEQ Tableau \* ARABIC </w:instrText>
      </w:r>
      <w:r w:rsidR="00757301">
        <w:fldChar w:fldCharType="separate"/>
      </w:r>
      <w:r>
        <w:rPr>
          <w:noProof/>
        </w:rPr>
        <w:t>21</w:t>
      </w:r>
      <w:r w:rsidR="00757301">
        <w:rPr>
          <w:noProof/>
        </w:rPr>
        <w:fldChar w:fldCharType="end"/>
      </w:r>
      <w:r>
        <w:t xml:space="preserve"> : </w:t>
      </w:r>
      <w:r w:rsidRPr="00637624">
        <w:t xml:space="preserve">Projections d’émissions de </w:t>
      </w:r>
      <w:r w:rsidRPr="00141043">
        <w:t>N</w:t>
      </w:r>
      <w:r w:rsidRPr="004F1EC8">
        <w:rPr>
          <w:vertAlign w:val="subscript"/>
        </w:rPr>
        <w:t>2</w:t>
      </w:r>
      <w:r w:rsidRPr="00141043">
        <w:t>O</w:t>
      </w:r>
      <w:r>
        <w:t xml:space="preserve"> </w:t>
      </w:r>
      <w:r w:rsidRPr="00637624">
        <w:t xml:space="preserve">(en </w:t>
      </w:r>
      <w:r w:rsidRPr="00590551">
        <w:t>kt</w:t>
      </w:r>
      <w:r>
        <w:t>CO</w:t>
      </w:r>
      <w:r w:rsidRPr="007F09F7">
        <w:rPr>
          <w:vertAlign w:val="subscript"/>
        </w:rPr>
        <w:t>2</w:t>
      </w:r>
      <w:r w:rsidRPr="00637624">
        <w:rPr>
          <w:vertAlign w:val="subscript"/>
        </w:rPr>
        <w:t>e</w:t>
      </w:r>
      <w:r w:rsidRPr="00637624">
        <w:t>) au périmètre Kyoto dans le scénario AME (avec mesures existantes)</w:t>
      </w:r>
      <w:bookmarkEnd w:id="162"/>
    </w:p>
    <w:p w14:paraId="2819DC86" w14:textId="77777777" w:rsidR="004D4A28" w:rsidRDefault="004D4A28" w:rsidP="004D4A28">
      <w:pPr>
        <w:pStyle w:val="Caption"/>
      </w:pPr>
      <w:r w:rsidRPr="006E15FD">
        <w:t>Source : Inventaire CCNUCC, Citepa/MTE, soumission 20</w:t>
      </w:r>
      <w:r>
        <w:t>22</w:t>
      </w:r>
      <w:r w:rsidRPr="006E15FD">
        <w:t xml:space="preserve"> et projections d’émissions MTE, 20</w:t>
      </w:r>
      <w:r>
        <w:t>21</w:t>
      </w:r>
    </w:p>
    <w:p w14:paraId="032DCBC3" w14:textId="77777777" w:rsidR="004D4A28" w:rsidRPr="00364545" w:rsidRDefault="004D4A28" w:rsidP="004D4A28">
      <w:bookmarkStart w:id="163" w:name="_Toc123916514"/>
    </w:p>
    <w:tbl>
      <w:tblPr>
        <w:tblStyle w:val="TableGrid0"/>
        <w:tblW w:w="9934" w:type="dxa"/>
        <w:tblInd w:w="10" w:type="dxa"/>
        <w:tblCellMar>
          <w:top w:w="39" w:type="dxa"/>
          <w:left w:w="28" w:type="dxa"/>
          <w:bottom w:w="2" w:type="dxa"/>
        </w:tblCellMar>
        <w:tblLook w:val="04A0" w:firstRow="1" w:lastRow="0" w:firstColumn="1" w:lastColumn="0" w:noHBand="0" w:noVBand="1"/>
      </w:tblPr>
      <w:tblGrid>
        <w:gridCol w:w="1405"/>
        <w:gridCol w:w="710"/>
        <w:gridCol w:w="711"/>
        <w:gridCol w:w="711"/>
        <w:gridCol w:w="711"/>
        <w:gridCol w:w="710"/>
        <w:gridCol w:w="711"/>
        <w:gridCol w:w="711"/>
        <w:gridCol w:w="711"/>
        <w:gridCol w:w="710"/>
        <w:gridCol w:w="711"/>
        <w:gridCol w:w="711"/>
        <w:gridCol w:w="711"/>
      </w:tblGrid>
      <w:tr w:rsidR="004D4A28" w:rsidRPr="00364545" w14:paraId="2551D224" w14:textId="77777777" w:rsidTr="00361368">
        <w:trPr>
          <w:trHeight w:val="402"/>
        </w:trPr>
        <w:tc>
          <w:tcPr>
            <w:tcW w:w="1405" w:type="dxa"/>
            <w:tcBorders>
              <w:top w:val="single" w:sz="2" w:space="0" w:color="000000"/>
              <w:left w:val="single" w:sz="2" w:space="0" w:color="000000"/>
              <w:bottom w:val="single" w:sz="2" w:space="0" w:color="000000"/>
              <w:right w:val="single" w:sz="2" w:space="0" w:color="000000"/>
            </w:tcBorders>
            <w:shd w:val="clear" w:color="auto" w:fill="6D2A78"/>
          </w:tcPr>
          <w:p w14:paraId="0EEEAB78" w14:textId="77777777" w:rsidR="004D4A28" w:rsidRPr="00364545" w:rsidRDefault="004D4A28" w:rsidP="00361368">
            <w:pPr>
              <w:spacing w:line="259" w:lineRule="auto"/>
            </w:pPr>
            <w:r w:rsidRPr="00364545">
              <w:t>AME 21 - HFC</w:t>
            </w:r>
          </w:p>
        </w:tc>
        <w:tc>
          <w:tcPr>
            <w:tcW w:w="71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534D3D7" w14:textId="77777777" w:rsidR="004D4A28" w:rsidRPr="00364545" w:rsidRDefault="004D4A28" w:rsidP="00361368">
            <w:pPr>
              <w:spacing w:line="259" w:lineRule="auto"/>
              <w:ind w:right="30"/>
              <w:jc w:val="center"/>
            </w:pPr>
            <w:r w:rsidRPr="00364545">
              <w:rPr>
                <w:b/>
                <w:color w:val="FFFFFF"/>
                <w:sz w:val="18"/>
              </w:rPr>
              <w:t>1990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6AFC742" w14:textId="77777777" w:rsidR="004D4A28" w:rsidRPr="00364545" w:rsidRDefault="004D4A28" w:rsidP="00361368">
            <w:pPr>
              <w:spacing w:line="259" w:lineRule="auto"/>
              <w:ind w:right="27"/>
              <w:jc w:val="center"/>
              <w:rPr>
                <w:b/>
                <w:color w:val="FFFFFF"/>
                <w:sz w:val="18"/>
              </w:rPr>
            </w:pPr>
            <w:r w:rsidRPr="00364545">
              <w:rPr>
                <w:b/>
                <w:color w:val="FFFFFF"/>
                <w:sz w:val="18"/>
              </w:rPr>
              <w:t>1995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07BF509" w14:textId="77777777" w:rsidR="004D4A28" w:rsidRPr="00364545" w:rsidRDefault="004D4A28" w:rsidP="00361368">
            <w:pPr>
              <w:spacing w:line="259" w:lineRule="auto"/>
              <w:ind w:right="27"/>
              <w:jc w:val="center"/>
            </w:pPr>
            <w:r w:rsidRPr="00364545">
              <w:rPr>
                <w:b/>
                <w:color w:val="FFFFFF"/>
                <w:sz w:val="18"/>
              </w:rPr>
              <w:t>2000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E742DBD" w14:textId="77777777" w:rsidR="004D4A28" w:rsidRPr="00364545" w:rsidRDefault="004D4A28" w:rsidP="00361368">
            <w:pPr>
              <w:spacing w:line="259" w:lineRule="auto"/>
              <w:ind w:right="30"/>
              <w:jc w:val="center"/>
            </w:pPr>
            <w:r w:rsidRPr="00364545">
              <w:rPr>
                <w:b/>
                <w:color w:val="FFFFFF"/>
                <w:sz w:val="18"/>
              </w:rPr>
              <w:t>2005</w:t>
            </w:r>
          </w:p>
        </w:tc>
        <w:tc>
          <w:tcPr>
            <w:tcW w:w="71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A0B92D6" w14:textId="77777777" w:rsidR="004D4A28" w:rsidRPr="00364545" w:rsidRDefault="004D4A28" w:rsidP="00361368">
            <w:pPr>
              <w:spacing w:line="259" w:lineRule="auto"/>
              <w:ind w:right="27"/>
              <w:jc w:val="center"/>
            </w:pPr>
            <w:r w:rsidRPr="00364545">
              <w:rPr>
                <w:b/>
                <w:color w:val="FFFFFF"/>
                <w:sz w:val="18"/>
              </w:rPr>
              <w:t>2010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90CFA28" w14:textId="77777777" w:rsidR="004D4A28" w:rsidRPr="00364545" w:rsidRDefault="004D4A28" w:rsidP="00361368">
            <w:pPr>
              <w:spacing w:line="259" w:lineRule="auto"/>
              <w:ind w:right="30"/>
              <w:jc w:val="center"/>
            </w:pPr>
            <w:r w:rsidRPr="00364545">
              <w:rPr>
                <w:b/>
                <w:color w:val="FFFFFF"/>
                <w:sz w:val="18"/>
              </w:rPr>
              <w:t>2015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1E57EE9" w14:textId="77777777" w:rsidR="004D4A28" w:rsidRPr="00364545" w:rsidRDefault="004D4A28" w:rsidP="00361368">
            <w:pPr>
              <w:spacing w:line="259" w:lineRule="auto"/>
              <w:ind w:right="27"/>
              <w:jc w:val="center"/>
              <w:rPr>
                <w:b/>
                <w:color w:val="FFFFFF"/>
                <w:sz w:val="18"/>
              </w:rPr>
            </w:pPr>
            <w:r w:rsidRPr="00364545">
              <w:rPr>
                <w:b/>
                <w:color w:val="FFFFFF"/>
                <w:sz w:val="18"/>
              </w:rPr>
              <w:t>2019</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C429B31" w14:textId="77777777" w:rsidR="004D4A28" w:rsidRPr="00364545" w:rsidRDefault="004D4A28" w:rsidP="00361368">
            <w:pPr>
              <w:spacing w:line="259" w:lineRule="auto"/>
              <w:ind w:right="27"/>
              <w:jc w:val="center"/>
            </w:pPr>
            <w:r w:rsidRPr="00364545">
              <w:rPr>
                <w:b/>
                <w:color w:val="FFFFFF"/>
                <w:sz w:val="18"/>
              </w:rPr>
              <w:t>2020</w:t>
            </w:r>
          </w:p>
        </w:tc>
        <w:tc>
          <w:tcPr>
            <w:tcW w:w="71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2488BE1" w14:textId="77777777" w:rsidR="004D4A28" w:rsidRPr="00364545" w:rsidRDefault="004D4A28" w:rsidP="00361368">
            <w:pPr>
              <w:spacing w:line="259" w:lineRule="auto"/>
              <w:ind w:right="30"/>
              <w:jc w:val="center"/>
            </w:pPr>
            <w:r w:rsidRPr="00364545">
              <w:rPr>
                <w:b/>
                <w:color w:val="FFFFFF"/>
                <w:sz w:val="18"/>
              </w:rPr>
              <w:t>2025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42B11ED" w14:textId="77777777" w:rsidR="004D4A28" w:rsidRPr="00364545" w:rsidRDefault="004D4A28" w:rsidP="00361368">
            <w:pPr>
              <w:spacing w:line="259" w:lineRule="auto"/>
              <w:ind w:right="27"/>
              <w:jc w:val="center"/>
            </w:pPr>
            <w:r w:rsidRPr="00364545">
              <w:rPr>
                <w:b/>
                <w:color w:val="FFFFFF"/>
                <w:sz w:val="18"/>
              </w:rPr>
              <w:t>2030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35B8D1C" w14:textId="77777777" w:rsidR="004D4A28" w:rsidRPr="00364545" w:rsidRDefault="004D4A28" w:rsidP="00361368">
            <w:pPr>
              <w:spacing w:line="259" w:lineRule="auto"/>
              <w:ind w:right="28"/>
              <w:jc w:val="center"/>
            </w:pPr>
            <w:r w:rsidRPr="00364545">
              <w:rPr>
                <w:b/>
                <w:color w:val="FFFFFF"/>
                <w:sz w:val="18"/>
              </w:rPr>
              <w:t>2035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A41471C" w14:textId="77777777" w:rsidR="004D4A28" w:rsidRPr="00364545" w:rsidRDefault="004D4A28" w:rsidP="00361368">
            <w:pPr>
              <w:spacing w:line="259" w:lineRule="auto"/>
              <w:ind w:right="28"/>
              <w:jc w:val="center"/>
              <w:rPr>
                <w:b/>
                <w:color w:val="FFFFFF"/>
                <w:sz w:val="18"/>
              </w:rPr>
            </w:pPr>
            <w:r w:rsidRPr="00364545">
              <w:rPr>
                <w:b/>
                <w:color w:val="FFFFFF"/>
                <w:sz w:val="18"/>
              </w:rPr>
              <w:t>2050</w:t>
            </w:r>
          </w:p>
        </w:tc>
      </w:tr>
      <w:tr w:rsidR="004D4A28" w:rsidRPr="00364545" w14:paraId="3DE807AE"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tcPr>
          <w:p w14:paraId="4EF7882B" w14:textId="77777777" w:rsidR="004D4A28" w:rsidRPr="00364545" w:rsidRDefault="004D4A28" w:rsidP="00361368">
            <w:pPr>
              <w:spacing w:line="259" w:lineRule="auto"/>
            </w:pPr>
            <w:r>
              <w:rPr>
                <w:sz w:val="18"/>
              </w:rPr>
              <w:t xml:space="preserve">Energie </w:t>
            </w:r>
          </w:p>
        </w:tc>
        <w:tc>
          <w:tcPr>
            <w:tcW w:w="710" w:type="dxa"/>
            <w:tcBorders>
              <w:top w:val="single" w:sz="2" w:space="0" w:color="000000"/>
              <w:left w:val="single" w:sz="2" w:space="0" w:color="000000"/>
              <w:bottom w:val="single" w:sz="2" w:space="0" w:color="000000"/>
              <w:right w:val="single" w:sz="2" w:space="0" w:color="000000"/>
            </w:tcBorders>
            <w:vAlign w:val="center"/>
          </w:tcPr>
          <w:p w14:paraId="092FB257"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5D9697C"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0B05E2B"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91939DE"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27CDAD80"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1885E128"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31B6899"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2D88AC75"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6F4CD1D4"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11A9D3C"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250F044E"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4C24E167"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r>
      <w:tr w:rsidR="004D4A28" w:rsidRPr="00364545" w14:paraId="08095322" w14:textId="77777777" w:rsidTr="00361368">
        <w:trPr>
          <w:trHeight w:val="419"/>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097B8132" w14:textId="77777777" w:rsidR="004D4A28" w:rsidRPr="00364545" w:rsidRDefault="004D4A28" w:rsidP="00361368">
            <w:pPr>
              <w:spacing w:line="259" w:lineRule="auto"/>
            </w:pPr>
            <w:r>
              <w:rPr>
                <w:sz w:val="18"/>
              </w:rPr>
              <w:t xml:space="preserve">Procédés industriels, solvants et autres produits </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180C9D" w14:textId="77777777" w:rsidR="004D4A28" w:rsidRPr="00634E4C" w:rsidRDefault="004D4A28" w:rsidP="00361368">
            <w:pPr>
              <w:spacing w:line="259" w:lineRule="auto"/>
              <w:ind w:right="28"/>
              <w:jc w:val="center"/>
              <w:rPr>
                <w:rFonts w:asciiTheme="majorHAnsi" w:hAnsiTheme="majorHAnsi"/>
                <w:sz w:val="18"/>
              </w:rPr>
            </w:pPr>
            <w:r w:rsidRPr="005D0955">
              <w:rPr>
                <w:rFonts w:asciiTheme="majorHAnsi" w:hAnsiTheme="majorHAnsi"/>
                <w:sz w:val="18"/>
                <w:szCs w:val="18"/>
              </w:rPr>
              <w:t>4402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A8DEBE" w14:textId="77777777" w:rsidR="004D4A28" w:rsidRPr="00634E4C" w:rsidRDefault="004D4A28" w:rsidP="00361368">
            <w:pPr>
              <w:spacing w:line="259" w:lineRule="auto"/>
              <w:ind w:right="28"/>
              <w:jc w:val="center"/>
              <w:rPr>
                <w:rFonts w:asciiTheme="majorHAnsi" w:hAnsiTheme="majorHAnsi"/>
                <w:color w:val="000000"/>
                <w:sz w:val="18"/>
              </w:rPr>
            </w:pPr>
            <w:r w:rsidRPr="005D0955">
              <w:rPr>
                <w:rFonts w:asciiTheme="majorHAnsi" w:hAnsiTheme="majorHAnsi"/>
                <w:sz w:val="18"/>
                <w:szCs w:val="18"/>
              </w:rPr>
              <w:t>1702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75F498" w14:textId="77777777" w:rsidR="004D4A28" w:rsidRPr="00634E4C" w:rsidRDefault="004D4A28" w:rsidP="00361368">
            <w:pPr>
              <w:spacing w:line="259" w:lineRule="auto"/>
              <w:ind w:right="28"/>
              <w:jc w:val="center"/>
              <w:rPr>
                <w:rFonts w:asciiTheme="majorHAnsi" w:hAnsiTheme="majorHAnsi"/>
                <w:color w:val="000000"/>
                <w:sz w:val="18"/>
              </w:rPr>
            </w:pPr>
            <w:r w:rsidRPr="005D0955">
              <w:rPr>
                <w:rFonts w:asciiTheme="majorHAnsi" w:hAnsiTheme="majorHAnsi"/>
                <w:sz w:val="18"/>
                <w:szCs w:val="18"/>
              </w:rPr>
              <w:t>6736</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4352F53" w14:textId="77777777" w:rsidR="004D4A28" w:rsidRPr="00634E4C" w:rsidRDefault="004D4A28" w:rsidP="00361368">
            <w:pPr>
              <w:spacing w:line="259" w:lineRule="auto"/>
              <w:ind w:right="28"/>
              <w:jc w:val="center"/>
              <w:rPr>
                <w:rFonts w:asciiTheme="majorHAnsi" w:hAnsiTheme="majorHAnsi"/>
                <w:color w:val="000000"/>
                <w:sz w:val="18"/>
              </w:rPr>
            </w:pPr>
            <w:r w:rsidRPr="005D0955">
              <w:rPr>
                <w:rFonts w:asciiTheme="majorHAnsi" w:hAnsiTheme="majorHAnsi"/>
                <w:sz w:val="18"/>
                <w:szCs w:val="18"/>
              </w:rPr>
              <w:t>12862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6587A0" w14:textId="77777777" w:rsidR="004D4A28" w:rsidRPr="00634E4C" w:rsidRDefault="004D4A28" w:rsidP="00361368">
            <w:pPr>
              <w:spacing w:line="259" w:lineRule="auto"/>
              <w:ind w:right="28"/>
              <w:jc w:val="center"/>
              <w:rPr>
                <w:rFonts w:asciiTheme="majorHAnsi" w:hAnsiTheme="majorHAnsi"/>
                <w:color w:val="000000"/>
                <w:sz w:val="18"/>
              </w:rPr>
            </w:pPr>
            <w:r w:rsidRPr="005D0955">
              <w:rPr>
                <w:rFonts w:asciiTheme="majorHAnsi" w:hAnsiTheme="majorHAnsi"/>
                <w:sz w:val="18"/>
                <w:szCs w:val="18"/>
              </w:rPr>
              <w:t>16930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10E45C" w14:textId="77777777" w:rsidR="004D4A28" w:rsidRPr="00634E4C" w:rsidRDefault="004D4A28" w:rsidP="00361368">
            <w:pPr>
              <w:spacing w:line="259" w:lineRule="auto"/>
              <w:ind w:right="28"/>
              <w:jc w:val="center"/>
              <w:rPr>
                <w:rFonts w:asciiTheme="majorHAnsi" w:hAnsiTheme="majorHAnsi"/>
                <w:color w:val="000000"/>
                <w:sz w:val="18"/>
              </w:rPr>
            </w:pPr>
            <w:r w:rsidRPr="005D0955">
              <w:rPr>
                <w:rFonts w:asciiTheme="majorHAnsi" w:hAnsiTheme="majorHAnsi"/>
                <w:sz w:val="18"/>
                <w:szCs w:val="18"/>
              </w:rPr>
              <w:t>17494</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157218" w14:textId="77777777" w:rsidR="004D4A28" w:rsidRPr="00634E4C" w:rsidRDefault="004D4A28" w:rsidP="00361368">
            <w:pPr>
              <w:spacing w:line="259" w:lineRule="auto"/>
              <w:ind w:right="28"/>
              <w:jc w:val="center"/>
              <w:rPr>
                <w:rFonts w:asciiTheme="majorHAnsi" w:hAnsiTheme="majorHAnsi"/>
                <w:color w:val="000000"/>
                <w:sz w:val="18"/>
              </w:rPr>
            </w:pPr>
            <w:r w:rsidRPr="005D0955">
              <w:rPr>
                <w:rFonts w:asciiTheme="majorHAnsi" w:hAnsiTheme="majorHAnsi"/>
                <w:sz w:val="18"/>
                <w:szCs w:val="18"/>
              </w:rPr>
              <w:t>12992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C6BFEF" w14:textId="77777777" w:rsidR="004D4A28" w:rsidRPr="00634E4C" w:rsidRDefault="004D4A28" w:rsidP="00361368">
            <w:pPr>
              <w:spacing w:line="259" w:lineRule="auto"/>
              <w:ind w:right="28"/>
              <w:jc w:val="center"/>
              <w:rPr>
                <w:rFonts w:asciiTheme="majorHAnsi" w:hAnsiTheme="majorHAnsi"/>
                <w:color w:val="000000"/>
                <w:sz w:val="18"/>
              </w:rPr>
            </w:pPr>
            <w:r w:rsidRPr="00634E4C">
              <w:rPr>
                <w:rFonts w:asciiTheme="majorHAnsi" w:hAnsiTheme="majorHAnsi"/>
                <w:color w:val="000000"/>
                <w:sz w:val="18"/>
              </w:rPr>
              <w:t>12721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BE1D06" w14:textId="77777777" w:rsidR="004D4A28" w:rsidRPr="00634E4C" w:rsidRDefault="004D4A28" w:rsidP="00361368">
            <w:pPr>
              <w:spacing w:line="259" w:lineRule="auto"/>
              <w:ind w:right="28"/>
              <w:jc w:val="center"/>
              <w:rPr>
                <w:rFonts w:asciiTheme="majorHAnsi" w:hAnsiTheme="majorHAnsi"/>
                <w:color w:val="000000"/>
                <w:sz w:val="18"/>
              </w:rPr>
            </w:pPr>
            <w:r w:rsidRPr="00634E4C">
              <w:rPr>
                <w:rFonts w:asciiTheme="majorHAnsi" w:hAnsiTheme="majorHAnsi"/>
                <w:color w:val="000000"/>
                <w:sz w:val="18"/>
              </w:rPr>
              <w:t>7817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6C49EB" w14:textId="77777777" w:rsidR="004D4A28" w:rsidRPr="00634E4C" w:rsidRDefault="004D4A28" w:rsidP="00361368">
            <w:pPr>
              <w:spacing w:line="259" w:lineRule="auto"/>
              <w:ind w:right="28"/>
              <w:jc w:val="center"/>
              <w:rPr>
                <w:rFonts w:asciiTheme="majorHAnsi" w:hAnsiTheme="majorHAnsi"/>
                <w:color w:val="000000"/>
                <w:sz w:val="18"/>
              </w:rPr>
            </w:pPr>
            <w:r w:rsidRPr="00634E4C">
              <w:rPr>
                <w:rFonts w:asciiTheme="majorHAnsi" w:hAnsiTheme="majorHAnsi"/>
                <w:color w:val="000000"/>
                <w:sz w:val="18"/>
              </w:rPr>
              <w:t>5053</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5C94F0" w14:textId="77777777" w:rsidR="004D4A28" w:rsidRPr="00634E4C" w:rsidRDefault="004D4A28" w:rsidP="00361368">
            <w:pPr>
              <w:spacing w:line="259" w:lineRule="auto"/>
              <w:ind w:right="28"/>
              <w:jc w:val="center"/>
              <w:rPr>
                <w:rFonts w:asciiTheme="majorHAnsi" w:hAnsiTheme="majorHAnsi"/>
                <w:color w:val="000000"/>
                <w:sz w:val="18"/>
              </w:rPr>
            </w:pPr>
            <w:r w:rsidRPr="00634E4C">
              <w:rPr>
                <w:rFonts w:asciiTheme="majorHAnsi" w:hAnsiTheme="majorHAnsi"/>
                <w:color w:val="000000"/>
                <w:sz w:val="18"/>
              </w:rPr>
              <w:t>3427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CA897D" w14:textId="77777777" w:rsidR="004D4A28" w:rsidRPr="00634E4C" w:rsidRDefault="004D4A28" w:rsidP="00361368">
            <w:pPr>
              <w:spacing w:line="259" w:lineRule="auto"/>
              <w:ind w:right="28"/>
              <w:jc w:val="center"/>
              <w:rPr>
                <w:rFonts w:asciiTheme="majorHAnsi" w:hAnsiTheme="majorHAnsi"/>
                <w:color w:val="000000"/>
                <w:sz w:val="18"/>
              </w:rPr>
            </w:pPr>
            <w:r w:rsidRPr="00634E4C">
              <w:rPr>
                <w:rFonts w:asciiTheme="majorHAnsi" w:hAnsiTheme="majorHAnsi"/>
                <w:color w:val="000000"/>
                <w:sz w:val="18"/>
              </w:rPr>
              <w:t>1831</w:t>
            </w:r>
          </w:p>
        </w:tc>
      </w:tr>
      <w:tr w:rsidR="004D4A28" w:rsidRPr="00364545" w14:paraId="1E49DD2F" w14:textId="77777777" w:rsidTr="00361368">
        <w:trPr>
          <w:trHeight w:val="347"/>
        </w:trPr>
        <w:tc>
          <w:tcPr>
            <w:tcW w:w="1405" w:type="dxa"/>
            <w:tcBorders>
              <w:top w:val="single" w:sz="2" w:space="0" w:color="000000"/>
              <w:left w:val="single" w:sz="2" w:space="0" w:color="000000"/>
              <w:bottom w:val="single" w:sz="2" w:space="0" w:color="000000"/>
              <w:right w:val="single" w:sz="2" w:space="0" w:color="000000"/>
            </w:tcBorders>
          </w:tcPr>
          <w:p w14:paraId="68C70735" w14:textId="77777777" w:rsidR="004D4A28" w:rsidRPr="00364545" w:rsidRDefault="004D4A28" w:rsidP="00361368">
            <w:pPr>
              <w:spacing w:line="259" w:lineRule="auto"/>
            </w:pPr>
            <w:r>
              <w:rPr>
                <w:sz w:val="18"/>
              </w:rPr>
              <w:t xml:space="preserve">Agriculture (hors énergie) </w:t>
            </w:r>
          </w:p>
        </w:tc>
        <w:tc>
          <w:tcPr>
            <w:tcW w:w="710" w:type="dxa"/>
            <w:tcBorders>
              <w:top w:val="single" w:sz="2" w:space="0" w:color="000000"/>
              <w:left w:val="single" w:sz="2" w:space="0" w:color="000000"/>
              <w:bottom w:val="single" w:sz="2" w:space="0" w:color="000000"/>
              <w:right w:val="single" w:sz="2" w:space="0" w:color="000000"/>
            </w:tcBorders>
            <w:vAlign w:val="center"/>
          </w:tcPr>
          <w:p w14:paraId="366C5D83"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64C3B96"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596D0E4"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5D8AE24"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449D89D2"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ABD28F5"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5D93FE1"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2A7484C3"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53160794"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F2D9156"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22D382D"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BD10F6E"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r>
      <w:tr w:rsidR="004D4A28" w:rsidRPr="00364545" w14:paraId="7C4962FC" w14:textId="77777777" w:rsidTr="00361368">
        <w:trPr>
          <w:trHeight w:val="342"/>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12B70F0C" w14:textId="77777777" w:rsidR="004D4A28" w:rsidRPr="00364545" w:rsidRDefault="004D4A28" w:rsidP="00361368">
            <w:pPr>
              <w:spacing w:line="259" w:lineRule="auto"/>
            </w:pPr>
            <w:r>
              <w:rPr>
                <w:sz w:val="18"/>
              </w:rPr>
              <w:t xml:space="preserve">UTCF </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C8F0F7"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D0F0A6"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ACDDA1"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BF54B7"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21A12F"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316477"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E7DB49"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D43FE2"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A39C10"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CA6FF48"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9C5576"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873D59"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r>
      <w:tr w:rsidR="004D4A28" w:rsidRPr="00364545" w14:paraId="58327CD3" w14:textId="77777777" w:rsidTr="00361368">
        <w:trPr>
          <w:trHeight w:val="347"/>
        </w:trPr>
        <w:tc>
          <w:tcPr>
            <w:tcW w:w="1405" w:type="dxa"/>
            <w:tcBorders>
              <w:top w:val="single" w:sz="2" w:space="0" w:color="000000"/>
              <w:left w:val="single" w:sz="2" w:space="0" w:color="000000"/>
              <w:bottom w:val="single" w:sz="2" w:space="0" w:color="000000"/>
              <w:right w:val="single" w:sz="2" w:space="0" w:color="000000"/>
            </w:tcBorders>
          </w:tcPr>
          <w:p w14:paraId="26674DB7" w14:textId="77777777" w:rsidR="004D4A28" w:rsidRPr="00364545" w:rsidRDefault="004D4A28" w:rsidP="00361368">
            <w:pPr>
              <w:spacing w:line="259" w:lineRule="auto"/>
            </w:pPr>
            <w:r>
              <w:rPr>
                <w:sz w:val="18"/>
              </w:rPr>
              <w:t xml:space="preserve">Déchets </w:t>
            </w:r>
          </w:p>
        </w:tc>
        <w:tc>
          <w:tcPr>
            <w:tcW w:w="710" w:type="dxa"/>
            <w:tcBorders>
              <w:top w:val="single" w:sz="2" w:space="0" w:color="000000"/>
              <w:left w:val="single" w:sz="2" w:space="0" w:color="000000"/>
              <w:bottom w:val="single" w:sz="2" w:space="0" w:color="000000"/>
              <w:right w:val="single" w:sz="2" w:space="0" w:color="000000"/>
            </w:tcBorders>
            <w:vAlign w:val="center"/>
          </w:tcPr>
          <w:p w14:paraId="641D3C2C"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509A43E4"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492B6ED9"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22485FB0"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4D8BA925"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1E4D1DA"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425350C4"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114E4E5E"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04212A7E"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767DC0C" w14:textId="77777777" w:rsidR="004D4A28" w:rsidRPr="00634E4C" w:rsidRDefault="004D4A28" w:rsidP="003613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36717BA5"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3AA14720"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r>
      <w:tr w:rsidR="004D4A28" w:rsidRPr="00364545" w14:paraId="1C746FFA"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23EBA191" w14:textId="77777777" w:rsidR="004D4A28" w:rsidRPr="00364545" w:rsidRDefault="004D4A28" w:rsidP="00361368">
            <w:pPr>
              <w:spacing w:line="259" w:lineRule="auto"/>
            </w:pPr>
            <w:r>
              <w:rPr>
                <w:b/>
                <w:sz w:val="18"/>
              </w:rPr>
              <w:t xml:space="preserve">Ensemble (hors UTCF) </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A1F545" w14:textId="77777777" w:rsidR="004D4A28" w:rsidRPr="00634E4C" w:rsidRDefault="004D4A28" w:rsidP="00361368">
            <w:pPr>
              <w:spacing w:line="259" w:lineRule="auto"/>
              <w:ind w:right="28"/>
              <w:jc w:val="center"/>
              <w:rPr>
                <w:rFonts w:asciiTheme="majorHAnsi" w:hAnsiTheme="majorHAnsi"/>
                <w:b/>
                <w:sz w:val="18"/>
              </w:rPr>
            </w:pPr>
            <w:r w:rsidRPr="005D0955">
              <w:rPr>
                <w:rFonts w:asciiTheme="majorHAnsi" w:hAnsiTheme="majorHAnsi"/>
                <w:sz w:val="18"/>
                <w:szCs w:val="18"/>
              </w:rPr>
              <w:t>4402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4B1761"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1702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CCD0BD"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6736</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07096BC" w14:textId="77777777" w:rsidR="004D4A28" w:rsidRPr="00634E4C" w:rsidRDefault="004D4A28" w:rsidP="00361368">
            <w:pPr>
              <w:spacing w:line="259" w:lineRule="auto"/>
              <w:ind w:right="28"/>
              <w:jc w:val="center"/>
              <w:rPr>
                <w:rFonts w:asciiTheme="majorHAnsi" w:hAnsiTheme="majorHAnsi"/>
                <w:b/>
                <w:sz w:val="18"/>
              </w:rPr>
            </w:pPr>
            <w:r w:rsidRPr="005D0955">
              <w:rPr>
                <w:rFonts w:asciiTheme="majorHAnsi" w:hAnsiTheme="majorHAnsi"/>
                <w:sz w:val="18"/>
                <w:szCs w:val="18"/>
              </w:rPr>
              <w:t>12862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538D5A"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16930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262947B" w14:textId="77777777" w:rsidR="004D4A28" w:rsidRPr="00634E4C" w:rsidRDefault="004D4A28" w:rsidP="00361368">
            <w:pPr>
              <w:spacing w:line="259" w:lineRule="auto"/>
              <w:ind w:right="28"/>
              <w:jc w:val="center"/>
              <w:rPr>
                <w:rFonts w:asciiTheme="majorHAnsi" w:hAnsiTheme="majorHAnsi"/>
                <w:b/>
                <w:sz w:val="18"/>
              </w:rPr>
            </w:pPr>
            <w:r w:rsidRPr="005D0955">
              <w:rPr>
                <w:rFonts w:asciiTheme="majorHAnsi" w:hAnsiTheme="majorHAnsi"/>
                <w:sz w:val="18"/>
                <w:szCs w:val="18"/>
              </w:rPr>
              <w:t>17494</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E703E8"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12992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B8DB138"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12721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D4BEAA" w14:textId="77777777" w:rsidR="004D4A28" w:rsidRPr="00634E4C" w:rsidRDefault="004D4A28" w:rsidP="00361368">
            <w:pPr>
              <w:spacing w:line="259" w:lineRule="auto"/>
              <w:ind w:right="28"/>
              <w:jc w:val="center"/>
              <w:rPr>
                <w:rFonts w:asciiTheme="majorHAnsi" w:hAnsiTheme="majorHAnsi"/>
                <w:b/>
                <w:sz w:val="18"/>
              </w:rPr>
            </w:pPr>
            <w:r w:rsidRPr="00634E4C">
              <w:rPr>
                <w:rFonts w:asciiTheme="majorHAnsi" w:hAnsiTheme="majorHAnsi"/>
                <w:b/>
                <w:color w:val="000000"/>
                <w:sz w:val="18"/>
              </w:rPr>
              <w:t>7817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A3230C"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5053</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847268"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3427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25BA9A"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1831</w:t>
            </w:r>
          </w:p>
        </w:tc>
      </w:tr>
      <w:tr w:rsidR="004D4A28" w:rsidRPr="00364545" w14:paraId="47041D35" w14:textId="77777777" w:rsidTr="00361368">
        <w:trPr>
          <w:trHeight w:val="346"/>
        </w:trPr>
        <w:tc>
          <w:tcPr>
            <w:tcW w:w="1405" w:type="dxa"/>
            <w:tcBorders>
              <w:top w:val="single" w:sz="2" w:space="0" w:color="000000"/>
              <w:left w:val="single" w:sz="2" w:space="0" w:color="000000"/>
              <w:bottom w:val="single" w:sz="2" w:space="0" w:color="000000"/>
              <w:right w:val="single" w:sz="2" w:space="0" w:color="000000"/>
            </w:tcBorders>
          </w:tcPr>
          <w:p w14:paraId="39F88EFB" w14:textId="77777777" w:rsidR="004D4A28" w:rsidRPr="00364545" w:rsidRDefault="004D4A28" w:rsidP="00361368">
            <w:pPr>
              <w:spacing w:line="259" w:lineRule="auto"/>
            </w:pPr>
            <w:r>
              <w:rPr>
                <w:b/>
                <w:sz w:val="18"/>
              </w:rPr>
              <w:t xml:space="preserve">Ensemble (avec UTCF) </w:t>
            </w:r>
          </w:p>
        </w:tc>
        <w:tc>
          <w:tcPr>
            <w:tcW w:w="710" w:type="dxa"/>
            <w:tcBorders>
              <w:top w:val="single" w:sz="2" w:space="0" w:color="000000"/>
              <w:left w:val="single" w:sz="2" w:space="0" w:color="000000"/>
              <w:bottom w:val="single" w:sz="2" w:space="0" w:color="000000"/>
              <w:right w:val="single" w:sz="2" w:space="0" w:color="000000"/>
            </w:tcBorders>
            <w:vAlign w:val="center"/>
          </w:tcPr>
          <w:p w14:paraId="0F91FFC3" w14:textId="77777777" w:rsidR="004D4A28" w:rsidRPr="00634E4C" w:rsidRDefault="004D4A28" w:rsidP="00361368">
            <w:pPr>
              <w:spacing w:line="259" w:lineRule="auto"/>
              <w:ind w:right="28"/>
              <w:jc w:val="center"/>
              <w:rPr>
                <w:rFonts w:asciiTheme="majorHAnsi" w:hAnsiTheme="majorHAnsi"/>
                <w:b/>
                <w:sz w:val="18"/>
              </w:rPr>
            </w:pPr>
            <w:r w:rsidRPr="005D0955">
              <w:rPr>
                <w:rFonts w:asciiTheme="majorHAnsi" w:hAnsiTheme="majorHAnsi"/>
                <w:sz w:val="18"/>
                <w:szCs w:val="18"/>
              </w:rPr>
              <w:t>4402</w:t>
            </w:r>
          </w:p>
        </w:tc>
        <w:tc>
          <w:tcPr>
            <w:tcW w:w="711" w:type="dxa"/>
            <w:tcBorders>
              <w:top w:val="single" w:sz="2" w:space="0" w:color="000000"/>
              <w:left w:val="single" w:sz="2" w:space="0" w:color="000000"/>
              <w:bottom w:val="single" w:sz="2" w:space="0" w:color="000000"/>
              <w:right w:val="single" w:sz="2" w:space="0" w:color="000000"/>
            </w:tcBorders>
            <w:vAlign w:val="center"/>
          </w:tcPr>
          <w:p w14:paraId="6F0DA7BD"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1702</w:t>
            </w:r>
          </w:p>
        </w:tc>
        <w:tc>
          <w:tcPr>
            <w:tcW w:w="711" w:type="dxa"/>
            <w:tcBorders>
              <w:top w:val="single" w:sz="2" w:space="0" w:color="000000"/>
              <w:left w:val="single" w:sz="2" w:space="0" w:color="000000"/>
              <w:bottom w:val="single" w:sz="2" w:space="0" w:color="000000"/>
              <w:right w:val="single" w:sz="2" w:space="0" w:color="000000"/>
            </w:tcBorders>
            <w:vAlign w:val="center"/>
          </w:tcPr>
          <w:p w14:paraId="79E8FDEF"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6736</w:t>
            </w:r>
          </w:p>
        </w:tc>
        <w:tc>
          <w:tcPr>
            <w:tcW w:w="711" w:type="dxa"/>
            <w:tcBorders>
              <w:top w:val="single" w:sz="2" w:space="0" w:color="000000"/>
              <w:left w:val="single" w:sz="2" w:space="0" w:color="000000"/>
              <w:bottom w:val="single" w:sz="2" w:space="0" w:color="000000"/>
              <w:right w:val="single" w:sz="2" w:space="0" w:color="000000"/>
            </w:tcBorders>
            <w:vAlign w:val="center"/>
          </w:tcPr>
          <w:p w14:paraId="7A62B8D3" w14:textId="77777777" w:rsidR="004D4A28" w:rsidRPr="00634E4C" w:rsidRDefault="004D4A28" w:rsidP="00361368">
            <w:pPr>
              <w:spacing w:line="259" w:lineRule="auto"/>
              <w:ind w:right="28"/>
              <w:jc w:val="center"/>
              <w:rPr>
                <w:rFonts w:asciiTheme="majorHAnsi" w:hAnsiTheme="majorHAnsi"/>
                <w:b/>
                <w:sz w:val="18"/>
              </w:rPr>
            </w:pPr>
            <w:r w:rsidRPr="005D0955">
              <w:rPr>
                <w:rFonts w:asciiTheme="majorHAnsi" w:hAnsiTheme="majorHAnsi"/>
                <w:sz w:val="18"/>
                <w:szCs w:val="18"/>
              </w:rPr>
              <w:t>12862</w:t>
            </w:r>
          </w:p>
        </w:tc>
        <w:tc>
          <w:tcPr>
            <w:tcW w:w="710" w:type="dxa"/>
            <w:tcBorders>
              <w:top w:val="single" w:sz="2" w:space="0" w:color="000000"/>
              <w:left w:val="single" w:sz="2" w:space="0" w:color="000000"/>
              <w:bottom w:val="single" w:sz="2" w:space="0" w:color="000000"/>
              <w:right w:val="single" w:sz="2" w:space="0" w:color="000000"/>
            </w:tcBorders>
            <w:vAlign w:val="center"/>
          </w:tcPr>
          <w:p w14:paraId="3859725C"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16930</w:t>
            </w:r>
          </w:p>
        </w:tc>
        <w:tc>
          <w:tcPr>
            <w:tcW w:w="711" w:type="dxa"/>
            <w:tcBorders>
              <w:top w:val="single" w:sz="2" w:space="0" w:color="000000"/>
              <w:left w:val="single" w:sz="2" w:space="0" w:color="000000"/>
              <w:bottom w:val="single" w:sz="2" w:space="0" w:color="000000"/>
              <w:right w:val="single" w:sz="2" w:space="0" w:color="000000"/>
            </w:tcBorders>
            <w:vAlign w:val="center"/>
          </w:tcPr>
          <w:p w14:paraId="5A850910" w14:textId="77777777" w:rsidR="004D4A28" w:rsidRPr="00634E4C" w:rsidRDefault="004D4A28" w:rsidP="00361368">
            <w:pPr>
              <w:spacing w:line="259" w:lineRule="auto"/>
              <w:ind w:right="28"/>
              <w:jc w:val="center"/>
              <w:rPr>
                <w:rFonts w:asciiTheme="majorHAnsi" w:hAnsiTheme="majorHAnsi"/>
                <w:b/>
                <w:sz w:val="18"/>
              </w:rPr>
            </w:pPr>
            <w:r w:rsidRPr="005D0955">
              <w:rPr>
                <w:rFonts w:asciiTheme="majorHAnsi" w:hAnsiTheme="majorHAnsi"/>
                <w:sz w:val="18"/>
                <w:szCs w:val="18"/>
              </w:rPr>
              <w:t>17494</w:t>
            </w:r>
          </w:p>
        </w:tc>
        <w:tc>
          <w:tcPr>
            <w:tcW w:w="711" w:type="dxa"/>
            <w:tcBorders>
              <w:top w:val="single" w:sz="2" w:space="0" w:color="000000"/>
              <w:left w:val="single" w:sz="2" w:space="0" w:color="000000"/>
              <w:bottom w:val="single" w:sz="2" w:space="0" w:color="000000"/>
              <w:right w:val="single" w:sz="2" w:space="0" w:color="000000"/>
            </w:tcBorders>
            <w:vAlign w:val="center"/>
          </w:tcPr>
          <w:p w14:paraId="3CB99C41" w14:textId="77777777" w:rsidR="004D4A28" w:rsidRPr="00634E4C" w:rsidRDefault="004D4A28" w:rsidP="00361368">
            <w:pPr>
              <w:spacing w:line="259" w:lineRule="auto"/>
              <w:ind w:right="27"/>
              <w:jc w:val="center"/>
              <w:rPr>
                <w:rFonts w:asciiTheme="majorHAnsi" w:hAnsiTheme="majorHAnsi"/>
                <w:b/>
                <w:sz w:val="18"/>
              </w:rPr>
            </w:pPr>
            <w:r w:rsidRPr="005D0955">
              <w:rPr>
                <w:rFonts w:asciiTheme="majorHAnsi" w:hAnsiTheme="majorHAnsi"/>
                <w:sz w:val="18"/>
                <w:szCs w:val="18"/>
              </w:rPr>
              <w:t>12992</w:t>
            </w:r>
          </w:p>
        </w:tc>
        <w:tc>
          <w:tcPr>
            <w:tcW w:w="711" w:type="dxa"/>
            <w:tcBorders>
              <w:top w:val="single" w:sz="2" w:space="0" w:color="000000"/>
              <w:left w:val="single" w:sz="2" w:space="0" w:color="000000"/>
              <w:bottom w:val="single" w:sz="2" w:space="0" w:color="000000"/>
              <w:right w:val="single" w:sz="2" w:space="0" w:color="000000"/>
            </w:tcBorders>
            <w:vAlign w:val="center"/>
          </w:tcPr>
          <w:p w14:paraId="37AC439A"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12721</w:t>
            </w:r>
          </w:p>
        </w:tc>
        <w:tc>
          <w:tcPr>
            <w:tcW w:w="710" w:type="dxa"/>
            <w:tcBorders>
              <w:top w:val="single" w:sz="2" w:space="0" w:color="000000"/>
              <w:left w:val="single" w:sz="2" w:space="0" w:color="000000"/>
              <w:bottom w:val="single" w:sz="2" w:space="0" w:color="000000"/>
              <w:right w:val="single" w:sz="2" w:space="0" w:color="000000"/>
            </w:tcBorders>
            <w:vAlign w:val="center"/>
          </w:tcPr>
          <w:p w14:paraId="66AA4A8D" w14:textId="77777777" w:rsidR="004D4A28" w:rsidRPr="00634E4C" w:rsidRDefault="004D4A28" w:rsidP="00361368">
            <w:pPr>
              <w:spacing w:line="259" w:lineRule="auto"/>
              <w:ind w:right="28"/>
              <w:jc w:val="center"/>
              <w:rPr>
                <w:rFonts w:asciiTheme="majorHAnsi" w:hAnsiTheme="majorHAnsi"/>
                <w:b/>
                <w:sz w:val="18"/>
              </w:rPr>
            </w:pPr>
            <w:r w:rsidRPr="00634E4C">
              <w:rPr>
                <w:rFonts w:asciiTheme="majorHAnsi" w:hAnsiTheme="majorHAnsi"/>
                <w:b/>
                <w:color w:val="000000"/>
                <w:sz w:val="18"/>
              </w:rPr>
              <w:t>7817</w:t>
            </w:r>
          </w:p>
        </w:tc>
        <w:tc>
          <w:tcPr>
            <w:tcW w:w="711" w:type="dxa"/>
            <w:tcBorders>
              <w:top w:val="single" w:sz="2" w:space="0" w:color="000000"/>
              <w:left w:val="single" w:sz="2" w:space="0" w:color="000000"/>
              <w:bottom w:val="single" w:sz="2" w:space="0" w:color="000000"/>
              <w:right w:val="single" w:sz="2" w:space="0" w:color="000000"/>
            </w:tcBorders>
            <w:vAlign w:val="center"/>
          </w:tcPr>
          <w:p w14:paraId="2DFAFABC"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5053</w:t>
            </w:r>
          </w:p>
        </w:tc>
        <w:tc>
          <w:tcPr>
            <w:tcW w:w="711" w:type="dxa"/>
            <w:tcBorders>
              <w:top w:val="single" w:sz="2" w:space="0" w:color="000000"/>
              <w:left w:val="single" w:sz="2" w:space="0" w:color="000000"/>
              <w:bottom w:val="single" w:sz="2" w:space="0" w:color="000000"/>
              <w:right w:val="single" w:sz="2" w:space="0" w:color="000000"/>
            </w:tcBorders>
            <w:vAlign w:val="center"/>
          </w:tcPr>
          <w:p w14:paraId="1071CD46"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3427</w:t>
            </w:r>
          </w:p>
        </w:tc>
        <w:tc>
          <w:tcPr>
            <w:tcW w:w="711" w:type="dxa"/>
            <w:tcBorders>
              <w:top w:val="single" w:sz="2" w:space="0" w:color="000000"/>
              <w:left w:val="single" w:sz="2" w:space="0" w:color="000000"/>
              <w:bottom w:val="single" w:sz="2" w:space="0" w:color="000000"/>
              <w:right w:val="single" w:sz="2" w:space="0" w:color="000000"/>
            </w:tcBorders>
            <w:vAlign w:val="center"/>
          </w:tcPr>
          <w:p w14:paraId="78DCBB23" w14:textId="77777777" w:rsidR="004D4A28" w:rsidRPr="00634E4C" w:rsidRDefault="004D4A28" w:rsidP="00361368">
            <w:pPr>
              <w:spacing w:line="259" w:lineRule="auto"/>
              <w:ind w:right="27"/>
              <w:jc w:val="center"/>
              <w:rPr>
                <w:rFonts w:asciiTheme="majorHAnsi" w:hAnsiTheme="majorHAnsi"/>
                <w:b/>
                <w:sz w:val="18"/>
              </w:rPr>
            </w:pPr>
            <w:r w:rsidRPr="00634E4C">
              <w:rPr>
                <w:rFonts w:asciiTheme="majorHAnsi" w:hAnsiTheme="majorHAnsi"/>
                <w:b/>
                <w:color w:val="000000"/>
                <w:sz w:val="18"/>
              </w:rPr>
              <w:t>1831</w:t>
            </w:r>
          </w:p>
        </w:tc>
      </w:tr>
    </w:tbl>
    <w:p w14:paraId="03E15EE3" w14:textId="77777777" w:rsidR="004D4A28" w:rsidRDefault="004D4A28" w:rsidP="004D4A28">
      <w:pPr>
        <w:pStyle w:val="Caption"/>
      </w:pPr>
    </w:p>
    <w:p w14:paraId="7801DBC4" w14:textId="77777777" w:rsidR="004D4A28" w:rsidRDefault="004D4A28" w:rsidP="004D4A28">
      <w:pPr>
        <w:pStyle w:val="Caption"/>
      </w:pPr>
      <w:r>
        <w:t xml:space="preserve">Tableau </w:t>
      </w:r>
      <w:r w:rsidR="00757301">
        <w:fldChar w:fldCharType="begin"/>
      </w:r>
      <w:r w:rsidR="00757301">
        <w:instrText xml:space="preserve"> SEQ Tableau \* ARABIC </w:instrText>
      </w:r>
      <w:r w:rsidR="00757301">
        <w:fldChar w:fldCharType="separate"/>
      </w:r>
      <w:r>
        <w:rPr>
          <w:noProof/>
        </w:rPr>
        <w:t>22</w:t>
      </w:r>
      <w:r w:rsidR="00757301">
        <w:rPr>
          <w:noProof/>
        </w:rPr>
        <w:fldChar w:fldCharType="end"/>
      </w:r>
      <w:r>
        <w:t xml:space="preserve"> </w:t>
      </w:r>
      <w:r w:rsidRPr="00160820">
        <w:t xml:space="preserve">: Projections d’émissions de HFC (en </w:t>
      </w:r>
      <w:r w:rsidRPr="00590551">
        <w:t>kt</w:t>
      </w:r>
      <w:r>
        <w:t>CO</w:t>
      </w:r>
      <w:r w:rsidRPr="007F09F7">
        <w:rPr>
          <w:vertAlign w:val="subscript"/>
        </w:rPr>
        <w:t>2</w:t>
      </w:r>
      <w:r w:rsidRPr="00160820">
        <w:rPr>
          <w:vertAlign w:val="subscript"/>
        </w:rPr>
        <w:t>e</w:t>
      </w:r>
      <w:r w:rsidRPr="00160820">
        <w:t>) au périmètre Kyoto dans le scénario AME (avec mesures existantes)</w:t>
      </w:r>
      <w:bookmarkEnd w:id="163"/>
    </w:p>
    <w:p w14:paraId="7A58DBF8" w14:textId="77777777" w:rsidR="004D4A28" w:rsidRPr="006E15FD" w:rsidRDefault="004D4A28" w:rsidP="004D4A28">
      <w:pPr>
        <w:pStyle w:val="Caption"/>
      </w:pPr>
      <w:r w:rsidRPr="006E15FD">
        <w:t>Source : Inventaire CCNUCC, Citepa/MTE, soumission 20</w:t>
      </w:r>
      <w:r>
        <w:t>22</w:t>
      </w:r>
      <w:r w:rsidRPr="006E15FD">
        <w:t xml:space="preserve"> et projections d’émissions MTE, 20</w:t>
      </w:r>
      <w:r>
        <w:t>21</w:t>
      </w:r>
    </w:p>
    <w:p w14:paraId="3DFBBD58" w14:textId="77777777" w:rsidR="004D4A28" w:rsidRDefault="004D4A28" w:rsidP="004D4A28"/>
    <w:p w14:paraId="7D9BA35E" w14:textId="77777777" w:rsidR="004D4A28" w:rsidRPr="00364545" w:rsidRDefault="004D4A28" w:rsidP="004D4A28">
      <w:bookmarkStart w:id="164" w:name="_Toc123916515"/>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510"/>
        <w:gridCol w:w="765"/>
        <w:gridCol w:w="792"/>
        <w:gridCol w:w="792"/>
        <w:gridCol w:w="762"/>
        <w:gridCol w:w="685"/>
        <w:gridCol w:w="683"/>
        <w:gridCol w:w="675"/>
        <w:gridCol w:w="691"/>
        <w:gridCol w:w="658"/>
        <w:gridCol w:w="660"/>
        <w:gridCol w:w="659"/>
        <w:gridCol w:w="602"/>
      </w:tblGrid>
      <w:tr w:rsidR="004D4A28" w:rsidRPr="00364545" w14:paraId="5D7ED129" w14:textId="77777777" w:rsidTr="00361368">
        <w:trPr>
          <w:trHeight w:val="402"/>
        </w:trPr>
        <w:tc>
          <w:tcPr>
            <w:tcW w:w="1510" w:type="dxa"/>
            <w:tcBorders>
              <w:top w:val="single" w:sz="2" w:space="0" w:color="000000"/>
              <w:left w:val="single" w:sz="2" w:space="0" w:color="000000"/>
              <w:bottom w:val="single" w:sz="2" w:space="0" w:color="000000"/>
              <w:right w:val="single" w:sz="2" w:space="0" w:color="000000"/>
            </w:tcBorders>
            <w:shd w:val="clear" w:color="auto" w:fill="6D2A78"/>
          </w:tcPr>
          <w:p w14:paraId="56D75B83" w14:textId="77777777" w:rsidR="004D4A28" w:rsidRPr="00364545" w:rsidRDefault="004D4A28" w:rsidP="00361368">
            <w:pPr>
              <w:spacing w:line="259" w:lineRule="auto"/>
            </w:pPr>
            <w:r w:rsidRPr="00364545">
              <w:t>AME 21 - PFC</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1EDE8EED" w14:textId="77777777" w:rsidR="004D4A28" w:rsidRPr="00364545" w:rsidRDefault="004D4A28" w:rsidP="00361368">
            <w:pPr>
              <w:spacing w:line="259" w:lineRule="auto"/>
              <w:ind w:left="19"/>
              <w:jc w:val="center"/>
            </w:pPr>
            <w:r w:rsidRPr="00364545">
              <w:rPr>
                <w:b/>
                <w:color w:val="FFFFFF"/>
                <w:sz w:val="18"/>
              </w:rPr>
              <w:t xml:space="preserve">1990 </w:t>
            </w:r>
          </w:p>
        </w:tc>
        <w:tc>
          <w:tcPr>
            <w:tcW w:w="792" w:type="dxa"/>
            <w:tcBorders>
              <w:top w:val="single" w:sz="2" w:space="0" w:color="000000"/>
              <w:left w:val="single" w:sz="2" w:space="0" w:color="000000"/>
              <w:bottom w:val="single" w:sz="2" w:space="0" w:color="000000"/>
              <w:right w:val="single" w:sz="2" w:space="0" w:color="000000"/>
            </w:tcBorders>
            <w:shd w:val="clear" w:color="auto" w:fill="6D2A78"/>
          </w:tcPr>
          <w:p w14:paraId="5B1DE7DF" w14:textId="77777777" w:rsidR="004D4A28" w:rsidRPr="00364545" w:rsidRDefault="004D4A28" w:rsidP="00361368">
            <w:pPr>
              <w:spacing w:line="259" w:lineRule="auto"/>
              <w:ind w:left="21"/>
              <w:jc w:val="center"/>
              <w:rPr>
                <w:b/>
                <w:color w:val="FFFFFF"/>
                <w:sz w:val="18"/>
              </w:rPr>
            </w:pPr>
            <w:r w:rsidRPr="00364545">
              <w:rPr>
                <w:b/>
                <w:color w:val="FFFFFF"/>
                <w:sz w:val="18"/>
              </w:rPr>
              <w:t>1995</w:t>
            </w:r>
          </w:p>
        </w:tc>
        <w:tc>
          <w:tcPr>
            <w:tcW w:w="792" w:type="dxa"/>
            <w:tcBorders>
              <w:top w:val="single" w:sz="2" w:space="0" w:color="000000"/>
              <w:left w:val="single" w:sz="2" w:space="0" w:color="000000"/>
              <w:bottom w:val="single" w:sz="2" w:space="0" w:color="000000"/>
              <w:right w:val="single" w:sz="2" w:space="0" w:color="000000"/>
            </w:tcBorders>
            <w:shd w:val="clear" w:color="auto" w:fill="6D2A78"/>
          </w:tcPr>
          <w:p w14:paraId="255544AF" w14:textId="77777777" w:rsidR="004D4A28" w:rsidRPr="00364545" w:rsidRDefault="004D4A28" w:rsidP="00361368">
            <w:pPr>
              <w:spacing w:line="259" w:lineRule="auto"/>
              <w:ind w:left="21"/>
              <w:jc w:val="center"/>
            </w:pPr>
            <w:r w:rsidRPr="00364545">
              <w:rPr>
                <w:b/>
                <w:color w:val="FFFFFF"/>
                <w:sz w:val="18"/>
              </w:rPr>
              <w:t xml:space="preserve">2000 </w:t>
            </w:r>
          </w:p>
        </w:tc>
        <w:tc>
          <w:tcPr>
            <w:tcW w:w="762" w:type="dxa"/>
            <w:tcBorders>
              <w:top w:val="single" w:sz="2" w:space="0" w:color="000000"/>
              <w:left w:val="single" w:sz="2" w:space="0" w:color="000000"/>
              <w:bottom w:val="single" w:sz="2" w:space="0" w:color="000000"/>
              <w:right w:val="single" w:sz="2" w:space="0" w:color="000000"/>
            </w:tcBorders>
            <w:shd w:val="clear" w:color="auto" w:fill="6D2A78"/>
          </w:tcPr>
          <w:p w14:paraId="5338ABEA" w14:textId="77777777" w:rsidR="004D4A28" w:rsidRPr="00364545" w:rsidRDefault="004D4A28" w:rsidP="00361368">
            <w:pPr>
              <w:spacing w:line="259" w:lineRule="auto"/>
              <w:ind w:left="19"/>
              <w:jc w:val="center"/>
            </w:pPr>
            <w:r w:rsidRPr="00364545">
              <w:rPr>
                <w:b/>
                <w:color w:val="FFFFFF"/>
                <w:sz w:val="18"/>
              </w:rPr>
              <w:t xml:space="preserve">2005 </w:t>
            </w:r>
          </w:p>
        </w:tc>
        <w:tc>
          <w:tcPr>
            <w:tcW w:w="685" w:type="dxa"/>
            <w:tcBorders>
              <w:top w:val="single" w:sz="2" w:space="0" w:color="000000"/>
              <w:left w:val="single" w:sz="2" w:space="0" w:color="000000"/>
              <w:bottom w:val="single" w:sz="2" w:space="0" w:color="000000"/>
              <w:right w:val="single" w:sz="2" w:space="0" w:color="000000"/>
            </w:tcBorders>
            <w:shd w:val="clear" w:color="auto" w:fill="6D2A78"/>
          </w:tcPr>
          <w:p w14:paraId="40280EA4" w14:textId="77777777" w:rsidR="004D4A28" w:rsidRPr="00364545" w:rsidRDefault="004D4A28" w:rsidP="00361368">
            <w:pPr>
              <w:spacing w:line="259" w:lineRule="auto"/>
              <w:ind w:left="21"/>
              <w:jc w:val="center"/>
            </w:pPr>
            <w:r w:rsidRPr="00364545">
              <w:rPr>
                <w:b/>
                <w:color w:val="FFFFFF"/>
                <w:sz w:val="18"/>
              </w:rPr>
              <w:t xml:space="preserve">2010 </w:t>
            </w:r>
          </w:p>
        </w:tc>
        <w:tc>
          <w:tcPr>
            <w:tcW w:w="683" w:type="dxa"/>
            <w:tcBorders>
              <w:top w:val="single" w:sz="2" w:space="0" w:color="000000"/>
              <w:left w:val="single" w:sz="2" w:space="0" w:color="000000"/>
              <w:bottom w:val="single" w:sz="2" w:space="0" w:color="000000"/>
              <w:right w:val="single" w:sz="2" w:space="0" w:color="000000"/>
            </w:tcBorders>
            <w:shd w:val="clear" w:color="auto" w:fill="6D2A78"/>
          </w:tcPr>
          <w:p w14:paraId="5BC6933A" w14:textId="77777777" w:rsidR="004D4A28" w:rsidRPr="00364545" w:rsidRDefault="004D4A28" w:rsidP="00361368">
            <w:pPr>
              <w:spacing w:line="259" w:lineRule="auto"/>
              <w:ind w:left="19"/>
              <w:jc w:val="center"/>
            </w:pPr>
            <w:r w:rsidRPr="00364545">
              <w:rPr>
                <w:b/>
                <w:color w:val="FFFFFF"/>
                <w:sz w:val="18"/>
              </w:rPr>
              <w:t xml:space="preserve">2015 </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6C0AF641" w14:textId="77777777" w:rsidR="004D4A28" w:rsidRPr="00364545" w:rsidRDefault="004D4A28" w:rsidP="00361368">
            <w:pPr>
              <w:spacing w:line="259" w:lineRule="auto"/>
              <w:ind w:left="21"/>
              <w:jc w:val="center"/>
              <w:rPr>
                <w:b/>
                <w:color w:val="FFFFFF"/>
                <w:sz w:val="18"/>
              </w:rPr>
            </w:pPr>
            <w:r w:rsidRPr="00364545">
              <w:rPr>
                <w:b/>
                <w:color w:val="FFFFFF"/>
                <w:sz w:val="18"/>
              </w:rPr>
              <w:t>2019</w:t>
            </w:r>
          </w:p>
        </w:tc>
        <w:tc>
          <w:tcPr>
            <w:tcW w:w="691" w:type="dxa"/>
            <w:tcBorders>
              <w:top w:val="single" w:sz="2" w:space="0" w:color="000000"/>
              <w:left w:val="single" w:sz="2" w:space="0" w:color="000000"/>
              <w:bottom w:val="single" w:sz="2" w:space="0" w:color="000000"/>
              <w:right w:val="single" w:sz="2" w:space="0" w:color="000000"/>
            </w:tcBorders>
            <w:shd w:val="clear" w:color="auto" w:fill="6D2A78"/>
          </w:tcPr>
          <w:p w14:paraId="7B9601D0" w14:textId="77777777" w:rsidR="004D4A28" w:rsidRPr="00364545" w:rsidRDefault="004D4A28" w:rsidP="00361368">
            <w:pPr>
              <w:spacing w:line="259" w:lineRule="auto"/>
              <w:ind w:left="21"/>
              <w:jc w:val="center"/>
            </w:pPr>
            <w:r w:rsidRPr="00364545">
              <w:rPr>
                <w:b/>
                <w:color w:val="FFFFFF"/>
                <w:sz w:val="18"/>
              </w:rPr>
              <w:t xml:space="preserve">2020 </w:t>
            </w:r>
          </w:p>
        </w:tc>
        <w:tc>
          <w:tcPr>
            <w:tcW w:w="658" w:type="dxa"/>
            <w:tcBorders>
              <w:top w:val="single" w:sz="2" w:space="0" w:color="000000"/>
              <w:left w:val="single" w:sz="2" w:space="0" w:color="000000"/>
              <w:bottom w:val="single" w:sz="2" w:space="0" w:color="000000"/>
              <w:right w:val="single" w:sz="2" w:space="0" w:color="000000"/>
            </w:tcBorders>
            <w:shd w:val="clear" w:color="auto" w:fill="6D2A78"/>
          </w:tcPr>
          <w:p w14:paraId="44D07F79" w14:textId="77777777" w:rsidR="004D4A28" w:rsidRPr="00364545" w:rsidRDefault="004D4A28" w:rsidP="00361368">
            <w:pPr>
              <w:spacing w:line="259" w:lineRule="auto"/>
              <w:ind w:left="19"/>
              <w:jc w:val="center"/>
            </w:pPr>
            <w:r w:rsidRPr="00364545">
              <w:rPr>
                <w:b/>
                <w:color w:val="FFFFFF"/>
                <w:sz w:val="18"/>
              </w:rPr>
              <w:t xml:space="preserve">2025 </w:t>
            </w:r>
          </w:p>
        </w:tc>
        <w:tc>
          <w:tcPr>
            <w:tcW w:w="660" w:type="dxa"/>
            <w:tcBorders>
              <w:top w:val="single" w:sz="2" w:space="0" w:color="000000"/>
              <w:left w:val="single" w:sz="2" w:space="0" w:color="000000"/>
              <w:bottom w:val="single" w:sz="2" w:space="0" w:color="000000"/>
              <w:right w:val="single" w:sz="2" w:space="0" w:color="000000"/>
            </w:tcBorders>
            <w:shd w:val="clear" w:color="auto" w:fill="6D2A78"/>
          </w:tcPr>
          <w:p w14:paraId="0DB728FD" w14:textId="77777777" w:rsidR="004D4A28" w:rsidRPr="00364545" w:rsidRDefault="004D4A28" w:rsidP="00361368">
            <w:pPr>
              <w:spacing w:line="259" w:lineRule="auto"/>
              <w:ind w:left="21"/>
              <w:jc w:val="center"/>
            </w:pPr>
            <w:r w:rsidRPr="00364545">
              <w:rPr>
                <w:b/>
                <w:color w:val="FFFFFF"/>
                <w:sz w:val="18"/>
              </w:rPr>
              <w:t xml:space="preserve">2030 </w:t>
            </w:r>
          </w:p>
        </w:tc>
        <w:tc>
          <w:tcPr>
            <w:tcW w:w="659" w:type="dxa"/>
            <w:tcBorders>
              <w:top w:val="single" w:sz="2" w:space="0" w:color="000000"/>
              <w:left w:val="single" w:sz="2" w:space="0" w:color="000000"/>
              <w:bottom w:val="single" w:sz="2" w:space="0" w:color="000000"/>
              <w:right w:val="single" w:sz="2" w:space="0" w:color="000000"/>
            </w:tcBorders>
            <w:shd w:val="clear" w:color="auto" w:fill="6D2A78"/>
          </w:tcPr>
          <w:p w14:paraId="46AC3831" w14:textId="77777777" w:rsidR="004D4A28" w:rsidRPr="00364545" w:rsidRDefault="004D4A28" w:rsidP="00361368">
            <w:pPr>
              <w:spacing w:line="259" w:lineRule="auto"/>
              <w:ind w:left="20"/>
              <w:jc w:val="center"/>
            </w:pPr>
            <w:r w:rsidRPr="00364545">
              <w:rPr>
                <w:b/>
                <w:color w:val="FFFFFF"/>
                <w:sz w:val="18"/>
              </w:rPr>
              <w:t xml:space="preserve">2035 </w:t>
            </w:r>
          </w:p>
        </w:tc>
        <w:tc>
          <w:tcPr>
            <w:tcW w:w="602" w:type="dxa"/>
            <w:tcBorders>
              <w:top w:val="single" w:sz="2" w:space="0" w:color="000000"/>
              <w:left w:val="single" w:sz="2" w:space="0" w:color="000000"/>
              <w:bottom w:val="single" w:sz="2" w:space="0" w:color="000000"/>
              <w:right w:val="single" w:sz="2" w:space="0" w:color="000000"/>
            </w:tcBorders>
            <w:shd w:val="clear" w:color="auto" w:fill="6D2A78"/>
          </w:tcPr>
          <w:p w14:paraId="57F4982D" w14:textId="77777777" w:rsidR="004D4A28" w:rsidRPr="00364545" w:rsidRDefault="004D4A28" w:rsidP="00361368">
            <w:pPr>
              <w:spacing w:line="259" w:lineRule="auto"/>
              <w:ind w:left="20"/>
              <w:jc w:val="center"/>
              <w:rPr>
                <w:b/>
                <w:color w:val="FFFFFF"/>
                <w:sz w:val="18"/>
              </w:rPr>
            </w:pPr>
            <w:r w:rsidRPr="00364545">
              <w:rPr>
                <w:b/>
                <w:color w:val="FFFFFF"/>
                <w:sz w:val="18"/>
              </w:rPr>
              <w:t>2050</w:t>
            </w:r>
          </w:p>
        </w:tc>
      </w:tr>
      <w:tr w:rsidR="004D4A28" w:rsidRPr="00364545" w14:paraId="2F811EDF" w14:textId="77777777" w:rsidTr="00361368">
        <w:trPr>
          <w:trHeight w:val="344"/>
        </w:trPr>
        <w:tc>
          <w:tcPr>
            <w:tcW w:w="1510" w:type="dxa"/>
            <w:tcBorders>
              <w:top w:val="single" w:sz="2" w:space="0" w:color="000000"/>
              <w:left w:val="single" w:sz="2" w:space="0" w:color="000000"/>
              <w:bottom w:val="single" w:sz="2" w:space="0" w:color="000000"/>
              <w:right w:val="single" w:sz="2" w:space="0" w:color="000000"/>
            </w:tcBorders>
          </w:tcPr>
          <w:p w14:paraId="652AF16D" w14:textId="77777777" w:rsidR="004D4A28" w:rsidRPr="00364545" w:rsidRDefault="004D4A28" w:rsidP="00361368">
            <w:pPr>
              <w:spacing w:line="259" w:lineRule="auto"/>
            </w:pPr>
            <w:r>
              <w:rPr>
                <w:sz w:val="18"/>
              </w:rPr>
              <w:t xml:space="preserve">Energie </w:t>
            </w:r>
          </w:p>
        </w:tc>
        <w:tc>
          <w:tcPr>
            <w:tcW w:w="765" w:type="dxa"/>
            <w:tcBorders>
              <w:top w:val="single" w:sz="2" w:space="0" w:color="000000"/>
              <w:left w:val="single" w:sz="2" w:space="0" w:color="000000"/>
              <w:bottom w:val="single" w:sz="2" w:space="0" w:color="000000"/>
              <w:right w:val="single" w:sz="2" w:space="0" w:color="000000"/>
            </w:tcBorders>
            <w:vAlign w:val="center"/>
          </w:tcPr>
          <w:p w14:paraId="3B7CD324"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3EBCDF2D"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6ECA85AE"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6A775739"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vAlign w:val="center"/>
          </w:tcPr>
          <w:p w14:paraId="7F5A1F03"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vAlign w:val="center"/>
          </w:tcPr>
          <w:p w14:paraId="3F64B937"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16224807"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vAlign w:val="center"/>
          </w:tcPr>
          <w:p w14:paraId="3C31EE3D"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vAlign w:val="center"/>
          </w:tcPr>
          <w:p w14:paraId="628D6EC1"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vAlign w:val="center"/>
          </w:tcPr>
          <w:p w14:paraId="66DEBEB9"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vAlign w:val="center"/>
          </w:tcPr>
          <w:p w14:paraId="0A47AC88"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vAlign w:val="center"/>
          </w:tcPr>
          <w:p w14:paraId="7AB29167"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r>
      <w:tr w:rsidR="004D4A28" w:rsidRPr="00364545" w14:paraId="6916EC16" w14:textId="77777777" w:rsidTr="00361368">
        <w:trPr>
          <w:trHeight w:val="419"/>
        </w:trPr>
        <w:tc>
          <w:tcPr>
            <w:tcW w:w="1510" w:type="dxa"/>
            <w:tcBorders>
              <w:top w:val="single" w:sz="2" w:space="0" w:color="000000"/>
              <w:left w:val="single" w:sz="2" w:space="0" w:color="000000"/>
              <w:bottom w:val="single" w:sz="2" w:space="0" w:color="000000"/>
              <w:right w:val="single" w:sz="2" w:space="0" w:color="000000"/>
            </w:tcBorders>
            <w:shd w:val="clear" w:color="auto" w:fill="ECE6E2"/>
          </w:tcPr>
          <w:p w14:paraId="078A0DA2" w14:textId="77777777" w:rsidR="004D4A28" w:rsidRPr="00364545" w:rsidRDefault="004D4A28" w:rsidP="00361368">
            <w:pPr>
              <w:spacing w:line="259" w:lineRule="auto"/>
            </w:pPr>
            <w:r>
              <w:rPr>
                <w:sz w:val="18"/>
              </w:rPr>
              <w:t xml:space="preserve">Procédés industriels, solvants et autres produits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639B14E" w14:textId="77777777" w:rsidR="004D4A28" w:rsidRPr="00634E4C" w:rsidRDefault="004D4A28" w:rsidP="00361368">
            <w:pPr>
              <w:spacing w:line="259" w:lineRule="auto"/>
              <w:ind w:left="16"/>
              <w:jc w:val="center"/>
              <w:rPr>
                <w:rFonts w:asciiTheme="majorHAnsi" w:hAnsiTheme="majorHAnsi"/>
                <w:sz w:val="18"/>
              </w:rPr>
            </w:pPr>
            <w:r w:rsidRPr="005D0955">
              <w:rPr>
                <w:rFonts w:asciiTheme="majorHAnsi" w:hAnsiTheme="majorHAnsi"/>
                <w:sz w:val="18"/>
                <w:szCs w:val="18"/>
              </w:rPr>
              <w:t>5202</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E53D2AD" w14:textId="77777777" w:rsidR="004D4A28" w:rsidRPr="00634E4C" w:rsidRDefault="004D4A28" w:rsidP="00361368">
            <w:pPr>
              <w:spacing w:line="259" w:lineRule="auto"/>
              <w:ind w:left="16"/>
              <w:jc w:val="center"/>
              <w:rPr>
                <w:rFonts w:asciiTheme="majorHAnsi" w:hAnsiTheme="majorHAnsi"/>
                <w:color w:val="000000"/>
                <w:sz w:val="18"/>
              </w:rPr>
            </w:pPr>
            <w:r w:rsidRPr="005D0955">
              <w:rPr>
                <w:rFonts w:asciiTheme="majorHAnsi" w:hAnsiTheme="majorHAnsi"/>
                <w:sz w:val="18"/>
                <w:szCs w:val="18"/>
              </w:rPr>
              <w:t>3065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0C632C7"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sz w:val="18"/>
              </w:rPr>
              <w:t>2997</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E96E6EA"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sz w:val="18"/>
              </w:rPr>
              <w:t>1760</w:t>
            </w:r>
          </w:p>
        </w:tc>
        <w:tc>
          <w:tcPr>
            <w:tcW w:w="68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E258B20"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sz w:val="18"/>
              </w:rPr>
              <w:t>617</w:t>
            </w:r>
          </w:p>
        </w:tc>
        <w:tc>
          <w:tcPr>
            <w:tcW w:w="68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1574F07" w14:textId="77777777" w:rsidR="004D4A28" w:rsidRPr="00634E4C" w:rsidRDefault="004D4A28" w:rsidP="00361368">
            <w:pPr>
              <w:spacing w:line="259" w:lineRule="auto"/>
              <w:ind w:left="16"/>
              <w:jc w:val="center"/>
              <w:rPr>
                <w:rFonts w:asciiTheme="majorHAnsi" w:hAnsiTheme="majorHAnsi"/>
                <w:color w:val="000000"/>
                <w:sz w:val="18"/>
              </w:rPr>
            </w:pPr>
            <w:r w:rsidRPr="005D0955">
              <w:rPr>
                <w:rFonts w:asciiTheme="majorHAnsi" w:hAnsiTheme="majorHAnsi"/>
                <w:sz w:val="18"/>
                <w:szCs w:val="18"/>
              </w:rPr>
              <w:t>537</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D7F7186" w14:textId="77777777" w:rsidR="004D4A28" w:rsidRPr="00634E4C" w:rsidRDefault="004D4A28" w:rsidP="00361368">
            <w:pPr>
              <w:spacing w:line="259" w:lineRule="auto"/>
              <w:ind w:left="16"/>
              <w:jc w:val="center"/>
              <w:rPr>
                <w:rFonts w:asciiTheme="majorHAnsi" w:hAnsiTheme="majorHAnsi"/>
                <w:color w:val="000000"/>
                <w:sz w:val="18"/>
              </w:rPr>
            </w:pPr>
            <w:r w:rsidRPr="005D0955">
              <w:rPr>
                <w:rFonts w:asciiTheme="majorHAnsi" w:hAnsiTheme="majorHAnsi"/>
                <w:sz w:val="18"/>
                <w:szCs w:val="18"/>
              </w:rPr>
              <w:t>615</w:t>
            </w:r>
          </w:p>
        </w:tc>
        <w:tc>
          <w:tcPr>
            <w:tcW w:w="69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D32DB13"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color w:val="000000"/>
                <w:sz w:val="18"/>
              </w:rPr>
              <w:t>462.9</w:t>
            </w:r>
          </w:p>
        </w:tc>
        <w:tc>
          <w:tcPr>
            <w:tcW w:w="65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30B527D"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color w:val="000000"/>
                <w:sz w:val="18"/>
              </w:rPr>
              <w:t>290.7</w:t>
            </w:r>
          </w:p>
        </w:tc>
        <w:tc>
          <w:tcPr>
            <w:tcW w:w="66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4685AE7"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color w:val="000000"/>
                <w:sz w:val="18"/>
              </w:rPr>
              <w:t>217.7</w:t>
            </w:r>
          </w:p>
        </w:tc>
        <w:tc>
          <w:tcPr>
            <w:tcW w:w="65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274336C"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color w:val="000000"/>
                <w:sz w:val="18"/>
              </w:rPr>
              <w:t>156.5</w:t>
            </w:r>
          </w:p>
        </w:tc>
        <w:tc>
          <w:tcPr>
            <w:tcW w:w="6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EE59878" w14:textId="77777777" w:rsidR="004D4A28" w:rsidRPr="00634E4C" w:rsidRDefault="004D4A28" w:rsidP="00361368">
            <w:pPr>
              <w:spacing w:line="259" w:lineRule="auto"/>
              <w:ind w:left="16"/>
              <w:jc w:val="center"/>
              <w:rPr>
                <w:rFonts w:asciiTheme="majorHAnsi" w:hAnsiTheme="majorHAnsi"/>
                <w:color w:val="000000"/>
                <w:sz w:val="18"/>
              </w:rPr>
            </w:pPr>
            <w:r w:rsidRPr="00634E4C">
              <w:rPr>
                <w:rFonts w:asciiTheme="majorHAnsi" w:hAnsiTheme="majorHAnsi"/>
                <w:color w:val="000000"/>
                <w:sz w:val="18"/>
              </w:rPr>
              <w:t>130.9</w:t>
            </w:r>
          </w:p>
        </w:tc>
      </w:tr>
      <w:tr w:rsidR="004D4A28" w:rsidRPr="00364545" w14:paraId="2A6685FF" w14:textId="77777777" w:rsidTr="00361368">
        <w:trPr>
          <w:trHeight w:val="347"/>
        </w:trPr>
        <w:tc>
          <w:tcPr>
            <w:tcW w:w="1510" w:type="dxa"/>
            <w:tcBorders>
              <w:top w:val="single" w:sz="2" w:space="0" w:color="000000"/>
              <w:left w:val="single" w:sz="2" w:space="0" w:color="000000"/>
              <w:bottom w:val="single" w:sz="2" w:space="0" w:color="000000"/>
              <w:right w:val="single" w:sz="2" w:space="0" w:color="000000"/>
            </w:tcBorders>
          </w:tcPr>
          <w:p w14:paraId="2F6C068C" w14:textId="77777777" w:rsidR="004D4A28" w:rsidRPr="00364545" w:rsidRDefault="004D4A28" w:rsidP="00361368">
            <w:pPr>
              <w:spacing w:line="259" w:lineRule="auto"/>
            </w:pPr>
            <w:r>
              <w:rPr>
                <w:sz w:val="18"/>
              </w:rPr>
              <w:t xml:space="preserve">Agriculture (hors énergie) </w:t>
            </w:r>
          </w:p>
        </w:tc>
        <w:tc>
          <w:tcPr>
            <w:tcW w:w="765" w:type="dxa"/>
            <w:tcBorders>
              <w:top w:val="single" w:sz="2" w:space="0" w:color="000000"/>
              <w:left w:val="single" w:sz="2" w:space="0" w:color="000000"/>
              <w:bottom w:val="single" w:sz="2" w:space="0" w:color="000000"/>
              <w:right w:val="single" w:sz="2" w:space="0" w:color="000000"/>
            </w:tcBorders>
            <w:vAlign w:val="center"/>
          </w:tcPr>
          <w:p w14:paraId="5E43FAAE"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70F4CC89"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7A57901D"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0C409B8E"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vAlign w:val="center"/>
          </w:tcPr>
          <w:p w14:paraId="259C432C"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vAlign w:val="center"/>
          </w:tcPr>
          <w:p w14:paraId="76C9A561"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30DA757F"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vAlign w:val="center"/>
          </w:tcPr>
          <w:p w14:paraId="47DA5B55"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vAlign w:val="center"/>
          </w:tcPr>
          <w:p w14:paraId="1EEEAFB0"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vAlign w:val="center"/>
          </w:tcPr>
          <w:p w14:paraId="45D6A451"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vAlign w:val="center"/>
          </w:tcPr>
          <w:p w14:paraId="566A85CD"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vAlign w:val="center"/>
          </w:tcPr>
          <w:p w14:paraId="4F9BE329"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r>
      <w:tr w:rsidR="004D4A28" w:rsidRPr="00364545" w14:paraId="0A5E4716" w14:textId="77777777" w:rsidTr="00361368">
        <w:trPr>
          <w:trHeight w:val="342"/>
        </w:trPr>
        <w:tc>
          <w:tcPr>
            <w:tcW w:w="1510" w:type="dxa"/>
            <w:tcBorders>
              <w:top w:val="single" w:sz="2" w:space="0" w:color="000000"/>
              <w:left w:val="single" w:sz="2" w:space="0" w:color="000000"/>
              <w:bottom w:val="single" w:sz="2" w:space="0" w:color="000000"/>
              <w:right w:val="single" w:sz="2" w:space="0" w:color="000000"/>
            </w:tcBorders>
            <w:shd w:val="clear" w:color="auto" w:fill="ECE6E2"/>
          </w:tcPr>
          <w:p w14:paraId="3A2F42E8" w14:textId="77777777" w:rsidR="004D4A28" w:rsidRPr="00364545" w:rsidRDefault="004D4A28" w:rsidP="00361368">
            <w:pPr>
              <w:spacing w:line="259" w:lineRule="auto"/>
            </w:pPr>
            <w:r>
              <w:rPr>
                <w:sz w:val="18"/>
              </w:rPr>
              <w:t xml:space="preserve">UTCF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268BC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CC6445"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B2FA041"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23BABF"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C0291F"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F66E4B"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F1F987"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FE986B"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2A1BB0"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74E81B"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F94459"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C003CB"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r>
      <w:tr w:rsidR="004D4A28" w:rsidRPr="00364545" w14:paraId="224C8772" w14:textId="77777777" w:rsidTr="00361368">
        <w:trPr>
          <w:trHeight w:val="347"/>
        </w:trPr>
        <w:tc>
          <w:tcPr>
            <w:tcW w:w="1510" w:type="dxa"/>
            <w:tcBorders>
              <w:top w:val="single" w:sz="2" w:space="0" w:color="000000"/>
              <w:left w:val="single" w:sz="2" w:space="0" w:color="000000"/>
              <w:bottom w:val="single" w:sz="2" w:space="0" w:color="000000"/>
              <w:right w:val="single" w:sz="2" w:space="0" w:color="000000"/>
            </w:tcBorders>
          </w:tcPr>
          <w:p w14:paraId="5DD9BD47" w14:textId="77777777" w:rsidR="004D4A28" w:rsidRPr="00364545" w:rsidRDefault="004D4A28" w:rsidP="00361368">
            <w:pPr>
              <w:spacing w:line="259" w:lineRule="auto"/>
            </w:pPr>
            <w:r>
              <w:rPr>
                <w:sz w:val="18"/>
              </w:rPr>
              <w:t xml:space="preserve">Déchets </w:t>
            </w:r>
          </w:p>
        </w:tc>
        <w:tc>
          <w:tcPr>
            <w:tcW w:w="765" w:type="dxa"/>
            <w:tcBorders>
              <w:top w:val="single" w:sz="2" w:space="0" w:color="000000"/>
              <w:left w:val="single" w:sz="2" w:space="0" w:color="000000"/>
              <w:bottom w:val="single" w:sz="2" w:space="0" w:color="000000"/>
              <w:right w:val="single" w:sz="2" w:space="0" w:color="000000"/>
            </w:tcBorders>
            <w:vAlign w:val="center"/>
          </w:tcPr>
          <w:p w14:paraId="053F4608"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676E5055"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0E0CCC43"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1C04D1BA"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vAlign w:val="center"/>
          </w:tcPr>
          <w:p w14:paraId="7FEE8690"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vAlign w:val="center"/>
          </w:tcPr>
          <w:p w14:paraId="7CAD32C7"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1B81EEDC"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vAlign w:val="center"/>
          </w:tcPr>
          <w:p w14:paraId="62B53D6B"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vAlign w:val="center"/>
          </w:tcPr>
          <w:p w14:paraId="5E02275B"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vAlign w:val="center"/>
          </w:tcPr>
          <w:p w14:paraId="13ACC712"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vAlign w:val="center"/>
          </w:tcPr>
          <w:p w14:paraId="665DBE6D"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vAlign w:val="center"/>
          </w:tcPr>
          <w:p w14:paraId="355F40FA"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r>
      <w:tr w:rsidR="004D4A28" w:rsidRPr="00364545" w14:paraId="162002E7" w14:textId="77777777" w:rsidTr="00361368">
        <w:trPr>
          <w:trHeight w:val="344"/>
        </w:trPr>
        <w:tc>
          <w:tcPr>
            <w:tcW w:w="1510" w:type="dxa"/>
            <w:tcBorders>
              <w:top w:val="single" w:sz="2" w:space="0" w:color="000000"/>
              <w:left w:val="single" w:sz="2" w:space="0" w:color="000000"/>
              <w:bottom w:val="single" w:sz="2" w:space="0" w:color="000000"/>
              <w:right w:val="single" w:sz="2" w:space="0" w:color="000000"/>
            </w:tcBorders>
            <w:shd w:val="clear" w:color="auto" w:fill="ECE6E2"/>
          </w:tcPr>
          <w:p w14:paraId="6CF4E4F9" w14:textId="77777777" w:rsidR="004D4A28" w:rsidRPr="00364545" w:rsidRDefault="004D4A28" w:rsidP="00361368">
            <w:pPr>
              <w:spacing w:line="259" w:lineRule="auto"/>
            </w:pPr>
            <w:r>
              <w:rPr>
                <w:b/>
                <w:sz w:val="18"/>
              </w:rPr>
              <w:t xml:space="preserve">Ensemble (hors UTCF)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A010604" w14:textId="77777777" w:rsidR="004D4A28" w:rsidRPr="00634E4C" w:rsidRDefault="004D4A28" w:rsidP="00361368">
            <w:pPr>
              <w:spacing w:line="259" w:lineRule="auto"/>
              <w:ind w:left="16"/>
              <w:jc w:val="center"/>
              <w:rPr>
                <w:rFonts w:asciiTheme="majorHAnsi" w:hAnsiTheme="majorHAnsi"/>
                <w:sz w:val="18"/>
              </w:rPr>
            </w:pPr>
            <w:r w:rsidRPr="005D0955">
              <w:rPr>
                <w:rFonts w:asciiTheme="majorHAnsi" w:hAnsiTheme="majorHAnsi"/>
                <w:sz w:val="18"/>
                <w:szCs w:val="18"/>
              </w:rPr>
              <w:t>5202</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4508E1C"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3065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168AD08"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2997</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7C2ABC1"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sz w:val="18"/>
              </w:rPr>
              <w:t>1760</w:t>
            </w:r>
          </w:p>
        </w:tc>
        <w:tc>
          <w:tcPr>
            <w:tcW w:w="68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243C628"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sz w:val="18"/>
              </w:rPr>
              <w:t>617</w:t>
            </w:r>
          </w:p>
        </w:tc>
        <w:tc>
          <w:tcPr>
            <w:tcW w:w="68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D15D6F8"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537</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9E4AFA7" w14:textId="77777777" w:rsidR="004D4A28" w:rsidRPr="00634E4C" w:rsidRDefault="004D4A28" w:rsidP="00361368">
            <w:pPr>
              <w:spacing w:line="259" w:lineRule="auto"/>
              <w:ind w:left="21"/>
              <w:jc w:val="center"/>
              <w:rPr>
                <w:rFonts w:asciiTheme="majorHAnsi" w:hAnsiTheme="majorHAnsi"/>
                <w:b/>
                <w:color w:val="000000"/>
                <w:sz w:val="18"/>
              </w:rPr>
            </w:pPr>
            <w:r w:rsidRPr="005D0955">
              <w:rPr>
                <w:rFonts w:asciiTheme="majorHAnsi" w:hAnsiTheme="majorHAnsi"/>
                <w:sz w:val="18"/>
                <w:szCs w:val="18"/>
              </w:rPr>
              <w:t>615</w:t>
            </w:r>
          </w:p>
        </w:tc>
        <w:tc>
          <w:tcPr>
            <w:tcW w:w="69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5335F0E"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462.9</w:t>
            </w:r>
          </w:p>
        </w:tc>
        <w:tc>
          <w:tcPr>
            <w:tcW w:w="65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ED25734"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290.7</w:t>
            </w:r>
          </w:p>
        </w:tc>
        <w:tc>
          <w:tcPr>
            <w:tcW w:w="66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6684BCC"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217.7</w:t>
            </w:r>
          </w:p>
        </w:tc>
        <w:tc>
          <w:tcPr>
            <w:tcW w:w="65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A3085C9"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156.5</w:t>
            </w:r>
          </w:p>
        </w:tc>
        <w:tc>
          <w:tcPr>
            <w:tcW w:w="6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2893E18"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130.9</w:t>
            </w:r>
          </w:p>
        </w:tc>
      </w:tr>
      <w:tr w:rsidR="004D4A28" w:rsidRPr="00364545" w14:paraId="74904DB4" w14:textId="77777777" w:rsidTr="00361368">
        <w:trPr>
          <w:trHeight w:val="346"/>
        </w:trPr>
        <w:tc>
          <w:tcPr>
            <w:tcW w:w="1510" w:type="dxa"/>
            <w:tcBorders>
              <w:top w:val="single" w:sz="2" w:space="0" w:color="000000"/>
              <w:left w:val="single" w:sz="2" w:space="0" w:color="000000"/>
              <w:bottom w:val="single" w:sz="2" w:space="0" w:color="000000"/>
              <w:right w:val="single" w:sz="2" w:space="0" w:color="000000"/>
            </w:tcBorders>
          </w:tcPr>
          <w:p w14:paraId="651C05D9" w14:textId="77777777" w:rsidR="004D4A28" w:rsidRPr="00364545" w:rsidRDefault="004D4A28" w:rsidP="00361368">
            <w:pPr>
              <w:spacing w:line="259" w:lineRule="auto"/>
            </w:pPr>
            <w:r>
              <w:rPr>
                <w:b/>
                <w:sz w:val="18"/>
              </w:rPr>
              <w:t xml:space="preserve">Ensemble (avec UTCF) </w:t>
            </w:r>
          </w:p>
        </w:tc>
        <w:tc>
          <w:tcPr>
            <w:tcW w:w="765" w:type="dxa"/>
            <w:tcBorders>
              <w:top w:val="single" w:sz="2" w:space="0" w:color="000000"/>
              <w:left w:val="single" w:sz="2" w:space="0" w:color="000000"/>
              <w:bottom w:val="single" w:sz="2" w:space="0" w:color="000000"/>
              <w:right w:val="single" w:sz="2" w:space="0" w:color="000000"/>
            </w:tcBorders>
            <w:vAlign w:val="bottom"/>
          </w:tcPr>
          <w:p w14:paraId="7F193CEE" w14:textId="77777777" w:rsidR="004D4A28" w:rsidRPr="00634E4C" w:rsidRDefault="004D4A28" w:rsidP="00361368">
            <w:pPr>
              <w:spacing w:line="259" w:lineRule="auto"/>
              <w:ind w:left="16"/>
              <w:jc w:val="center"/>
              <w:rPr>
                <w:rFonts w:asciiTheme="majorHAnsi" w:hAnsiTheme="majorHAnsi"/>
                <w:sz w:val="18"/>
              </w:rPr>
            </w:pPr>
            <w:r w:rsidRPr="005D0955">
              <w:rPr>
                <w:rFonts w:asciiTheme="majorHAnsi" w:hAnsiTheme="majorHAnsi"/>
                <w:sz w:val="18"/>
                <w:szCs w:val="18"/>
              </w:rPr>
              <w:t>5202</w:t>
            </w:r>
          </w:p>
        </w:tc>
        <w:tc>
          <w:tcPr>
            <w:tcW w:w="792" w:type="dxa"/>
            <w:tcBorders>
              <w:top w:val="single" w:sz="2" w:space="0" w:color="000000"/>
              <w:left w:val="single" w:sz="2" w:space="0" w:color="000000"/>
              <w:bottom w:val="single" w:sz="2" w:space="0" w:color="000000"/>
              <w:right w:val="single" w:sz="2" w:space="0" w:color="000000"/>
            </w:tcBorders>
            <w:vAlign w:val="bottom"/>
          </w:tcPr>
          <w:p w14:paraId="06437445"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3065</w:t>
            </w:r>
          </w:p>
        </w:tc>
        <w:tc>
          <w:tcPr>
            <w:tcW w:w="792" w:type="dxa"/>
            <w:tcBorders>
              <w:top w:val="single" w:sz="2" w:space="0" w:color="000000"/>
              <w:left w:val="single" w:sz="2" w:space="0" w:color="000000"/>
              <w:bottom w:val="single" w:sz="2" w:space="0" w:color="000000"/>
              <w:right w:val="single" w:sz="2" w:space="0" w:color="000000"/>
            </w:tcBorders>
            <w:vAlign w:val="bottom"/>
          </w:tcPr>
          <w:p w14:paraId="64D02DA4"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2997</w:t>
            </w:r>
          </w:p>
        </w:tc>
        <w:tc>
          <w:tcPr>
            <w:tcW w:w="762" w:type="dxa"/>
            <w:tcBorders>
              <w:top w:val="single" w:sz="2" w:space="0" w:color="000000"/>
              <w:left w:val="single" w:sz="2" w:space="0" w:color="000000"/>
              <w:bottom w:val="single" w:sz="2" w:space="0" w:color="000000"/>
              <w:right w:val="single" w:sz="2" w:space="0" w:color="000000"/>
            </w:tcBorders>
            <w:vAlign w:val="bottom"/>
          </w:tcPr>
          <w:p w14:paraId="2173DDB9"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sz w:val="18"/>
              </w:rPr>
              <w:t>1760</w:t>
            </w:r>
          </w:p>
        </w:tc>
        <w:tc>
          <w:tcPr>
            <w:tcW w:w="685" w:type="dxa"/>
            <w:tcBorders>
              <w:top w:val="single" w:sz="2" w:space="0" w:color="000000"/>
              <w:left w:val="single" w:sz="2" w:space="0" w:color="000000"/>
              <w:bottom w:val="single" w:sz="2" w:space="0" w:color="000000"/>
              <w:right w:val="single" w:sz="2" w:space="0" w:color="000000"/>
            </w:tcBorders>
            <w:vAlign w:val="bottom"/>
          </w:tcPr>
          <w:p w14:paraId="750DC052"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sz w:val="18"/>
              </w:rPr>
              <w:t>617</w:t>
            </w:r>
          </w:p>
        </w:tc>
        <w:tc>
          <w:tcPr>
            <w:tcW w:w="683" w:type="dxa"/>
            <w:tcBorders>
              <w:top w:val="single" w:sz="2" w:space="0" w:color="000000"/>
              <w:left w:val="single" w:sz="2" w:space="0" w:color="000000"/>
              <w:bottom w:val="single" w:sz="2" w:space="0" w:color="000000"/>
              <w:right w:val="single" w:sz="2" w:space="0" w:color="000000"/>
            </w:tcBorders>
            <w:vAlign w:val="bottom"/>
          </w:tcPr>
          <w:p w14:paraId="2B97F9E2"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537</w:t>
            </w:r>
          </w:p>
        </w:tc>
        <w:tc>
          <w:tcPr>
            <w:tcW w:w="675" w:type="dxa"/>
            <w:tcBorders>
              <w:top w:val="single" w:sz="2" w:space="0" w:color="000000"/>
              <w:left w:val="single" w:sz="2" w:space="0" w:color="000000"/>
              <w:bottom w:val="single" w:sz="2" w:space="0" w:color="000000"/>
              <w:right w:val="single" w:sz="2" w:space="0" w:color="000000"/>
            </w:tcBorders>
            <w:vAlign w:val="bottom"/>
          </w:tcPr>
          <w:p w14:paraId="005A22C1" w14:textId="77777777" w:rsidR="004D4A28" w:rsidRPr="00634E4C" w:rsidRDefault="004D4A28" w:rsidP="00361368">
            <w:pPr>
              <w:spacing w:line="259" w:lineRule="auto"/>
              <w:ind w:left="21"/>
              <w:jc w:val="center"/>
              <w:rPr>
                <w:rFonts w:asciiTheme="majorHAnsi" w:hAnsiTheme="majorHAnsi"/>
                <w:b/>
                <w:color w:val="000000"/>
                <w:sz w:val="18"/>
              </w:rPr>
            </w:pPr>
            <w:r w:rsidRPr="005D0955">
              <w:rPr>
                <w:rFonts w:asciiTheme="majorHAnsi" w:hAnsiTheme="majorHAnsi"/>
                <w:sz w:val="18"/>
                <w:szCs w:val="18"/>
              </w:rPr>
              <w:t>615</w:t>
            </w:r>
          </w:p>
        </w:tc>
        <w:tc>
          <w:tcPr>
            <w:tcW w:w="691" w:type="dxa"/>
            <w:tcBorders>
              <w:top w:val="single" w:sz="2" w:space="0" w:color="000000"/>
              <w:left w:val="single" w:sz="2" w:space="0" w:color="000000"/>
              <w:bottom w:val="single" w:sz="2" w:space="0" w:color="000000"/>
              <w:right w:val="single" w:sz="2" w:space="0" w:color="000000"/>
            </w:tcBorders>
            <w:vAlign w:val="bottom"/>
          </w:tcPr>
          <w:p w14:paraId="1CF3FCD0"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462.9</w:t>
            </w:r>
          </w:p>
        </w:tc>
        <w:tc>
          <w:tcPr>
            <w:tcW w:w="658" w:type="dxa"/>
            <w:tcBorders>
              <w:top w:val="single" w:sz="2" w:space="0" w:color="000000"/>
              <w:left w:val="single" w:sz="2" w:space="0" w:color="000000"/>
              <w:bottom w:val="single" w:sz="2" w:space="0" w:color="000000"/>
              <w:right w:val="single" w:sz="2" w:space="0" w:color="000000"/>
            </w:tcBorders>
            <w:vAlign w:val="bottom"/>
          </w:tcPr>
          <w:p w14:paraId="573681F7"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290.7</w:t>
            </w:r>
          </w:p>
        </w:tc>
        <w:tc>
          <w:tcPr>
            <w:tcW w:w="660" w:type="dxa"/>
            <w:tcBorders>
              <w:top w:val="single" w:sz="2" w:space="0" w:color="000000"/>
              <w:left w:val="single" w:sz="2" w:space="0" w:color="000000"/>
              <w:bottom w:val="single" w:sz="2" w:space="0" w:color="000000"/>
              <w:right w:val="single" w:sz="2" w:space="0" w:color="000000"/>
            </w:tcBorders>
            <w:vAlign w:val="bottom"/>
          </w:tcPr>
          <w:p w14:paraId="6124D71E"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217.7</w:t>
            </w:r>
          </w:p>
        </w:tc>
        <w:tc>
          <w:tcPr>
            <w:tcW w:w="659" w:type="dxa"/>
            <w:tcBorders>
              <w:top w:val="single" w:sz="2" w:space="0" w:color="000000"/>
              <w:left w:val="single" w:sz="2" w:space="0" w:color="000000"/>
              <w:bottom w:val="single" w:sz="2" w:space="0" w:color="000000"/>
              <w:right w:val="single" w:sz="2" w:space="0" w:color="000000"/>
            </w:tcBorders>
            <w:vAlign w:val="bottom"/>
          </w:tcPr>
          <w:p w14:paraId="5D5D7370"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156.5</w:t>
            </w:r>
          </w:p>
        </w:tc>
        <w:tc>
          <w:tcPr>
            <w:tcW w:w="602" w:type="dxa"/>
            <w:tcBorders>
              <w:top w:val="single" w:sz="2" w:space="0" w:color="000000"/>
              <w:left w:val="single" w:sz="2" w:space="0" w:color="000000"/>
              <w:bottom w:val="single" w:sz="2" w:space="0" w:color="000000"/>
              <w:right w:val="single" w:sz="2" w:space="0" w:color="000000"/>
            </w:tcBorders>
            <w:vAlign w:val="bottom"/>
          </w:tcPr>
          <w:p w14:paraId="65226BD9"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130.9</w:t>
            </w:r>
          </w:p>
        </w:tc>
      </w:tr>
    </w:tbl>
    <w:p w14:paraId="5F01E57B" w14:textId="77777777" w:rsidR="004D4A28" w:rsidRDefault="004D4A28" w:rsidP="004D4A28">
      <w:pPr>
        <w:pStyle w:val="Caption"/>
      </w:pPr>
    </w:p>
    <w:p w14:paraId="66CD7985" w14:textId="77777777" w:rsidR="004D4A28" w:rsidRDefault="004D4A28" w:rsidP="004D4A28">
      <w:pPr>
        <w:pStyle w:val="Caption"/>
      </w:pPr>
      <w:r>
        <w:t xml:space="preserve">Tableau </w:t>
      </w:r>
      <w:r w:rsidR="00757301">
        <w:fldChar w:fldCharType="begin"/>
      </w:r>
      <w:r w:rsidR="00757301">
        <w:instrText xml:space="preserve"> SEQ Tableau \* ARABIC </w:instrText>
      </w:r>
      <w:r w:rsidR="00757301">
        <w:fldChar w:fldCharType="separate"/>
      </w:r>
      <w:r>
        <w:rPr>
          <w:noProof/>
        </w:rPr>
        <w:t>23</w:t>
      </w:r>
      <w:r w:rsidR="00757301">
        <w:rPr>
          <w:noProof/>
        </w:rPr>
        <w:fldChar w:fldCharType="end"/>
      </w:r>
      <w:r>
        <w:t xml:space="preserve"> : </w:t>
      </w:r>
      <w:r w:rsidRPr="00160820">
        <w:t xml:space="preserve">Projections d’émissions de PFC (en </w:t>
      </w:r>
      <w:r w:rsidRPr="00590551">
        <w:t>kt</w:t>
      </w:r>
      <w:r>
        <w:t>CO</w:t>
      </w:r>
      <w:r w:rsidRPr="007F09F7">
        <w:rPr>
          <w:vertAlign w:val="subscript"/>
        </w:rPr>
        <w:t>2</w:t>
      </w:r>
      <w:r w:rsidRPr="00160820">
        <w:rPr>
          <w:vertAlign w:val="subscript"/>
        </w:rPr>
        <w:t>e</w:t>
      </w:r>
      <w:r w:rsidRPr="00160820">
        <w:t xml:space="preserve">) au périmètre Kyoto dans le scénario AME </w:t>
      </w:r>
      <w:r>
        <w:t xml:space="preserve">2021 </w:t>
      </w:r>
      <w:r w:rsidRPr="00160820">
        <w:t>(avec mesures existantes)</w:t>
      </w:r>
      <w:bookmarkEnd w:id="164"/>
    </w:p>
    <w:p w14:paraId="73BBDB59" w14:textId="77777777" w:rsidR="004D4A28" w:rsidRDefault="004D4A28" w:rsidP="004D4A28">
      <w:pPr>
        <w:pStyle w:val="Caption"/>
      </w:pPr>
      <w:r w:rsidRPr="006E15FD">
        <w:t>Source : Inventaire CCNUCC, Citepa/MTE, soumission 20</w:t>
      </w:r>
      <w:r>
        <w:t>22</w:t>
      </w:r>
      <w:r w:rsidRPr="006E15FD">
        <w:t xml:space="preserve"> et projections d’émissions MTE, 20</w:t>
      </w:r>
      <w:r>
        <w:t>21</w:t>
      </w:r>
    </w:p>
    <w:p w14:paraId="08DAE517" w14:textId="77777777" w:rsidR="004D4A28" w:rsidRPr="00364545" w:rsidRDefault="004D4A28" w:rsidP="004D4A2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594"/>
        <w:gridCol w:w="765"/>
        <w:gridCol w:w="792"/>
        <w:gridCol w:w="765"/>
        <w:gridCol w:w="762"/>
        <w:gridCol w:w="667"/>
        <w:gridCol w:w="665"/>
        <w:gridCol w:w="621"/>
        <w:gridCol w:w="675"/>
        <w:gridCol w:w="673"/>
        <w:gridCol w:w="675"/>
        <w:gridCol w:w="674"/>
        <w:gridCol w:w="606"/>
      </w:tblGrid>
      <w:tr w:rsidR="004D4A28" w:rsidRPr="00364545" w14:paraId="1E54DC70" w14:textId="77777777" w:rsidTr="00361368">
        <w:trPr>
          <w:trHeight w:val="402"/>
        </w:trPr>
        <w:tc>
          <w:tcPr>
            <w:tcW w:w="1594" w:type="dxa"/>
            <w:tcBorders>
              <w:top w:val="single" w:sz="2" w:space="0" w:color="000000"/>
              <w:left w:val="single" w:sz="2" w:space="0" w:color="000000"/>
              <w:bottom w:val="single" w:sz="2" w:space="0" w:color="000000"/>
              <w:right w:val="single" w:sz="2" w:space="0" w:color="000000"/>
            </w:tcBorders>
            <w:shd w:val="clear" w:color="auto" w:fill="6D2A78"/>
          </w:tcPr>
          <w:p w14:paraId="50934B4B" w14:textId="77777777" w:rsidR="004D4A28" w:rsidRPr="00364545" w:rsidRDefault="004D4A28" w:rsidP="00361368">
            <w:pPr>
              <w:spacing w:line="259" w:lineRule="auto"/>
            </w:pPr>
            <w:r w:rsidRPr="00364545">
              <w:t>AME 21 – SF</w:t>
            </w:r>
            <w:r w:rsidRPr="00364545">
              <w:rPr>
                <w:vertAlign w:val="subscript"/>
              </w:rPr>
              <w:t>6</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3DBC4EF8" w14:textId="77777777" w:rsidR="004D4A28" w:rsidRPr="00364545" w:rsidRDefault="004D4A28" w:rsidP="00361368">
            <w:pPr>
              <w:spacing w:line="259" w:lineRule="auto"/>
              <w:ind w:left="19"/>
              <w:jc w:val="center"/>
            </w:pPr>
            <w:r w:rsidRPr="00364545">
              <w:rPr>
                <w:b/>
                <w:color w:val="FFFFFF"/>
                <w:sz w:val="18"/>
              </w:rPr>
              <w:t xml:space="preserve">1990 </w:t>
            </w:r>
          </w:p>
        </w:tc>
        <w:tc>
          <w:tcPr>
            <w:tcW w:w="792" w:type="dxa"/>
            <w:tcBorders>
              <w:top w:val="single" w:sz="2" w:space="0" w:color="000000"/>
              <w:left w:val="single" w:sz="2" w:space="0" w:color="000000"/>
              <w:bottom w:val="single" w:sz="2" w:space="0" w:color="000000"/>
              <w:right w:val="single" w:sz="2" w:space="0" w:color="000000"/>
            </w:tcBorders>
            <w:shd w:val="clear" w:color="auto" w:fill="6D2A78"/>
          </w:tcPr>
          <w:p w14:paraId="7C2E47F2" w14:textId="77777777" w:rsidR="004D4A28" w:rsidRPr="00364545" w:rsidRDefault="004D4A28" w:rsidP="00361368">
            <w:pPr>
              <w:spacing w:line="259" w:lineRule="auto"/>
              <w:ind w:left="21"/>
              <w:jc w:val="center"/>
              <w:rPr>
                <w:b/>
                <w:color w:val="FFFFFF"/>
                <w:sz w:val="18"/>
              </w:rPr>
            </w:pPr>
            <w:r w:rsidRPr="00364545">
              <w:rPr>
                <w:b/>
                <w:color w:val="FFFFFF"/>
                <w:sz w:val="18"/>
              </w:rPr>
              <w:t>1995</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168B168A" w14:textId="77777777" w:rsidR="004D4A28" w:rsidRPr="00364545" w:rsidRDefault="004D4A28" w:rsidP="00361368">
            <w:pPr>
              <w:spacing w:line="259" w:lineRule="auto"/>
              <w:ind w:left="21"/>
              <w:jc w:val="center"/>
            </w:pPr>
            <w:r w:rsidRPr="00364545">
              <w:rPr>
                <w:b/>
                <w:color w:val="FFFFFF"/>
                <w:sz w:val="18"/>
              </w:rPr>
              <w:t xml:space="preserve">2000 </w:t>
            </w:r>
          </w:p>
        </w:tc>
        <w:tc>
          <w:tcPr>
            <w:tcW w:w="762" w:type="dxa"/>
            <w:tcBorders>
              <w:top w:val="single" w:sz="2" w:space="0" w:color="000000"/>
              <w:left w:val="single" w:sz="2" w:space="0" w:color="000000"/>
              <w:bottom w:val="single" w:sz="2" w:space="0" w:color="000000"/>
              <w:right w:val="single" w:sz="2" w:space="0" w:color="000000"/>
            </w:tcBorders>
            <w:shd w:val="clear" w:color="auto" w:fill="6D2A78"/>
          </w:tcPr>
          <w:p w14:paraId="70EC56EA" w14:textId="77777777" w:rsidR="004D4A28" w:rsidRPr="00364545" w:rsidRDefault="004D4A28" w:rsidP="00361368">
            <w:pPr>
              <w:spacing w:line="259" w:lineRule="auto"/>
              <w:ind w:left="19"/>
              <w:jc w:val="center"/>
            </w:pPr>
            <w:r w:rsidRPr="00364545">
              <w:rPr>
                <w:b/>
                <w:color w:val="FFFFFF"/>
                <w:sz w:val="18"/>
              </w:rPr>
              <w:t xml:space="preserve">2005 </w:t>
            </w:r>
          </w:p>
        </w:tc>
        <w:tc>
          <w:tcPr>
            <w:tcW w:w="667" w:type="dxa"/>
            <w:tcBorders>
              <w:top w:val="single" w:sz="2" w:space="0" w:color="000000"/>
              <w:left w:val="single" w:sz="2" w:space="0" w:color="000000"/>
              <w:bottom w:val="single" w:sz="2" w:space="0" w:color="000000"/>
              <w:right w:val="single" w:sz="2" w:space="0" w:color="000000"/>
            </w:tcBorders>
            <w:shd w:val="clear" w:color="auto" w:fill="6D2A78"/>
          </w:tcPr>
          <w:p w14:paraId="35CF4459" w14:textId="77777777" w:rsidR="004D4A28" w:rsidRPr="00364545" w:rsidRDefault="004D4A28" w:rsidP="00361368">
            <w:pPr>
              <w:spacing w:line="259" w:lineRule="auto"/>
              <w:ind w:left="21"/>
              <w:jc w:val="center"/>
            </w:pPr>
            <w:r w:rsidRPr="00364545">
              <w:rPr>
                <w:b/>
                <w:color w:val="FFFFFF"/>
                <w:sz w:val="18"/>
              </w:rPr>
              <w:t xml:space="preserve">2010 </w:t>
            </w:r>
          </w:p>
        </w:tc>
        <w:tc>
          <w:tcPr>
            <w:tcW w:w="665" w:type="dxa"/>
            <w:tcBorders>
              <w:top w:val="single" w:sz="2" w:space="0" w:color="000000"/>
              <w:left w:val="single" w:sz="2" w:space="0" w:color="000000"/>
              <w:bottom w:val="single" w:sz="2" w:space="0" w:color="000000"/>
              <w:right w:val="single" w:sz="2" w:space="0" w:color="000000"/>
            </w:tcBorders>
            <w:shd w:val="clear" w:color="auto" w:fill="6D2A78"/>
          </w:tcPr>
          <w:p w14:paraId="6B7DCF30" w14:textId="77777777" w:rsidR="004D4A28" w:rsidRPr="00364545" w:rsidRDefault="004D4A28" w:rsidP="00361368">
            <w:pPr>
              <w:spacing w:line="259" w:lineRule="auto"/>
              <w:ind w:left="19"/>
              <w:jc w:val="center"/>
            </w:pPr>
            <w:r w:rsidRPr="00364545">
              <w:rPr>
                <w:b/>
                <w:color w:val="FFFFFF"/>
                <w:sz w:val="18"/>
              </w:rPr>
              <w:t xml:space="preserve">2015 </w:t>
            </w:r>
          </w:p>
        </w:tc>
        <w:tc>
          <w:tcPr>
            <w:tcW w:w="621" w:type="dxa"/>
            <w:tcBorders>
              <w:top w:val="single" w:sz="2" w:space="0" w:color="000000"/>
              <w:left w:val="single" w:sz="2" w:space="0" w:color="000000"/>
              <w:bottom w:val="single" w:sz="2" w:space="0" w:color="000000"/>
              <w:right w:val="single" w:sz="2" w:space="0" w:color="000000"/>
            </w:tcBorders>
            <w:shd w:val="clear" w:color="auto" w:fill="6D2A78"/>
          </w:tcPr>
          <w:p w14:paraId="548261DE" w14:textId="77777777" w:rsidR="004D4A28" w:rsidRPr="00364545" w:rsidRDefault="004D4A28" w:rsidP="00361368">
            <w:pPr>
              <w:spacing w:line="259" w:lineRule="auto"/>
              <w:ind w:left="21"/>
              <w:jc w:val="center"/>
              <w:rPr>
                <w:b/>
                <w:color w:val="FFFFFF"/>
                <w:sz w:val="18"/>
              </w:rPr>
            </w:pPr>
            <w:r w:rsidRPr="00364545">
              <w:rPr>
                <w:b/>
                <w:color w:val="FFFFFF"/>
                <w:sz w:val="18"/>
              </w:rPr>
              <w:t>2019</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28F15E30" w14:textId="77777777" w:rsidR="004D4A28" w:rsidRPr="00364545" w:rsidRDefault="004D4A28" w:rsidP="00361368">
            <w:pPr>
              <w:spacing w:line="259" w:lineRule="auto"/>
              <w:ind w:left="21"/>
              <w:jc w:val="center"/>
            </w:pPr>
            <w:r w:rsidRPr="00364545">
              <w:rPr>
                <w:b/>
                <w:color w:val="FFFFFF"/>
                <w:sz w:val="18"/>
              </w:rPr>
              <w:t xml:space="preserve">2020 </w:t>
            </w:r>
          </w:p>
        </w:tc>
        <w:tc>
          <w:tcPr>
            <w:tcW w:w="673" w:type="dxa"/>
            <w:tcBorders>
              <w:top w:val="single" w:sz="2" w:space="0" w:color="000000"/>
              <w:left w:val="single" w:sz="2" w:space="0" w:color="000000"/>
              <w:bottom w:val="single" w:sz="2" w:space="0" w:color="000000"/>
              <w:right w:val="single" w:sz="2" w:space="0" w:color="000000"/>
            </w:tcBorders>
            <w:shd w:val="clear" w:color="auto" w:fill="6D2A78"/>
          </w:tcPr>
          <w:p w14:paraId="4EB7176D" w14:textId="77777777" w:rsidR="004D4A28" w:rsidRPr="00364545" w:rsidRDefault="004D4A28" w:rsidP="00361368">
            <w:pPr>
              <w:spacing w:line="259" w:lineRule="auto"/>
              <w:ind w:left="19"/>
              <w:jc w:val="center"/>
            </w:pPr>
            <w:r w:rsidRPr="00364545">
              <w:rPr>
                <w:b/>
                <w:color w:val="FFFFFF"/>
                <w:sz w:val="18"/>
              </w:rPr>
              <w:t xml:space="preserve">2025 </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610A8F15" w14:textId="77777777" w:rsidR="004D4A28" w:rsidRPr="00364545" w:rsidRDefault="004D4A28" w:rsidP="00361368">
            <w:pPr>
              <w:spacing w:line="259" w:lineRule="auto"/>
              <w:ind w:left="21"/>
              <w:jc w:val="center"/>
            </w:pPr>
            <w:r w:rsidRPr="00364545">
              <w:rPr>
                <w:b/>
                <w:color w:val="FFFFFF"/>
                <w:sz w:val="18"/>
              </w:rPr>
              <w:t xml:space="preserve">2030 </w:t>
            </w:r>
          </w:p>
        </w:tc>
        <w:tc>
          <w:tcPr>
            <w:tcW w:w="674" w:type="dxa"/>
            <w:tcBorders>
              <w:top w:val="single" w:sz="2" w:space="0" w:color="000000"/>
              <w:left w:val="single" w:sz="2" w:space="0" w:color="000000"/>
              <w:bottom w:val="single" w:sz="2" w:space="0" w:color="000000"/>
              <w:right w:val="single" w:sz="2" w:space="0" w:color="000000"/>
            </w:tcBorders>
            <w:shd w:val="clear" w:color="auto" w:fill="6D2A78"/>
          </w:tcPr>
          <w:p w14:paraId="6D1FF457" w14:textId="77777777" w:rsidR="004D4A28" w:rsidRPr="00364545" w:rsidRDefault="004D4A28" w:rsidP="00361368">
            <w:pPr>
              <w:spacing w:line="259" w:lineRule="auto"/>
              <w:ind w:left="20"/>
              <w:jc w:val="center"/>
            </w:pPr>
            <w:r w:rsidRPr="00364545">
              <w:rPr>
                <w:b/>
                <w:color w:val="FFFFFF"/>
                <w:sz w:val="18"/>
              </w:rPr>
              <w:t xml:space="preserve">2035 </w:t>
            </w:r>
          </w:p>
        </w:tc>
        <w:tc>
          <w:tcPr>
            <w:tcW w:w="606" w:type="dxa"/>
            <w:tcBorders>
              <w:top w:val="single" w:sz="2" w:space="0" w:color="000000"/>
              <w:left w:val="single" w:sz="2" w:space="0" w:color="000000"/>
              <w:bottom w:val="single" w:sz="2" w:space="0" w:color="000000"/>
              <w:right w:val="single" w:sz="2" w:space="0" w:color="000000"/>
            </w:tcBorders>
            <w:shd w:val="clear" w:color="auto" w:fill="6D2A78"/>
          </w:tcPr>
          <w:p w14:paraId="7DED9407" w14:textId="77777777" w:rsidR="004D4A28" w:rsidRPr="00364545" w:rsidRDefault="004D4A28" w:rsidP="00361368">
            <w:pPr>
              <w:spacing w:line="259" w:lineRule="auto"/>
              <w:ind w:left="20"/>
              <w:jc w:val="center"/>
              <w:rPr>
                <w:b/>
                <w:color w:val="FFFFFF"/>
                <w:sz w:val="18"/>
              </w:rPr>
            </w:pPr>
            <w:r w:rsidRPr="00364545">
              <w:rPr>
                <w:b/>
                <w:color w:val="FFFFFF"/>
                <w:sz w:val="18"/>
              </w:rPr>
              <w:t>2050</w:t>
            </w:r>
          </w:p>
        </w:tc>
      </w:tr>
      <w:tr w:rsidR="004D4A28" w:rsidRPr="00364545" w14:paraId="1F1E2D8D" w14:textId="77777777" w:rsidTr="00361368">
        <w:trPr>
          <w:trHeight w:val="347"/>
        </w:trPr>
        <w:tc>
          <w:tcPr>
            <w:tcW w:w="1594" w:type="dxa"/>
            <w:tcBorders>
              <w:top w:val="single" w:sz="2" w:space="0" w:color="000000"/>
              <w:left w:val="single" w:sz="2" w:space="0" w:color="000000"/>
              <w:bottom w:val="single" w:sz="2" w:space="0" w:color="000000"/>
              <w:right w:val="single" w:sz="2" w:space="0" w:color="000000"/>
            </w:tcBorders>
          </w:tcPr>
          <w:p w14:paraId="38996CF6" w14:textId="77777777" w:rsidR="004D4A28" w:rsidRPr="00364545" w:rsidRDefault="004D4A28" w:rsidP="00361368">
            <w:pPr>
              <w:spacing w:line="259" w:lineRule="auto"/>
            </w:pPr>
            <w:r>
              <w:rPr>
                <w:sz w:val="18"/>
              </w:rPr>
              <w:t xml:space="preserve">Energie </w:t>
            </w:r>
          </w:p>
        </w:tc>
        <w:tc>
          <w:tcPr>
            <w:tcW w:w="765" w:type="dxa"/>
            <w:tcBorders>
              <w:top w:val="single" w:sz="2" w:space="0" w:color="000000"/>
              <w:left w:val="single" w:sz="2" w:space="0" w:color="000000"/>
              <w:bottom w:val="single" w:sz="2" w:space="0" w:color="000000"/>
              <w:right w:val="single" w:sz="2" w:space="0" w:color="000000"/>
            </w:tcBorders>
            <w:vAlign w:val="center"/>
          </w:tcPr>
          <w:p w14:paraId="70F5DCA6"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231ED0DB"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703F2178"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40F3F679"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67" w:type="dxa"/>
            <w:tcBorders>
              <w:top w:val="single" w:sz="2" w:space="0" w:color="000000"/>
              <w:left w:val="single" w:sz="2" w:space="0" w:color="000000"/>
              <w:bottom w:val="single" w:sz="2" w:space="0" w:color="000000"/>
              <w:right w:val="single" w:sz="2" w:space="0" w:color="000000"/>
            </w:tcBorders>
            <w:vAlign w:val="center"/>
          </w:tcPr>
          <w:p w14:paraId="6A435FCA"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65" w:type="dxa"/>
            <w:tcBorders>
              <w:top w:val="single" w:sz="2" w:space="0" w:color="000000"/>
              <w:left w:val="single" w:sz="2" w:space="0" w:color="000000"/>
              <w:bottom w:val="single" w:sz="2" w:space="0" w:color="000000"/>
              <w:right w:val="single" w:sz="2" w:space="0" w:color="000000"/>
            </w:tcBorders>
            <w:vAlign w:val="center"/>
          </w:tcPr>
          <w:p w14:paraId="35BEAE70"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21" w:type="dxa"/>
            <w:tcBorders>
              <w:top w:val="single" w:sz="2" w:space="0" w:color="000000"/>
              <w:left w:val="single" w:sz="2" w:space="0" w:color="000000"/>
              <w:bottom w:val="single" w:sz="2" w:space="0" w:color="000000"/>
              <w:right w:val="single" w:sz="2" w:space="0" w:color="000000"/>
            </w:tcBorders>
            <w:vAlign w:val="center"/>
          </w:tcPr>
          <w:p w14:paraId="6F36C14C"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22A26CCF"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4C34FFC4"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2844CF62"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72D49985"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c>
          <w:tcPr>
            <w:tcW w:w="606" w:type="dxa"/>
            <w:tcBorders>
              <w:top w:val="single" w:sz="2" w:space="0" w:color="000000"/>
              <w:left w:val="single" w:sz="2" w:space="0" w:color="000000"/>
              <w:bottom w:val="single" w:sz="2" w:space="0" w:color="000000"/>
              <w:right w:val="single" w:sz="2" w:space="0" w:color="000000"/>
            </w:tcBorders>
            <w:vAlign w:val="center"/>
          </w:tcPr>
          <w:p w14:paraId="611288FD"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r>
      <w:tr w:rsidR="004D4A28" w:rsidRPr="00364545" w14:paraId="7A7E2A30" w14:textId="77777777" w:rsidTr="00361368">
        <w:trPr>
          <w:trHeight w:val="416"/>
        </w:trPr>
        <w:tc>
          <w:tcPr>
            <w:tcW w:w="1594" w:type="dxa"/>
            <w:tcBorders>
              <w:top w:val="single" w:sz="2" w:space="0" w:color="000000"/>
              <w:left w:val="single" w:sz="2" w:space="0" w:color="000000"/>
              <w:bottom w:val="single" w:sz="2" w:space="0" w:color="000000"/>
              <w:right w:val="single" w:sz="2" w:space="0" w:color="000000"/>
            </w:tcBorders>
            <w:shd w:val="clear" w:color="auto" w:fill="ECE6E2"/>
          </w:tcPr>
          <w:p w14:paraId="63C63351" w14:textId="77777777" w:rsidR="004D4A28" w:rsidRPr="00364545" w:rsidRDefault="004D4A28" w:rsidP="00361368">
            <w:pPr>
              <w:spacing w:line="259" w:lineRule="auto"/>
            </w:pPr>
            <w:r>
              <w:rPr>
                <w:sz w:val="18"/>
              </w:rPr>
              <w:t xml:space="preserve">Procédés industriels, solvants et autres produits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5AB9400" w14:textId="77777777" w:rsidR="004D4A28" w:rsidRPr="00634E4C" w:rsidRDefault="004D4A28" w:rsidP="00361368">
            <w:pPr>
              <w:spacing w:line="259" w:lineRule="auto"/>
              <w:ind w:left="16"/>
              <w:jc w:val="center"/>
              <w:rPr>
                <w:rFonts w:asciiTheme="majorHAnsi" w:hAnsiTheme="majorHAnsi"/>
                <w:sz w:val="18"/>
              </w:rPr>
            </w:pPr>
            <w:r w:rsidRPr="005D0955">
              <w:rPr>
                <w:rFonts w:asciiTheme="majorHAnsi" w:hAnsiTheme="majorHAnsi"/>
                <w:sz w:val="18"/>
                <w:szCs w:val="18"/>
              </w:rPr>
              <w:t>2155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2599B37" w14:textId="77777777" w:rsidR="004D4A28" w:rsidRPr="00634E4C" w:rsidRDefault="004D4A28" w:rsidP="00361368">
            <w:pPr>
              <w:spacing w:line="259" w:lineRule="auto"/>
              <w:ind w:left="19"/>
              <w:jc w:val="center"/>
              <w:rPr>
                <w:rFonts w:asciiTheme="majorHAnsi" w:hAnsiTheme="majorHAnsi"/>
                <w:color w:val="000000"/>
                <w:sz w:val="18"/>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2A4774E"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sz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A81BB83" w14:textId="77777777" w:rsidR="004D4A28" w:rsidRPr="00634E4C" w:rsidRDefault="004D4A28" w:rsidP="00361368">
            <w:pPr>
              <w:spacing w:line="259" w:lineRule="auto"/>
              <w:ind w:left="16"/>
              <w:jc w:val="center"/>
              <w:rPr>
                <w:rFonts w:asciiTheme="majorHAnsi" w:hAnsiTheme="majorHAnsi"/>
                <w:color w:val="000000"/>
                <w:sz w:val="18"/>
              </w:rPr>
            </w:pPr>
            <w:r w:rsidRPr="005D0955">
              <w:rPr>
                <w:rFonts w:asciiTheme="majorHAnsi" w:hAnsiTheme="majorHAnsi"/>
                <w:sz w:val="18"/>
                <w:szCs w:val="18"/>
              </w:rPr>
              <w:t>1355</w:t>
            </w:r>
          </w:p>
        </w:tc>
        <w:tc>
          <w:tcPr>
            <w:tcW w:w="66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E0351B3" w14:textId="77777777" w:rsidR="004D4A28" w:rsidRPr="00634E4C" w:rsidRDefault="004D4A28" w:rsidP="00361368">
            <w:pPr>
              <w:spacing w:line="259" w:lineRule="auto"/>
              <w:ind w:left="21"/>
              <w:jc w:val="center"/>
              <w:rPr>
                <w:rFonts w:asciiTheme="majorHAnsi" w:hAnsiTheme="majorHAnsi"/>
                <w:color w:val="000000"/>
                <w:sz w:val="18"/>
              </w:rPr>
            </w:pPr>
            <w:r w:rsidRPr="00634E4C">
              <w:rPr>
                <w:rFonts w:asciiTheme="majorHAnsi" w:hAnsiTheme="majorHAnsi"/>
                <w:sz w:val="18"/>
              </w:rPr>
              <w:t>875</w:t>
            </w:r>
          </w:p>
        </w:tc>
        <w:tc>
          <w:tcPr>
            <w:tcW w:w="6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0623A4F"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sz w:val="18"/>
              </w:rPr>
              <w:t>498</w:t>
            </w:r>
          </w:p>
        </w:tc>
        <w:tc>
          <w:tcPr>
            <w:tcW w:w="62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363D353" w14:textId="77777777" w:rsidR="004D4A28" w:rsidRPr="00634E4C" w:rsidRDefault="004D4A28" w:rsidP="00361368">
            <w:pPr>
              <w:spacing w:line="259" w:lineRule="auto"/>
              <w:ind w:left="21"/>
              <w:jc w:val="center"/>
              <w:rPr>
                <w:rFonts w:asciiTheme="majorHAnsi" w:hAnsiTheme="majorHAnsi"/>
                <w:color w:val="000000"/>
                <w:sz w:val="18"/>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7AEDCD7" w14:textId="77777777" w:rsidR="004D4A28" w:rsidRPr="00634E4C" w:rsidRDefault="004D4A28" w:rsidP="00361368">
            <w:pPr>
              <w:spacing w:line="259" w:lineRule="auto"/>
              <w:ind w:left="21"/>
              <w:jc w:val="center"/>
              <w:rPr>
                <w:rFonts w:asciiTheme="majorHAnsi" w:hAnsiTheme="majorHAnsi"/>
                <w:color w:val="000000"/>
                <w:sz w:val="18"/>
              </w:rPr>
            </w:pPr>
            <w:r w:rsidRPr="00634E4C">
              <w:rPr>
                <w:rFonts w:asciiTheme="majorHAnsi" w:hAnsiTheme="majorHAnsi"/>
                <w:color w:val="000000"/>
                <w:sz w:val="18"/>
              </w:rPr>
              <w:t>387.4</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A5AD4BC"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color w:val="000000"/>
                <w:sz w:val="18"/>
              </w:rPr>
              <w:t>358.1</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9A005B6" w14:textId="77777777" w:rsidR="004D4A28" w:rsidRPr="00634E4C" w:rsidRDefault="004D4A28" w:rsidP="00361368">
            <w:pPr>
              <w:spacing w:line="259" w:lineRule="auto"/>
              <w:ind w:left="21"/>
              <w:jc w:val="center"/>
              <w:rPr>
                <w:rFonts w:asciiTheme="majorHAnsi" w:hAnsiTheme="majorHAnsi"/>
                <w:color w:val="000000"/>
                <w:sz w:val="18"/>
              </w:rPr>
            </w:pPr>
            <w:r w:rsidRPr="00634E4C">
              <w:rPr>
                <w:rFonts w:asciiTheme="majorHAnsi" w:hAnsiTheme="majorHAnsi"/>
                <w:color w:val="000000"/>
                <w:sz w:val="18"/>
              </w:rPr>
              <w:t>359.2</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B081A05" w14:textId="77777777" w:rsidR="004D4A28" w:rsidRPr="00634E4C" w:rsidRDefault="004D4A28" w:rsidP="00361368">
            <w:pPr>
              <w:spacing w:line="259" w:lineRule="auto"/>
              <w:ind w:left="20"/>
              <w:jc w:val="center"/>
              <w:rPr>
                <w:rFonts w:asciiTheme="majorHAnsi" w:hAnsiTheme="majorHAnsi"/>
                <w:color w:val="000000"/>
                <w:sz w:val="18"/>
              </w:rPr>
            </w:pPr>
            <w:r w:rsidRPr="00634E4C">
              <w:rPr>
                <w:rFonts w:asciiTheme="majorHAnsi" w:hAnsiTheme="majorHAnsi"/>
                <w:color w:val="000000"/>
                <w:sz w:val="18"/>
              </w:rPr>
              <w:t>360.2</w:t>
            </w:r>
          </w:p>
        </w:tc>
        <w:tc>
          <w:tcPr>
            <w:tcW w:w="60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0DAF1E1" w14:textId="77777777" w:rsidR="004D4A28" w:rsidRPr="00634E4C" w:rsidRDefault="004D4A28" w:rsidP="00361368">
            <w:pPr>
              <w:spacing w:line="259" w:lineRule="auto"/>
              <w:ind w:left="20"/>
              <w:jc w:val="center"/>
              <w:rPr>
                <w:rFonts w:asciiTheme="majorHAnsi" w:hAnsiTheme="majorHAnsi"/>
                <w:color w:val="000000"/>
                <w:sz w:val="18"/>
              </w:rPr>
            </w:pPr>
            <w:r w:rsidRPr="00634E4C">
              <w:rPr>
                <w:rFonts w:asciiTheme="majorHAnsi" w:hAnsiTheme="majorHAnsi"/>
                <w:color w:val="000000"/>
                <w:sz w:val="18"/>
              </w:rPr>
              <w:t>363.0</w:t>
            </w:r>
          </w:p>
        </w:tc>
      </w:tr>
      <w:tr w:rsidR="004D4A28" w:rsidRPr="00364545" w14:paraId="39F6DC26" w14:textId="77777777" w:rsidTr="00361368">
        <w:trPr>
          <w:trHeight w:val="347"/>
        </w:trPr>
        <w:tc>
          <w:tcPr>
            <w:tcW w:w="1594" w:type="dxa"/>
            <w:tcBorders>
              <w:top w:val="single" w:sz="2" w:space="0" w:color="000000"/>
              <w:left w:val="single" w:sz="2" w:space="0" w:color="000000"/>
              <w:bottom w:val="single" w:sz="2" w:space="0" w:color="000000"/>
              <w:right w:val="single" w:sz="2" w:space="0" w:color="000000"/>
            </w:tcBorders>
          </w:tcPr>
          <w:p w14:paraId="55257164" w14:textId="77777777" w:rsidR="004D4A28" w:rsidRPr="00364545" w:rsidRDefault="004D4A28" w:rsidP="00361368">
            <w:pPr>
              <w:spacing w:line="259" w:lineRule="auto"/>
            </w:pPr>
            <w:r>
              <w:rPr>
                <w:sz w:val="18"/>
              </w:rPr>
              <w:t xml:space="preserve">Agriculture (hors énergie) </w:t>
            </w:r>
          </w:p>
        </w:tc>
        <w:tc>
          <w:tcPr>
            <w:tcW w:w="765" w:type="dxa"/>
            <w:tcBorders>
              <w:top w:val="single" w:sz="2" w:space="0" w:color="000000"/>
              <w:left w:val="single" w:sz="2" w:space="0" w:color="000000"/>
              <w:bottom w:val="single" w:sz="2" w:space="0" w:color="000000"/>
              <w:right w:val="single" w:sz="2" w:space="0" w:color="000000"/>
            </w:tcBorders>
            <w:vAlign w:val="center"/>
          </w:tcPr>
          <w:p w14:paraId="187BF035"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65BAE3CA"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4DC1A19C"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1861C6B9"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67" w:type="dxa"/>
            <w:tcBorders>
              <w:top w:val="single" w:sz="2" w:space="0" w:color="000000"/>
              <w:left w:val="single" w:sz="2" w:space="0" w:color="000000"/>
              <w:bottom w:val="single" w:sz="2" w:space="0" w:color="000000"/>
              <w:right w:val="single" w:sz="2" w:space="0" w:color="000000"/>
            </w:tcBorders>
            <w:vAlign w:val="center"/>
          </w:tcPr>
          <w:p w14:paraId="7A117401"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65" w:type="dxa"/>
            <w:tcBorders>
              <w:top w:val="single" w:sz="2" w:space="0" w:color="000000"/>
              <w:left w:val="single" w:sz="2" w:space="0" w:color="000000"/>
              <w:bottom w:val="single" w:sz="2" w:space="0" w:color="000000"/>
              <w:right w:val="single" w:sz="2" w:space="0" w:color="000000"/>
            </w:tcBorders>
            <w:vAlign w:val="center"/>
          </w:tcPr>
          <w:p w14:paraId="0A9C518A"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21" w:type="dxa"/>
            <w:tcBorders>
              <w:top w:val="single" w:sz="2" w:space="0" w:color="000000"/>
              <w:left w:val="single" w:sz="2" w:space="0" w:color="000000"/>
              <w:bottom w:val="single" w:sz="2" w:space="0" w:color="000000"/>
              <w:right w:val="single" w:sz="2" w:space="0" w:color="000000"/>
            </w:tcBorders>
            <w:vAlign w:val="center"/>
          </w:tcPr>
          <w:p w14:paraId="29F0C252"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145B9D8E"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19B81B4B"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46FBC365"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4383C78B" w14:textId="77777777" w:rsidR="004D4A28" w:rsidRPr="00634E4C" w:rsidRDefault="004D4A28" w:rsidP="003613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c>
          <w:tcPr>
            <w:tcW w:w="606" w:type="dxa"/>
            <w:tcBorders>
              <w:top w:val="single" w:sz="2" w:space="0" w:color="000000"/>
              <w:left w:val="single" w:sz="2" w:space="0" w:color="000000"/>
              <w:bottom w:val="single" w:sz="2" w:space="0" w:color="000000"/>
              <w:right w:val="single" w:sz="2" w:space="0" w:color="000000"/>
            </w:tcBorders>
            <w:vAlign w:val="center"/>
          </w:tcPr>
          <w:p w14:paraId="318AEEC5" w14:textId="77777777" w:rsidR="004D4A28" w:rsidRPr="00634E4C" w:rsidRDefault="004D4A28" w:rsidP="003613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r>
      <w:tr w:rsidR="004D4A28" w:rsidRPr="00364545" w14:paraId="3EDBF8E7" w14:textId="77777777" w:rsidTr="00361368">
        <w:trPr>
          <w:trHeight w:val="344"/>
        </w:trPr>
        <w:tc>
          <w:tcPr>
            <w:tcW w:w="1594" w:type="dxa"/>
            <w:tcBorders>
              <w:top w:val="single" w:sz="2" w:space="0" w:color="000000"/>
              <w:left w:val="single" w:sz="2" w:space="0" w:color="000000"/>
              <w:bottom w:val="single" w:sz="2" w:space="0" w:color="000000"/>
              <w:right w:val="single" w:sz="2" w:space="0" w:color="000000"/>
            </w:tcBorders>
            <w:shd w:val="clear" w:color="auto" w:fill="ECE6E2"/>
          </w:tcPr>
          <w:p w14:paraId="4E687CD0" w14:textId="77777777" w:rsidR="004D4A28" w:rsidRPr="00364545" w:rsidRDefault="004D4A28" w:rsidP="00361368">
            <w:pPr>
              <w:spacing w:line="259" w:lineRule="auto"/>
            </w:pPr>
            <w:r>
              <w:rPr>
                <w:sz w:val="18"/>
              </w:rPr>
              <w:t xml:space="preserve">UTCF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891DB1"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44D8E2"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4117D1"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3B6BDE"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A5ED4D"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8D9205"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2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2784A4"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7182B3F"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3FD50C"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DD0850"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94C340" w14:textId="77777777" w:rsidR="004D4A28" w:rsidRPr="00634E4C" w:rsidRDefault="004D4A28" w:rsidP="003613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c>
          <w:tcPr>
            <w:tcW w:w="60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132E18" w14:textId="77777777" w:rsidR="004D4A28" w:rsidRPr="00634E4C" w:rsidRDefault="004D4A28" w:rsidP="003613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r>
      <w:tr w:rsidR="004D4A28" w:rsidRPr="00364545" w14:paraId="35E2C094" w14:textId="77777777" w:rsidTr="00361368">
        <w:trPr>
          <w:trHeight w:val="346"/>
        </w:trPr>
        <w:tc>
          <w:tcPr>
            <w:tcW w:w="1594" w:type="dxa"/>
            <w:tcBorders>
              <w:top w:val="single" w:sz="2" w:space="0" w:color="000000"/>
              <w:left w:val="single" w:sz="2" w:space="0" w:color="000000"/>
              <w:bottom w:val="single" w:sz="2" w:space="0" w:color="000000"/>
              <w:right w:val="single" w:sz="2" w:space="0" w:color="000000"/>
            </w:tcBorders>
          </w:tcPr>
          <w:p w14:paraId="17E899E0" w14:textId="77777777" w:rsidR="004D4A28" w:rsidRPr="00364545" w:rsidRDefault="004D4A28" w:rsidP="00361368">
            <w:pPr>
              <w:spacing w:line="259" w:lineRule="auto"/>
            </w:pPr>
            <w:r>
              <w:rPr>
                <w:sz w:val="18"/>
              </w:rPr>
              <w:t xml:space="preserve">Déchets </w:t>
            </w:r>
          </w:p>
        </w:tc>
        <w:tc>
          <w:tcPr>
            <w:tcW w:w="765" w:type="dxa"/>
            <w:tcBorders>
              <w:top w:val="single" w:sz="2" w:space="0" w:color="000000"/>
              <w:left w:val="single" w:sz="2" w:space="0" w:color="000000"/>
              <w:bottom w:val="single" w:sz="2" w:space="0" w:color="000000"/>
              <w:right w:val="single" w:sz="2" w:space="0" w:color="000000"/>
            </w:tcBorders>
            <w:vAlign w:val="center"/>
          </w:tcPr>
          <w:p w14:paraId="5163E5B0"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006F7D70"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502BE5C3"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3F1A4CE6"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67" w:type="dxa"/>
            <w:tcBorders>
              <w:top w:val="single" w:sz="2" w:space="0" w:color="000000"/>
              <w:left w:val="single" w:sz="2" w:space="0" w:color="000000"/>
              <w:bottom w:val="single" w:sz="2" w:space="0" w:color="000000"/>
              <w:right w:val="single" w:sz="2" w:space="0" w:color="000000"/>
            </w:tcBorders>
            <w:vAlign w:val="center"/>
          </w:tcPr>
          <w:p w14:paraId="6F04D770"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65" w:type="dxa"/>
            <w:tcBorders>
              <w:top w:val="single" w:sz="2" w:space="0" w:color="000000"/>
              <w:left w:val="single" w:sz="2" w:space="0" w:color="000000"/>
              <w:bottom w:val="single" w:sz="2" w:space="0" w:color="000000"/>
              <w:right w:val="single" w:sz="2" w:space="0" w:color="000000"/>
            </w:tcBorders>
            <w:vAlign w:val="center"/>
          </w:tcPr>
          <w:p w14:paraId="27C9D342"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21" w:type="dxa"/>
            <w:tcBorders>
              <w:top w:val="single" w:sz="2" w:space="0" w:color="000000"/>
              <w:left w:val="single" w:sz="2" w:space="0" w:color="000000"/>
              <w:bottom w:val="single" w:sz="2" w:space="0" w:color="000000"/>
              <w:right w:val="single" w:sz="2" w:space="0" w:color="000000"/>
            </w:tcBorders>
            <w:vAlign w:val="center"/>
          </w:tcPr>
          <w:p w14:paraId="04BA504A"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7AA6DB08"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6E2DABED" w14:textId="77777777" w:rsidR="004D4A28" w:rsidRPr="00634E4C" w:rsidRDefault="004D4A28" w:rsidP="003613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6929A432" w14:textId="77777777" w:rsidR="004D4A28" w:rsidRPr="00634E4C" w:rsidRDefault="004D4A28" w:rsidP="003613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7D8D112A" w14:textId="77777777" w:rsidR="004D4A28" w:rsidRPr="00634E4C" w:rsidRDefault="004D4A28" w:rsidP="003613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c>
          <w:tcPr>
            <w:tcW w:w="606" w:type="dxa"/>
            <w:tcBorders>
              <w:top w:val="single" w:sz="2" w:space="0" w:color="000000"/>
              <w:left w:val="single" w:sz="2" w:space="0" w:color="000000"/>
              <w:bottom w:val="single" w:sz="2" w:space="0" w:color="000000"/>
              <w:right w:val="single" w:sz="2" w:space="0" w:color="000000"/>
            </w:tcBorders>
            <w:vAlign w:val="center"/>
          </w:tcPr>
          <w:p w14:paraId="27D873E4" w14:textId="77777777" w:rsidR="004D4A28" w:rsidRPr="00634E4C" w:rsidRDefault="004D4A28" w:rsidP="003613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r>
      <w:tr w:rsidR="004D4A28" w:rsidRPr="00364545" w14:paraId="740DFCC5" w14:textId="77777777" w:rsidTr="00361368">
        <w:trPr>
          <w:trHeight w:val="343"/>
        </w:trPr>
        <w:tc>
          <w:tcPr>
            <w:tcW w:w="1594" w:type="dxa"/>
            <w:tcBorders>
              <w:top w:val="single" w:sz="2" w:space="0" w:color="000000"/>
              <w:left w:val="single" w:sz="2" w:space="0" w:color="000000"/>
              <w:bottom w:val="single" w:sz="2" w:space="0" w:color="000000"/>
              <w:right w:val="single" w:sz="2" w:space="0" w:color="000000"/>
            </w:tcBorders>
            <w:shd w:val="clear" w:color="auto" w:fill="ECE6E2"/>
          </w:tcPr>
          <w:p w14:paraId="5702C3EF" w14:textId="77777777" w:rsidR="004D4A28" w:rsidRPr="00364545" w:rsidRDefault="004D4A28" w:rsidP="00361368">
            <w:pPr>
              <w:spacing w:line="259" w:lineRule="auto"/>
            </w:pPr>
            <w:r>
              <w:rPr>
                <w:b/>
                <w:sz w:val="18"/>
              </w:rPr>
              <w:t xml:space="preserve">Ensemble (hors UTCF)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0237D52" w14:textId="77777777" w:rsidR="004D4A28" w:rsidRPr="00634E4C" w:rsidRDefault="004D4A28" w:rsidP="00361368">
            <w:pPr>
              <w:spacing w:line="259" w:lineRule="auto"/>
              <w:ind w:left="16"/>
              <w:jc w:val="center"/>
              <w:rPr>
                <w:rFonts w:asciiTheme="majorHAnsi" w:hAnsiTheme="majorHAnsi"/>
                <w:sz w:val="18"/>
              </w:rPr>
            </w:pPr>
            <w:r w:rsidRPr="005D0955">
              <w:rPr>
                <w:rFonts w:asciiTheme="majorHAnsi" w:hAnsiTheme="majorHAnsi"/>
                <w:sz w:val="18"/>
                <w:szCs w:val="18"/>
              </w:rPr>
              <w:t>2155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C8B6FEF"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C51DFB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BFF6829" w14:textId="77777777" w:rsidR="004D4A28" w:rsidRPr="00634E4C" w:rsidRDefault="004D4A28" w:rsidP="00361368">
            <w:pPr>
              <w:spacing w:line="259" w:lineRule="auto"/>
              <w:ind w:left="16"/>
              <w:jc w:val="center"/>
              <w:rPr>
                <w:rFonts w:asciiTheme="majorHAnsi" w:hAnsiTheme="majorHAnsi"/>
                <w:b/>
                <w:color w:val="000000"/>
                <w:sz w:val="18"/>
              </w:rPr>
            </w:pPr>
            <w:r w:rsidRPr="005D0955">
              <w:rPr>
                <w:rFonts w:asciiTheme="majorHAnsi" w:hAnsiTheme="majorHAnsi"/>
                <w:sz w:val="18"/>
                <w:szCs w:val="18"/>
              </w:rPr>
              <w:t>1355</w:t>
            </w:r>
          </w:p>
        </w:tc>
        <w:tc>
          <w:tcPr>
            <w:tcW w:w="66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04BC516"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sz w:val="18"/>
              </w:rPr>
              <w:t>875</w:t>
            </w:r>
          </w:p>
        </w:tc>
        <w:tc>
          <w:tcPr>
            <w:tcW w:w="6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5D4AED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498</w:t>
            </w:r>
          </w:p>
        </w:tc>
        <w:tc>
          <w:tcPr>
            <w:tcW w:w="62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B4348E4" w14:textId="77777777" w:rsidR="004D4A28" w:rsidRPr="00634E4C" w:rsidRDefault="004D4A28" w:rsidP="00361368">
            <w:pPr>
              <w:spacing w:line="259" w:lineRule="auto"/>
              <w:ind w:left="21"/>
              <w:jc w:val="center"/>
              <w:rPr>
                <w:rFonts w:asciiTheme="majorHAnsi" w:hAnsiTheme="majorHAnsi"/>
                <w:b/>
                <w:color w:val="000000"/>
                <w:sz w:val="18"/>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F5018CF"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387.4</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ED4B01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358.1</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0734130"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359.2</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0988D13"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360.2</w:t>
            </w:r>
          </w:p>
        </w:tc>
        <w:tc>
          <w:tcPr>
            <w:tcW w:w="60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7690C69"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363.0</w:t>
            </w:r>
          </w:p>
        </w:tc>
      </w:tr>
      <w:tr w:rsidR="004D4A28" w:rsidRPr="00364545" w14:paraId="13885CB4" w14:textId="77777777" w:rsidTr="00361368">
        <w:trPr>
          <w:trHeight w:val="346"/>
        </w:trPr>
        <w:tc>
          <w:tcPr>
            <w:tcW w:w="1594" w:type="dxa"/>
            <w:tcBorders>
              <w:top w:val="single" w:sz="2" w:space="0" w:color="000000"/>
              <w:left w:val="single" w:sz="2" w:space="0" w:color="000000"/>
              <w:bottom w:val="single" w:sz="2" w:space="0" w:color="000000"/>
              <w:right w:val="single" w:sz="2" w:space="0" w:color="000000"/>
            </w:tcBorders>
          </w:tcPr>
          <w:p w14:paraId="57A70F98" w14:textId="77777777" w:rsidR="004D4A28" w:rsidRPr="00364545" w:rsidRDefault="004D4A28" w:rsidP="00361368">
            <w:pPr>
              <w:spacing w:line="259" w:lineRule="auto"/>
            </w:pPr>
            <w:r>
              <w:rPr>
                <w:b/>
                <w:sz w:val="18"/>
              </w:rPr>
              <w:t xml:space="preserve">Ensemble (avec UTCF) </w:t>
            </w:r>
          </w:p>
        </w:tc>
        <w:tc>
          <w:tcPr>
            <w:tcW w:w="765" w:type="dxa"/>
            <w:tcBorders>
              <w:top w:val="single" w:sz="2" w:space="0" w:color="000000"/>
              <w:left w:val="single" w:sz="2" w:space="0" w:color="000000"/>
              <w:bottom w:val="single" w:sz="2" w:space="0" w:color="000000"/>
              <w:right w:val="single" w:sz="2" w:space="0" w:color="000000"/>
            </w:tcBorders>
            <w:vAlign w:val="bottom"/>
          </w:tcPr>
          <w:p w14:paraId="3F0E2824" w14:textId="77777777" w:rsidR="004D4A28" w:rsidRPr="00634E4C" w:rsidRDefault="004D4A28" w:rsidP="00361368">
            <w:pPr>
              <w:spacing w:line="259" w:lineRule="auto"/>
              <w:ind w:left="16"/>
              <w:jc w:val="center"/>
              <w:rPr>
                <w:rFonts w:asciiTheme="majorHAnsi" w:hAnsiTheme="majorHAnsi"/>
                <w:sz w:val="18"/>
              </w:rPr>
            </w:pPr>
            <w:r w:rsidRPr="005D0955">
              <w:rPr>
                <w:rFonts w:asciiTheme="majorHAnsi" w:hAnsiTheme="majorHAnsi"/>
                <w:sz w:val="18"/>
                <w:szCs w:val="18"/>
              </w:rPr>
              <w:t>2155</w:t>
            </w:r>
          </w:p>
        </w:tc>
        <w:tc>
          <w:tcPr>
            <w:tcW w:w="792" w:type="dxa"/>
            <w:tcBorders>
              <w:top w:val="single" w:sz="2" w:space="0" w:color="000000"/>
              <w:left w:val="single" w:sz="2" w:space="0" w:color="000000"/>
              <w:bottom w:val="single" w:sz="2" w:space="0" w:color="000000"/>
              <w:right w:val="single" w:sz="2" w:space="0" w:color="000000"/>
            </w:tcBorders>
            <w:vAlign w:val="bottom"/>
          </w:tcPr>
          <w:p w14:paraId="1D26B277"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vAlign w:val="bottom"/>
          </w:tcPr>
          <w:p w14:paraId="70993A59"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2180</w:t>
            </w:r>
          </w:p>
        </w:tc>
        <w:tc>
          <w:tcPr>
            <w:tcW w:w="762" w:type="dxa"/>
            <w:tcBorders>
              <w:top w:val="single" w:sz="2" w:space="0" w:color="000000"/>
              <w:left w:val="single" w:sz="2" w:space="0" w:color="000000"/>
              <w:bottom w:val="single" w:sz="2" w:space="0" w:color="000000"/>
              <w:right w:val="single" w:sz="2" w:space="0" w:color="000000"/>
            </w:tcBorders>
            <w:vAlign w:val="bottom"/>
          </w:tcPr>
          <w:p w14:paraId="41604E3C" w14:textId="77777777" w:rsidR="004D4A28" w:rsidRPr="00634E4C" w:rsidRDefault="004D4A28" w:rsidP="00361368">
            <w:pPr>
              <w:spacing w:line="259" w:lineRule="auto"/>
              <w:ind w:left="16"/>
              <w:jc w:val="center"/>
              <w:rPr>
                <w:rFonts w:asciiTheme="majorHAnsi" w:hAnsiTheme="majorHAnsi"/>
                <w:b/>
                <w:color w:val="000000"/>
                <w:sz w:val="18"/>
              </w:rPr>
            </w:pPr>
            <w:r w:rsidRPr="005D0955">
              <w:rPr>
                <w:rFonts w:asciiTheme="majorHAnsi" w:hAnsiTheme="majorHAnsi"/>
                <w:sz w:val="18"/>
                <w:szCs w:val="18"/>
              </w:rPr>
              <w:t>1355</w:t>
            </w:r>
          </w:p>
        </w:tc>
        <w:tc>
          <w:tcPr>
            <w:tcW w:w="667" w:type="dxa"/>
            <w:tcBorders>
              <w:top w:val="single" w:sz="2" w:space="0" w:color="000000"/>
              <w:left w:val="single" w:sz="2" w:space="0" w:color="000000"/>
              <w:bottom w:val="single" w:sz="2" w:space="0" w:color="000000"/>
              <w:right w:val="single" w:sz="2" w:space="0" w:color="000000"/>
            </w:tcBorders>
            <w:vAlign w:val="bottom"/>
          </w:tcPr>
          <w:p w14:paraId="26A62ED6"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sz w:val="18"/>
              </w:rPr>
              <w:t>875</w:t>
            </w:r>
          </w:p>
        </w:tc>
        <w:tc>
          <w:tcPr>
            <w:tcW w:w="665" w:type="dxa"/>
            <w:tcBorders>
              <w:top w:val="single" w:sz="2" w:space="0" w:color="000000"/>
              <w:left w:val="single" w:sz="2" w:space="0" w:color="000000"/>
              <w:bottom w:val="single" w:sz="2" w:space="0" w:color="000000"/>
              <w:right w:val="single" w:sz="2" w:space="0" w:color="000000"/>
            </w:tcBorders>
            <w:vAlign w:val="bottom"/>
          </w:tcPr>
          <w:p w14:paraId="505F95D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498</w:t>
            </w:r>
          </w:p>
        </w:tc>
        <w:tc>
          <w:tcPr>
            <w:tcW w:w="621" w:type="dxa"/>
            <w:tcBorders>
              <w:top w:val="single" w:sz="2" w:space="0" w:color="000000"/>
              <w:left w:val="single" w:sz="2" w:space="0" w:color="000000"/>
              <w:bottom w:val="single" w:sz="2" w:space="0" w:color="000000"/>
              <w:right w:val="single" w:sz="2" w:space="0" w:color="000000"/>
            </w:tcBorders>
            <w:vAlign w:val="bottom"/>
          </w:tcPr>
          <w:p w14:paraId="7E03571A" w14:textId="77777777" w:rsidR="004D4A28" w:rsidRPr="00634E4C" w:rsidRDefault="004D4A28" w:rsidP="00361368">
            <w:pPr>
              <w:spacing w:line="259" w:lineRule="auto"/>
              <w:ind w:left="21"/>
              <w:jc w:val="center"/>
              <w:rPr>
                <w:rFonts w:asciiTheme="majorHAnsi" w:hAnsiTheme="majorHAnsi"/>
                <w:b/>
                <w:color w:val="000000"/>
                <w:sz w:val="18"/>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vAlign w:val="bottom"/>
          </w:tcPr>
          <w:p w14:paraId="61317B07"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387.4</w:t>
            </w:r>
          </w:p>
        </w:tc>
        <w:tc>
          <w:tcPr>
            <w:tcW w:w="673" w:type="dxa"/>
            <w:tcBorders>
              <w:top w:val="single" w:sz="2" w:space="0" w:color="000000"/>
              <w:left w:val="single" w:sz="2" w:space="0" w:color="000000"/>
              <w:bottom w:val="single" w:sz="2" w:space="0" w:color="000000"/>
              <w:right w:val="single" w:sz="2" w:space="0" w:color="000000"/>
            </w:tcBorders>
            <w:vAlign w:val="bottom"/>
          </w:tcPr>
          <w:p w14:paraId="42499BAD"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358.1</w:t>
            </w:r>
          </w:p>
        </w:tc>
        <w:tc>
          <w:tcPr>
            <w:tcW w:w="675" w:type="dxa"/>
            <w:tcBorders>
              <w:top w:val="single" w:sz="2" w:space="0" w:color="000000"/>
              <w:left w:val="single" w:sz="2" w:space="0" w:color="000000"/>
              <w:bottom w:val="single" w:sz="2" w:space="0" w:color="000000"/>
              <w:right w:val="single" w:sz="2" w:space="0" w:color="000000"/>
            </w:tcBorders>
            <w:vAlign w:val="bottom"/>
          </w:tcPr>
          <w:p w14:paraId="1CE6176A" w14:textId="77777777" w:rsidR="004D4A28" w:rsidRPr="00634E4C" w:rsidRDefault="004D4A28" w:rsidP="003613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359.2</w:t>
            </w:r>
          </w:p>
        </w:tc>
        <w:tc>
          <w:tcPr>
            <w:tcW w:w="674" w:type="dxa"/>
            <w:tcBorders>
              <w:top w:val="single" w:sz="2" w:space="0" w:color="000000"/>
              <w:left w:val="single" w:sz="2" w:space="0" w:color="000000"/>
              <w:bottom w:val="single" w:sz="2" w:space="0" w:color="000000"/>
              <w:right w:val="single" w:sz="2" w:space="0" w:color="000000"/>
            </w:tcBorders>
            <w:vAlign w:val="bottom"/>
          </w:tcPr>
          <w:p w14:paraId="421CEFA3"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360.2</w:t>
            </w:r>
          </w:p>
        </w:tc>
        <w:tc>
          <w:tcPr>
            <w:tcW w:w="606" w:type="dxa"/>
            <w:tcBorders>
              <w:top w:val="single" w:sz="2" w:space="0" w:color="000000"/>
              <w:left w:val="single" w:sz="2" w:space="0" w:color="000000"/>
              <w:bottom w:val="single" w:sz="2" w:space="0" w:color="000000"/>
              <w:right w:val="single" w:sz="2" w:space="0" w:color="000000"/>
            </w:tcBorders>
            <w:vAlign w:val="bottom"/>
          </w:tcPr>
          <w:p w14:paraId="6B22078B" w14:textId="77777777" w:rsidR="004D4A28" w:rsidRPr="00634E4C" w:rsidRDefault="004D4A28" w:rsidP="003613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363.0</w:t>
            </w:r>
          </w:p>
        </w:tc>
      </w:tr>
    </w:tbl>
    <w:p w14:paraId="71592CF2" w14:textId="77777777" w:rsidR="004D4A28" w:rsidRDefault="004D4A28" w:rsidP="004D4A28">
      <w:pPr>
        <w:rPr>
          <w:sz w:val="18"/>
          <w:szCs w:val="18"/>
        </w:rPr>
      </w:pPr>
    </w:p>
    <w:p w14:paraId="051E2BAA" w14:textId="77777777" w:rsidR="004D4A28" w:rsidRDefault="004D4A28" w:rsidP="004D4A28">
      <w:pPr>
        <w:pStyle w:val="Caption"/>
      </w:pPr>
      <w:bookmarkStart w:id="165" w:name="_Toc123916516"/>
      <w:r>
        <w:t xml:space="preserve">Tableau </w:t>
      </w:r>
      <w:r w:rsidR="00757301">
        <w:fldChar w:fldCharType="begin"/>
      </w:r>
      <w:r w:rsidR="00757301">
        <w:instrText xml:space="preserve"> SEQ Tableau \* ARABIC </w:instrText>
      </w:r>
      <w:r w:rsidR="00757301">
        <w:fldChar w:fldCharType="separate"/>
      </w:r>
      <w:r>
        <w:rPr>
          <w:noProof/>
        </w:rPr>
        <w:t>24</w:t>
      </w:r>
      <w:r w:rsidR="00757301">
        <w:rPr>
          <w:noProof/>
        </w:rPr>
        <w:fldChar w:fldCharType="end"/>
      </w:r>
      <w:r>
        <w:t xml:space="preserve"> : </w:t>
      </w:r>
      <w:r w:rsidRPr="00160820">
        <w:t xml:space="preserve">Projections d’émissions de </w:t>
      </w:r>
      <w:r>
        <w:t>SF</w:t>
      </w:r>
      <w:r w:rsidRPr="007F09F7">
        <w:rPr>
          <w:vertAlign w:val="subscript"/>
        </w:rPr>
        <w:t>6</w:t>
      </w:r>
      <w:r w:rsidRPr="00160820">
        <w:t xml:space="preserve"> (en </w:t>
      </w:r>
      <w:r w:rsidRPr="00590551">
        <w:t>kt</w:t>
      </w:r>
      <w:r>
        <w:t>CO</w:t>
      </w:r>
      <w:r w:rsidRPr="007F09F7">
        <w:rPr>
          <w:vertAlign w:val="subscript"/>
        </w:rPr>
        <w:t>2</w:t>
      </w:r>
      <w:r w:rsidRPr="00160820">
        <w:rPr>
          <w:vertAlign w:val="subscript"/>
        </w:rPr>
        <w:t>e</w:t>
      </w:r>
      <w:r w:rsidRPr="00160820">
        <w:t>) au périmètre Kyoto dans le scénario AME</w:t>
      </w:r>
      <w:r>
        <w:t xml:space="preserve"> 2021</w:t>
      </w:r>
      <w:r w:rsidRPr="00160820">
        <w:t xml:space="preserve"> (avec mesures existantes)</w:t>
      </w:r>
      <w:bookmarkEnd w:id="165"/>
    </w:p>
    <w:p w14:paraId="717DD406" w14:textId="77777777" w:rsidR="004D4A28" w:rsidRDefault="004D4A28" w:rsidP="004D4A28">
      <w:pPr>
        <w:pStyle w:val="Caption"/>
      </w:pPr>
      <w:r w:rsidRPr="006E15FD">
        <w:t>Source : Inventaire CCNUCC, Citepa/MTE, soumission 20</w:t>
      </w:r>
      <w:r>
        <w:t xml:space="preserve">22 </w:t>
      </w:r>
      <w:r w:rsidRPr="006E15FD">
        <w:t>et projections d’émissions MTE, 20</w:t>
      </w:r>
      <w:r>
        <w:t>21</w:t>
      </w:r>
    </w:p>
    <w:p w14:paraId="033BDE06" w14:textId="77777777" w:rsidR="004D4A28" w:rsidRPr="00364545" w:rsidRDefault="004D4A28" w:rsidP="004D4A2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672"/>
        <w:gridCol w:w="730"/>
        <w:gridCol w:w="731"/>
        <w:gridCol w:w="731"/>
        <w:gridCol w:w="729"/>
        <w:gridCol w:w="680"/>
        <w:gridCol w:w="677"/>
        <w:gridCol w:w="627"/>
        <w:gridCol w:w="688"/>
        <w:gridCol w:w="686"/>
        <w:gridCol w:w="688"/>
        <w:gridCol w:w="686"/>
        <w:gridCol w:w="609"/>
      </w:tblGrid>
      <w:tr w:rsidR="004D4A28" w:rsidRPr="00364545" w14:paraId="317276DD" w14:textId="77777777" w:rsidTr="00361368">
        <w:trPr>
          <w:trHeight w:val="401"/>
        </w:trPr>
        <w:tc>
          <w:tcPr>
            <w:tcW w:w="1672" w:type="dxa"/>
            <w:tcBorders>
              <w:top w:val="single" w:sz="2" w:space="0" w:color="000000"/>
              <w:left w:val="single" w:sz="2" w:space="0" w:color="000000"/>
              <w:bottom w:val="single" w:sz="2" w:space="0" w:color="000000"/>
              <w:right w:val="single" w:sz="2" w:space="0" w:color="000000"/>
            </w:tcBorders>
            <w:shd w:val="clear" w:color="auto" w:fill="6D2A78"/>
          </w:tcPr>
          <w:p w14:paraId="2AC138C3" w14:textId="77777777" w:rsidR="004D4A28" w:rsidRPr="00364545" w:rsidRDefault="004D4A28" w:rsidP="00361368">
            <w:pPr>
              <w:spacing w:line="259" w:lineRule="auto"/>
            </w:pPr>
            <w:r>
              <w:t>AME</w:t>
            </w:r>
            <w:r w:rsidRPr="00364545">
              <w:t xml:space="preserve"> 21 </w:t>
            </w:r>
            <w:r w:rsidRPr="005D0955">
              <w:rPr>
                <w:szCs w:val="22"/>
              </w:rPr>
              <w:t xml:space="preserve">- </w:t>
            </w:r>
            <w:r w:rsidRPr="00634E4C">
              <w:t>NF3</w:t>
            </w:r>
          </w:p>
        </w:tc>
        <w:tc>
          <w:tcPr>
            <w:tcW w:w="730" w:type="dxa"/>
            <w:tcBorders>
              <w:top w:val="single" w:sz="2" w:space="0" w:color="000000"/>
              <w:left w:val="single" w:sz="2" w:space="0" w:color="000000"/>
              <w:bottom w:val="single" w:sz="2" w:space="0" w:color="000000"/>
              <w:right w:val="single" w:sz="2" w:space="0" w:color="000000"/>
            </w:tcBorders>
            <w:shd w:val="clear" w:color="auto" w:fill="6D2A78"/>
          </w:tcPr>
          <w:p w14:paraId="51AB6D9A" w14:textId="77777777" w:rsidR="004D4A28" w:rsidRPr="00364545" w:rsidRDefault="004D4A28" w:rsidP="00361368">
            <w:pPr>
              <w:spacing w:line="259" w:lineRule="auto"/>
              <w:ind w:left="19"/>
              <w:jc w:val="center"/>
            </w:pPr>
            <w:r w:rsidRPr="00364545">
              <w:rPr>
                <w:b/>
                <w:color w:val="FFFFFF"/>
                <w:sz w:val="18"/>
              </w:rPr>
              <w:t xml:space="preserve">1990 </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389898D8" w14:textId="77777777" w:rsidR="004D4A28" w:rsidRPr="00364545" w:rsidRDefault="004D4A28" w:rsidP="00361368">
            <w:pPr>
              <w:spacing w:line="259" w:lineRule="auto"/>
              <w:ind w:left="21"/>
              <w:jc w:val="center"/>
              <w:rPr>
                <w:b/>
                <w:color w:val="FFFFFF"/>
                <w:sz w:val="18"/>
              </w:rPr>
            </w:pPr>
            <w:r w:rsidRPr="00364545">
              <w:rPr>
                <w:b/>
                <w:color w:val="FFFFFF"/>
                <w:sz w:val="18"/>
              </w:rPr>
              <w:t>1995</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512C5F86" w14:textId="77777777" w:rsidR="004D4A28" w:rsidRPr="00364545" w:rsidRDefault="004D4A28" w:rsidP="00361368">
            <w:pPr>
              <w:spacing w:line="259" w:lineRule="auto"/>
              <w:ind w:left="21"/>
              <w:jc w:val="center"/>
            </w:pPr>
            <w:r w:rsidRPr="00364545">
              <w:rPr>
                <w:b/>
                <w:color w:val="FFFFFF"/>
                <w:sz w:val="18"/>
              </w:rPr>
              <w:t xml:space="preserve">2000 </w:t>
            </w:r>
          </w:p>
        </w:tc>
        <w:tc>
          <w:tcPr>
            <w:tcW w:w="729" w:type="dxa"/>
            <w:tcBorders>
              <w:top w:val="single" w:sz="2" w:space="0" w:color="000000"/>
              <w:left w:val="single" w:sz="2" w:space="0" w:color="000000"/>
              <w:bottom w:val="single" w:sz="2" w:space="0" w:color="000000"/>
              <w:right w:val="single" w:sz="2" w:space="0" w:color="000000"/>
            </w:tcBorders>
            <w:shd w:val="clear" w:color="auto" w:fill="6D2A78"/>
          </w:tcPr>
          <w:p w14:paraId="2E597557" w14:textId="77777777" w:rsidR="004D4A28" w:rsidRPr="00364545" w:rsidRDefault="004D4A28" w:rsidP="00361368">
            <w:pPr>
              <w:spacing w:line="259" w:lineRule="auto"/>
              <w:ind w:left="19"/>
              <w:jc w:val="center"/>
            </w:pPr>
            <w:r w:rsidRPr="00364545">
              <w:rPr>
                <w:b/>
                <w:color w:val="FFFFFF"/>
                <w:sz w:val="18"/>
              </w:rPr>
              <w:t xml:space="preserve">2005 </w:t>
            </w:r>
          </w:p>
        </w:tc>
        <w:tc>
          <w:tcPr>
            <w:tcW w:w="680" w:type="dxa"/>
            <w:tcBorders>
              <w:top w:val="single" w:sz="2" w:space="0" w:color="000000"/>
              <w:left w:val="single" w:sz="2" w:space="0" w:color="000000"/>
              <w:bottom w:val="single" w:sz="2" w:space="0" w:color="000000"/>
              <w:right w:val="single" w:sz="2" w:space="0" w:color="000000"/>
            </w:tcBorders>
            <w:shd w:val="clear" w:color="auto" w:fill="6D2A78"/>
          </w:tcPr>
          <w:p w14:paraId="38F76665" w14:textId="77777777" w:rsidR="004D4A28" w:rsidRPr="00364545" w:rsidRDefault="004D4A28" w:rsidP="00361368">
            <w:pPr>
              <w:spacing w:line="259" w:lineRule="auto"/>
              <w:ind w:left="21"/>
              <w:jc w:val="center"/>
            </w:pPr>
            <w:r w:rsidRPr="00364545">
              <w:rPr>
                <w:b/>
                <w:color w:val="FFFFFF"/>
                <w:sz w:val="18"/>
              </w:rPr>
              <w:t xml:space="preserve">2010 </w:t>
            </w:r>
          </w:p>
        </w:tc>
        <w:tc>
          <w:tcPr>
            <w:tcW w:w="677" w:type="dxa"/>
            <w:tcBorders>
              <w:top w:val="single" w:sz="2" w:space="0" w:color="000000"/>
              <w:left w:val="single" w:sz="2" w:space="0" w:color="000000"/>
              <w:bottom w:val="single" w:sz="2" w:space="0" w:color="000000"/>
              <w:right w:val="single" w:sz="2" w:space="0" w:color="000000"/>
            </w:tcBorders>
            <w:shd w:val="clear" w:color="auto" w:fill="6D2A78"/>
          </w:tcPr>
          <w:p w14:paraId="061FF7BA" w14:textId="77777777" w:rsidR="004D4A28" w:rsidRPr="00364545" w:rsidRDefault="004D4A28" w:rsidP="00361368">
            <w:pPr>
              <w:spacing w:line="259" w:lineRule="auto"/>
              <w:ind w:left="19"/>
              <w:jc w:val="center"/>
            </w:pPr>
            <w:r w:rsidRPr="00364545">
              <w:rPr>
                <w:b/>
                <w:color w:val="FFFFFF"/>
                <w:sz w:val="18"/>
              </w:rPr>
              <w:t xml:space="preserve">2015 </w:t>
            </w:r>
          </w:p>
        </w:tc>
        <w:tc>
          <w:tcPr>
            <w:tcW w:w="627" w:type="dxa"/>
            <w:tcBorders>
              <w:top w:val="single" w:sz="2" w:space="0" w:color="000000"/>
              <w:left w:val="single" w:sz="2" w:space="0" w:color="000000"/>
              <w:bottom w:val="single" w:sz="2" w:space="0" w:color="000000"/>
              <w:right w:val="single" w:sz="2" w:space="0" w:color="000000"/>
            </w:tcBorders>
            <w:shd w:val="clear" w:color="auto" w:fill="6D2A78"/>
          </w:tcPr>
          <w:p w14:paraId="136F558B" w14:textId="77777777" w:rsidR="004D4A28" w:rsidRPr="00364545" w:rsidRDefault="004D4A28" w:rsidP="00361368">
            <w:pPr>
              <w:spacing w:line="259" w:lineRule="auto"/>
              <w:ind w:left="21"/>
              <w:jc w:val="center"/>
              <w:rPr>
                <w:b/>
                <w:color w:val="FFFFFF"/>
                <w:sz w:val="18"/>
              </w:rPr>
            </w:pPr>
            <w:r w:rsidRPr="00364545">
              <w:rPr>
                <w:b/>
                <w:color w:val="FFFFFF"/>
                <w:sz w:val="18"/>
              </w:rPr>
              <w:t>2019</w:t>
            </w:r>
          </w:p>
        </w:tc>
        <w:tc>
          <w:tcPr>
            <w:tcW w:w="688" w:type="dxa"/>
            <w:tcBorders>
              <w:top w:val="single" w:sz="2" w:space="0" w:color="000000"/>
              <w:left w:val="single" w:sz="2" w:space="0" w:color="000000"/>
              <w:bottom w:val="single" w:sz="2" w:space="0" w:color="000000"/>
              <w:right w:val="single" w:sz="2" w:space="0" w:color="000000"/>
            </w:tcBorders>
            <w:shd w:val="clear" w:color="auto" w:fill="6D2A78"/>
          </w:tcPr>
          <w:p w14:paraId="3131671A" w14:textId="77777777" w:rsidR="004D4A28" w:rsidRPr="00364545" w:rsidRDefault="004D4A28" w:rsidP="00361368">
            <w:pPr>
              <w:spacing w:line="259" w:lineRule="auto"/>
              <w:ind w:left="21"/>
              <w:jc w:val="center"/>
            </w:pPr>
            <w:r w:rsidRPr="00364545">
              <w:rPr>
                <w:b/>
                <w:color w:val="FFFFFF"/>
                <w:sz w:val="18"/>
              </w:rPr>
              <w:t xml:space="preserve">2020 </w:t>
            </w:r>
          </w:p>
        </w:tc>
        <w:tc>
          <w:tcPr>
            <w:tcW w:w="686" w:type="dxa"/>
            <w:tcBorders>
              <w:top w:val="single" w:sz="2" w:space="0" w:color="000000"/>
              <w:left w:val="single" w:sz="2" w:space="0" w:color="000000"/>
              <w:bottom w:val="single" w:sz="2" w:space="0" w:color="000000"/>
              <w:right w:val="single" w:sz="2" w:space="0" w:color="000000"/>
            </w:tcBorders>
            <w:shd w:val="clear" w:color="auto" w:fill="6D2A78"/>
          </w:tcPr>
          <w:p w14:paraId="4F4D0D5D" w14:textId="77777777" w:rsidR="004D4A28" w:rsidRPr="00364545" w:rsidRDefault="004D4A28" w:rsidP="00361368">
            <w:pPr>
              <w:spacing w:line="259" w:lineRule="auto"/>
              <w:ind w:left="19"/>
              <w:jc w:val="center"/>
            </w:pPr>
            <w:r w:rsidRPr="00364545">
              <w:rPr>
                <w:b/>
                <w:color w:val="FFFFFF"/>
                <w:sz w:val="18"/>
              </w:rPr>
              <w:t xml:space="preserve">2025 </w:t>
            </w:r>
          </w:p>
        </w:tc>
        <w:tc>
          <w:tcPr>
            <w:tcW w:w="688" w:type="dxa"/>
            <w:tcBorders>
              <w:top w:val="single" w:sz="2" w:space="0" w:color="000000"/>
              <w:left w:val="single" w:sz="2" w:space="0" w:color="000000"/>
              <w:bottom w:val="single" w:sz="2" w:space="0" w:color="000000"/>
              <w:right w:val="single" w:sz="2" w:space="0" w:color="000000"/>
            </w:tcBorders>
            <w:shd w:val="clear" w:color="auto" w:fill="6D2A78"/>
          </w:tcPr>
          <w:p w14:paraId="5A06761C" w14:textId="77777777" w:rsidR="004D4A28" w:rsidRPr="00364545" w:rsidRDefault="004D4A28" w:rsidP="00361368">
            <w:pPr>
              <w:spacing w:line="259" w:lineRule="auto"/>
              <w:ind w:left="21"/>
              <w:jc w:val="center"/>
            </w:pPr>
            <w:r w:rsidRPr="00364545">
              <w:rPr>
                <w:b/>
                <w:color w:val="FFFFFF"/>
                <w:sz w:val="18"/>
              </w:rPr>
              <w:t xml:space="preserve">2030 </w:t>
            </w:r>
          </w:p>
        </w:tc>
        <w:tc>
          <w:tcPr>
            <w:tcW w:w="686" w:type="dxa"/>
            <w:tcBorders>
              <w:top w:val="single" w:sz="2" w:space="0" w:color="000000"/>
              <w:left w:val="single" w:sz="2" w:space="0" w:color="000000"/>
              <w:bottom w:val="single" w:sz="2" w:space="0" w:color="000000"/>
              <w:right w:val="single" w:sz="2" w:space="0" w:color="000000"/>
            </w:tcBorders>
            <w:shd w:val="clear" w:color="auto" w:fill="6D2A78"/>
          </w:tcPr>
          <w:p w14:paraId="44EDFB65" w14:textId="77777777" w:rsidR="004D4A28" w:rsidRPr="00364545" w:rsidRDefault="004D4A28" w:rsidP="00361368">
            <w:pPr>
              <w:spacing w:line="259" w:lineRule="auto"/>
              <w:ind w:left="20"/>
              <w:jc w:val="center"/>
            </w:pPr>
            <w:r w:rsidRPr="00364545">
              <w:rPr>
                <w:b/>
                <w:color w:val="FFFFFF"/>
                <w:sz w:val="18"/>
              </w:rPr>
              <w:t xml:space="preserve">2035 </w:t>
            </w:r>
          </w:p>
        </w:tc>
        <w:tc>
          <w:tcPr>
            <w:tcW w:w="609" w:type="dxa"/>
            <w:tcBorders>
              <w:top w:val="single" w:sz="2" w:space="0" w:color="000000"/>
              <w:left w:val="single" w:sz="2" w:space="0" w:color="000000"/>
              <w:bottom w:val="single" w:sz="2" w:space="0" w:color="000000"/>
              <w:right w:val="single" w:sz="2" w:space="0" w:color="000000"/>
            </w:tcBorders>
            <w:shd w:val="clear" w:color="auto" w:fill="6D2A78"/>
          </w:tcPr>
          <w:p w14:paraId="78D228C1" w14:textId="77777777" w:rsidR="004D4A28" w:rsidRPr="00364545" w:rsidRDefault="004D4A28" w:rsidP="00361368">
            <w:pPr>
              <w:spacing w:line="259" w:lineRule="auto"/>
              <w:ind w:left="20"/>
              <w:jc w:val="center"/>
              <w:rPr>
                <w:b/>
                <w:color w:val="FFFFFF"/>
                <w:sz w:val="18"/>
              </w:rPr>
            </w:pPr>
            <w:r w:rsidRPr="00364545">
              <w:rPr>
                <w:b/>
                <w:color w:val="FFFFFF"/>
                <w:sz w:val="18"/>
              </w:rPr>
              <w:t>2050</w:t>
            </w:r>
          </w:p>
        </w:tc>
      </w:tr>
      <w:tr w:rsidR="004D4A28" w:rsidRPr="00364545" w14:paraId="5F14F35C" w14:textId="77777777" w:rsidTr="00361368">
        <w:trPr>
          <w:trHeight w:val="347"/>
        </w:trPr>
        <w:tc>
          <w:tcPr>
            <w:tcW w:w="1672" w:type="dxa"/>
            <w:tcBorders>
              <w:top w:val="single" w:sz="2" w:space="0" w:color="000000"/>
              <w:left w:val="single" w:sz="2" w:space="0" w:color="000000"/>
              <w:bottom w:val="single" w:sz="2" w:space="0" w:color="000000"/>
              <w:right w:val="single" w:sz="2" w:space="0" w:color="000000"/>
            </w:tcBorders>
          </w:tcPr>
          <w:p w14:paraId="0F46D4C7" w14:textId="77777777" w:rsidR="004D4A28" w:rsidRPr="00364545" w:rsidRDefault="004D4A28" w:rsidP="00361368">
            <w:pPr>
              <w:spacing w:line="259" w:lineRule="auto"/>
            </w:pPr>
            <w:r>
              <w:rPr>
                <w:sz w:val="18"/>
              </w:rPr>
              <w:t xml:space="preserve">Energie </w:t>
            </w:r>
          </w:p>
        </w:tc>
        <w:tc>
          <w:tcPr>
            <w:tcW w:w="730" w:type="dxa"/>
            <w:tcBorders>
              <w:top w:val="single" w:sz="2" w:space="0" w:color="000000"/>
              <w:left w:val="single" w:sz="2" w:space="0" w:color="000000"/>
              <w:bottom w:val="single" w:sz="2" w:space="0" w:color="000000"/>
              <w:right w:val="single" w:sz="2" w:space="0" w:color="000000"/>
            </w:tcBorders>
            <w:vAlign w:val="center"/>
          </w:tcPr>
          <w:p w14:paraId="2B5D9DA0"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4174D9F8"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3ADAC693"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729" w:type="dxa"/>
            <w:tcBorders>
              <w:top w:val="single" w:sz="2" w:space="0" w:color="000000"/>
              <w:left w:val="single" w:sz="2" w:space="0" w:color="000000"/>
              <w:bottom w:val="single" w:sz="2" w:space="0" w:color="000000"/>
              <w:right w:val="single" w:sz="2" w:space="0" w:color="000000"/>
            </w:tcBorders>
            <w:vAlign w:val="center"/>
          </w:tcPr>
          <w:p w14:paraId="7600DA2E"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80" w:type="dxa"/>
            <w:tcBorders>
              <w:top w:val="single" w:sz="2" w:space="0" w:color="000000"/>
              <w:left w:val="single" w:sz="2" w:space="0" w:color="000000"/>
              <w:bottom w:val="single" w:sz="2" w:space="0" w:color="000000"/>
              <w:right w:val="single" w:sz="2" w:space="0" w:color="000000"/>
            </w:tcBorders>
            <w:vAlign w:val="center"/>
          </w:tcPr>
          <w:p w14:paraId="19BEFC51"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77" w:type="dxa"/>
            <w:tcBorders>
              <w:top w:val="single" w:sz="2" w:space="0" w:color="000000"/>
              <w:left w:val="single" w:sz="2" w:space="0" w:color="000000"/>
              <w:bottom w:val="single" w:sz="2" w:space="0" w:color="000000"/>
              <w:right w:val="single" w:sz="2" w:space="0" w:color="000000"/>
            </w:tcBorders>
            <w:vAlign w:val="center"/>
          </w:tcPr>
          <w:p w14:paraId="4EE26E97"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27" w:type="dxa"/>
            <w:tcBorders>
              <w:top w:val="single" w:sz="2" w:space="0" w:color="000000"/>
              <w:left w:val="single" w:sz="2" w:space="0" w:color="000000"/>
              <w:bottom w:val="single" w:sz="2" w:space="0" w:color="000000"/>
              <w:right w:val="single" w:sz="2" w:space="0" w:color="000000"/>
            </w:tcBorders>
            <w:vAlign w:val="center"/>
          </w:tcPr>
          <w:p w14:paraId="5FB9756A"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68DA4630"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18C381BF"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1F553BDA" w14:textId="77777777" w:rsidR="004D4A28" w:rsidRPr="00634E4C" w:rsidRDefault="004D4A28" w:rsidP="00361368">
            <w:pPr>
              <w:spacing w:line="259" w:lineRule="auto"/>
              <w:ind w:left="16"/>
              <w:jc w:val="center"/>
              <w:rPr>
                <w:rFonts w:asciiTheme="majorHAnsi" w:hAnsiTheme="majorHAnsi"/>
                <w:sz w:val="18"/>
              </w:rPr>
            </w:pPr>
            <w:r w:rsidRPr="00634E4C">
              <w:rPr>
                <w:rFonts w:asciiTheme="majorHAnsi" w:hAnsiTheme="majorHAnsi"/>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23E5EE44"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c>
          <w:tcPr>
            <w:tcW w:w="609" w:type="dxa"/>
            <w:tcBorders>
              <w:top w:val="single" w:sz="2" w:space="0" w:color="000000"/>
              <w:left w:val="single" w:sz="2" w:space="0" w:color="000000"/>
              <w:bottom w:val="single" w:sz="2" w:space="0" w:color="000000"/>
              <w:right w:val="single" w:sz="2" w:space="0" w:color="000000"/>
            </w:tcBorders>
            <w:vAlign w:val="center"/>
          </w:tcPr>
          <w:p w14:paraId="46F278E6" w14:textId="77777777" w:rsidR="004D4A28" w:rsidRPr="00634E4C" w:rsidRDefault="004D4A28" w:rsidP="00361368">
            <w:pPr>
              <w:spacing w:line="259" w:lineRule="auto"/>
              <w:ind w:left="15"/>
              <w:jc w:val="center"/>
              <w:rPr>
                <w:rFonts w:asciiTheme="majorHAnsi" w:hAnsiTheme="majorHAnsi"/>
                <w:sz w:val="18"/>
              </w:rPr>
            </w:pPr>
            <w:r w:rsidRPr="00634E4C">
              <w:rPr>
                <w:rFonts w:asciiTheme="majorHAnsi" w:hAnsiTheme="majorHAnsi"/>
                <w:sz w:val="18"/>
              </w:rPr>
              <w:t>0</w:t>
            </w:r>
          </w:p>
        </w:tc>
      </w:tr>
      <w:tr w:rsidR="004D4A28" w:rsidRPr="00364545" w14:paraId="1BF636BF" w14:textId="77777777" w:rsidTr="00361368">
        <w:trPr>
          <w:trHeight w:val="416"/>
        </w:trPr>
        <w:tc>
          <w:tcPr>
            <w:tcW w:w="1672" w:type="dxa"/>
            <w:tcBorders>
              <w:top w:val="single" w:sz="2" w:space="0" w:color="000000"/>
              <w:left w:val="single" w:sz="2" w:space="0" w:color="000000"/>
              <w:bottom w:val="single" w:sz="2" w:space="0" w:color="000000"/>
              <w:right w:val="single" w:sz="2" w:space="0" w:color="000000"/>
            </w:tcBorders>
            <w:shd w:val="clear" w:color="auto" w:fill="ECE6E2"/>
          </w:tcPr>
          <w:p w14:paraId="41C8E82A" w14:textId="77777777" w:rsidR="004D4A28" w:rsidRPr="00364545" w:rsidRDefault="004D4A28" w:rsidP="00361368">
            <w:pPr>
              <w:spacing w:line="259" w:lineRule="auto"/>
            </w:pPr>
            <w:r>
              <w:rPr>
                <w:sz w:val="18"/>
              </w:rPr>
              <w:t xml:space="preserve">Procédés industriels, solvants et autres produits </w:t>
            </w:r>
          </w:p>
        </w:tc>
        <w:tc>
          <w:tcPr>
            <w:tcW w:w="73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37F61A2" w14:textId="77777777" w:rsidR="004D4A28" w:rsidRPr="00634E4C" w:rsidRDefault="004D4A28" w:rsidP="00361368">
            <w:pPr>
              <w:spacing w:line="259" w:lineRule="auto"/>
              <w:ind w:left="19"/>
              <w:jc w:val="center"/>
              <w:rPr>
                <w:rFonts w:asciiTheme="majorHAnsi" w:hAnsiTheme="majorHAnsi"/>
                <w:sz w:val="18"/>
              </w:rPr>
            </w:pPr>
            <w:r w:rsidRPr="00634E4C">
              <w:rPr>
                <w:rFonts w:asciiTheme="majorHAnsi" w:hAnsiTheme="majorHAnsi"/>
                <w:sz w:val="18"/>
              </w:rPr>
              <w:t>16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8D15D8A"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sz w:val="18"/>
              </w:rPr>
              <w:t>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2FE613A" w14:textId="77777777" w:rsidR="004D4A28" w:rsidRPr="00634E4C" w:rsidRDefault="004D4A28" w:rsidP="00361368">
            <w:pPr>
              <w:spacing w:line="259" w:lineRule="auto"/>
              <w:ind w:left="19"/>
              <w:jc w:val="center"/>
              <w:rPr>
                <w:rFonts w:asciiTheme="majorHAnsi" w:hAnsiTheme="majorHAnsi"/>
                <w:color w:val="000000"/>
                <w:sz w:val="18"/>
              </w:rPr>
            </w:pPr>
            <w:r w:rsidRPr="005D0955">
              <w:rPr>
                <w:rFonts w:asciiTheme="majorHAnsi" w:hAnsiTheme="majorHAnsi"/>
                <w:sz w:val="18"/>
                <w:szCs w:val="18"/>
              </w:rPr>
              <w:t>20</w:t>
            </w:r>
          </w:p>
        </w:tc>
        <w:tc>
          <w:tcPr>
            <w:tcW w:w="72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3E4F611"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sz w:val="18"/>
              </w:rPr>
              <w:t>31</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1C0B7BB"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sz w:val="18"/>
              </w:rPr>
              <w:t>32</w:t>
            </w:r>
          </w:p>
        </w:tc>
        <w:tc>
          <w:tcPr>
            <w:tcW w:w="67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9553455"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sz w:val="18"/>
              </w:rPr>
              <w:t>6</w:t>
            </w:r>
          </w:p>
        </w:tc>
        <w:tc>
          <w:tcPr>
            <w:tcW w:w="62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4C591F2"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sz w:val="18"/>
              </w:rPr>
              <w:t>10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A7CCE80"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color w:val="000000"/>
                <w:sz w:val="18"/>
              </w:rPr>
              <w:t>9.4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10AD951"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color w:val="000000"/>
                <w:sz w:val="18"/>
              </w:rPr>
              <w:t>10.4</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83FE9F0"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color w:val="000000"/>
                <w:sz w:val="18"/>
              </w:rPr>
              <w:t>10.4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6FEA382"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color w:val="000000"/>
                <w:sz w:val="18"/>
              </w:rPr>
              <w:t>10.4</w:t>
            </w:r>
          </w:p>
        </w:tc>
        <w:tc>
          <w:tcPr>
            <w:tcW w:w="6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1D38DDD" w14:textId="77777777" w:rsidR="004D4A28" w:rsidRPr="00634E4C" w:rsidRDefault="004D4A28" w:rsidP="00361368">
            <w:pPr>
              <w:spacing w:line="259" w:lineRule="auto"/>
              <w:ind w:left="19"/>
              <w:jc w:val="center"/>
              <w:rPr>
                <w:rFonts w:asciiTheme="majorHAnsi" w:hAnsiTheme="majorHAnsi"/>
                <w:color w:val="000000"/>
                <w:sz w:val="18"/>
              </w:rPr>
            </w:pPr>
            <w:r w:rsidRPr="00634E4C">
              <w:rPr>
                <w:rFonts w:asciiTheme="majorHAnsi" w:hAnsiTheme="majorHAnsi"/>
                <w:color w:val="000000"/>
                <w:sz w:val="18"/>
              </w:rPr>
              <w:t>10.5</w:t>
            </w:r>
          </w:p>
        </w:tc>
      </w:tr>
      <w:tr w:rsidR="004D4A28" w:rsidRPr="00364545" w14:paraId="2548AC46" w14:textId="77777777" w:rsidTr="00361368">
        <w:trPr>
          <w:trHeight w:val="347"/>
        </w:trPr>
        <w:tc>
          <w:tcPr>
            <w:tcW w:w="1672" w:type="dxa"/>
            <w:tcBorders>
              <w:top w:val="single" w:sz="2" w:space="0" w:color="000000"/>
              <w:left w:val="single" w:sz="2" w:space="0" w:color="000000"/>
              <w:bottom w:val="single" w:sz="2" w:space="0" w:color="000000"/>
              <w:right w:val="single" w:sz="2" w:space="0" w:color="000000"/>
            </w:tcBorders>
          </w:tcPr>
          <w:p w14:paraId="4F9F0099" w14:textId="77777777" w:rsidR="004D4A28" w:rsidRPr="00364545" w:rsidRDefault="004D4A28" w:rsidP="00361368">
            <w:pPr>
              <w:spacing w:line="259" w:lineRule="auto"/>
            </w:pPr>
            <w:r>
              <w:rPr>
                <w:sz w:val="18"/>
              </w:rPr>
              <w:t xml:space="preserve">Agriculture (hors énergie) </w:t>
            </w:r>
          </w:p>
        </w:tc>
        <w:tc>
          <w:tcPr>
            <w:tcW w:w="730" w:type="dxa"/>
            <w:tcBorders>
              <w:top w:val="single" w:sz="2" w:space="0" w:color="000000"/>
              <w:left w:val="single" w:sz="2" w:space="0" w:color="000000"/>
              <w:bottom w:val="single" w:sz="2" w:space="0" w:color="000000"/>
              <w:right w:val="single" w:sz="2" w:space="0" w:color="000000"/>
            </w:tcBorders>
            <w:vAlign w:val="center"/>
          </w:tcPr>
          <w:p w14:paraId="21E6C4CD"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2D18B06F"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27356280"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29" w:type="dxa"/>
            <w:tcBorders>
              <w:top w:val="single" w:sz="2" w:space="0" w:color="000000"/>
              <w:left w:val="single" w:sz="2" w:space="0" w:color="000000"/>
              <w:bottom w:val="single" w:sz="2" w:space="0" w:color="000000"/>
              <w:right w:val="single" w:sz="2" w:space="0" w:color="000000"/>
            </w:tcBorders>
            <w:vAlign w:val="center"/>
          </w:tcPr>
          <w:p w14:paraId="4610899D"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0" w:type="dxa"/>
            <w:tcBorders>
              <w:top w:val="single" w:sz="2" w:space="0" w:color="000000"/>
              <w:left w:val="single" w:sz="2" w:space="0" w:color="000000"/>
              <w:bottom w:val="single" w:sz="2" w:space="0" w:color="000000"/>
              <w:right w:val="single" w:sz="2" w:space="0" w:color="000000"/>
            </w:tcBorders>
            <w:vAlign w:val="center"/>
          </w:tcPr>
          <w:p w14:paraId="037C1FF5"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77" w:type="dxa"/>
            <w:tcBorders>
              <w:top w:val="single" w:sz="2" w:space="0" w:color="000000"/>
              <w:left w:val="single" w:sz="2" w:space="0" w:color="000000"/>
              <w:bottom w:val="single" w:sz="2" w:space="0" w:color="000000"/>
              <w:right w:val="single" w:sz="2" w:space="0" w:color="000000"/>
            </w:tcBorders>
            <w:vAlign w:val="center"/>
          </w:tcPr>
          <w:p w14:paraId="4BE2BE43"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27" w:type="dxa"/>
            <w:tcBorders>
              <w:top w:val="single" w:sz="2" w:space="0" w:color="000000"/>
              <w:left w:val="single" w:sz="2" w:space="0" w:color="000000"/>
              <w:bottom w:val="single" w:sz="2" w:space="0" w:color="000000"/>
              <w:right w:val="single" w:sz="2" w:space="0" w:color="000000"/>
            </w:tcBorders>
            <w:vAlign w:val="center"/>
          </w:tcPr>
          <w:p w14:paraId="54A9FC63"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184438F6"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0C49E46D"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09CCDFC6"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13B16EEC"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09" w:type="dxa"/>
            <w:tcBorders>
              <w:top w:val="single" w:sz="2" w:space="0" w:color="000000"/>
              <w:left w:val="single" w:sz="2" w:space="0" w:color="000000"/>
              <w:bottom w:val="single" w:sz="2" w:space="0" w:color="000000"/>
              <w:right w:val="single" w:sz="2" w:space="0" w:color="000000"/>
            </w:tcBorders>
            <w:vAlign w:val="center"/>
          </w:tcPr>
          <w:p w14:paraId="18F90BDC"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r>
      <w:tr w:rsidR="004D4A28" w:rsidRPr="00364545" w14:paraId="0C4B588A" w14:textId="77777777" w:rsidTr="00361368">
        <w:trPr>
          <w:trHeight w:val="344"/>
        </w:trPr>
        <w:tc>
          <w:tcPr>
            <w:tcW w:w="1672" w:type="dxa"/>
            <w:tcBorders>
              <w:top w:val="single" w:sz="2" w:space="0" w:color="000000"/>
              <w:left w:val="single" w:sz="2" w:space="0" w:color="000000"/>
              <w:bottom w:val="single" w:sz="2" w:space="0" w:color="000000"/>
              <w:right w:val="single" w:sz="2" w:space="0" w:color="000000"/>
            </w:tcBorders>
            <w:shd w:val="clear" w:color="auto" w:fill="ECE6E2"/>
          </w:tcPr>
          <w:p w14:paraId="7005B97E" w14:textId="77777777" w:rsidR="004D4A28" w:rsidRPr="00364545" w:rsidRDefault="004D4A28" w:rsidP="00361368">
            <w:pPr>
              <w:spacing w:line="259" w:lineRule="auto"/>
            </w:pPr>
            <w:r>
              <w:rPr>
                <w:sz w:val="18"/>
              </w:rPr>
              <w:t xml:space="preserve">UTCF </w:t>
            </w:r>
          </w:p>
        </w:tc>
        <w:tc>
          <w:tcPr>
            <w:tcW w:w="73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A9FC3A"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3E14CF"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2B13DF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2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A1F9E0"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FBF07A"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7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0454A98"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4B6DA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B98D1D"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6739ED"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25E8E8"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664BB68"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768EA7"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r>
      <w:tr w:rsidR="004D4A28" w:rsidRPr="00364545" w14:paraId="06D4CCCA" w14:textId="77777777" w:rsidTr="00361368">
        <w:trPr>
          <w:trHeight w:val="346"/>
        </w:trPr>
        <w:tc>
          <w:tcPr>
            <w:tcW w:w="1672" w:type="dxa"/>
            <w:tcBorders>
              <w:top w:val="single" w:sz="2" w:space="0" w:color="000000"/>
              <w:left w:val="single" w:sz="2" w:space="0" w:color="000000"/>
              <w:bottom w:val="single" w:sz="2" w:space="0" w:color="000000"/>
              <w:right w:val="single" w:sz="2" w:space="0" w:color="000000"/>
            </w:tcBorders>
          </w:tcPr>
          <w:p w14:paraId="41905EA1" w14:textId="77777777" w:rsidR="004D4A28" w:rsidRPr="00364545" w:rsidRDefault="004D4A28" w:rsidP="00361368">
            <w:pPr>
              <w:spacing w:line="259" w:lineRule="auto"/>
            </w:pPr>
            <w:r>
              <w:rPr>
                <w:sz w:val="18"/>
              </w:rPr>
              <w:t xml:space="preserve">Déchets </w:t>
            </w:r>
          </w:p>
        </w:tc>
        <w:tc>
          <w:tcPr>
            <w:tcW w:w="730" w:type="dxa"/>
            <w:tcBorders>
              <w:top w:val="single" w:sz="2" w:space="0" w:color="000000"/>
              <w:left w:val="single" w:sz="2" w:space="0" w:color="000000"/>
              <w:bottom w:val="single" w:sz="2" w:space="0" w:color="000000"/>
              <w:right w:val="single" w:sz="2" w:space="0" w:color="000000"/>
            </w:tcBorders>
            <w:vAlign w:val="center"/>
          </w:tcPr>
          <w:p w14:paraId="5A8B1EAD"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2624CB09"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6C8DD93B"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29" w:type="dxa"/>
            <w:tcBorders>
              <w:top w:val="single" w:sz="2" w:space="0" w:color="000000"/>
              <w:left w:val="single" w:sz="2" w:space="0" w:color="000000"/>
              <w:bottom w:val="single" w:sz="2" w:space="0" w:color="000000"/>
              <w:right w:val="single" w:sz="2" w:space="0" w:color="000000"/>
            </w:tcBorders>
            <w:vAlign w:val="center"/>
          </w:tcPr>
          <w:p w14:paraId="18D398C8"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0" w:type="dxa"/>
            <w:tcBorders>
              <w:top w:val="single" w:sz="2" w:space="0" w:color="000000"/>
              <w:left w:val="single" w:sz="2" w:space="0" w:color="000000"/>
              <w:bottom w:val="single" w:sz="2" w:space="0" w:color="000000"/>
              <w:right w:val="single" w:sz="2" w:space="0" w:color="000000"/>
            </w:tcBorders>
            <w:vAlign w:val="center"/>
          </w:tcPr>
          <w:p w14:paraId="0898FD50"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77" w:type="dxa"/>
            <w:tcBorders>
              <w:top w:val="single" w:sz="2" w:space="0" w:color="000000"/>
              <w:left w:val="single" w:sz="2" w:space="0" w:color="000000"/>
              <w:bottom w:val="single" w:sz="2" w:space="0" w:color="000000"/>
              <w:right w:val="single" w:sz="2" w:space="0" w:color="000000"/>
            </w:tcBorders>
            <w:vAlign w:val="center"/>
          </w:tcPr>
          <w:p w14:paraId="703A929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27" w:type="dxa"/>
            <w:tcBorders>
              <w:top w:val="single" w:sz="2" w:space="0" w:color="000000"/>
              <w:left w:val="single" w:sz="2" w:space="0" w:color="000000"/>
              <w:bottom w:val="single" w:sz="2" w:space="0" w:color="000000"/>
              <w:right w:val="single" w:sz="2" w:space="0" w:color="000000"/>
            </w:tcBorders>
            <w:vAlign w:val="center"/>
          </w:tcPr>
          <w:p w14:paraId="1215C0D6"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67938477"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214DC850"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400A5AF0"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684F73AA"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09" w:type="dxa"/>
            <w:tcBorders>
              <w:top w:val="single" w:sz="2" w:space="0" w:color="000000"/>
              <w:left w:val="single" w:sz="2" w:space="0" w:color="000000"/>
              <w:bottom w:val="single" w:sz="2" w:space="0" w:color="000000"/>
              <w:right w:val="single" w:sz="2" w:space="0" w:color="000000"/>
            </w:tcBorders>
            <w:vAlign w:val="center"/>
          </w:tcPr>
          <w:p w14:paraId="4B152FBA"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r>
      <w:tr w:rsidR="004D4A28" w:rsidRPr="00364545" w14:paraId="6CE8B142" w14:textId="77777777" w:rsidTr="00361368">
        <w:trPr>
          <w:trHeight w:val="343"/>
        </w:trPr>
        <w:tc>
          <w:tcPr>
            <w:tcW w:w="1672" w:type="dxa"/>
            <w:tcBorders>
              <w:top w:val="single" w:sz="2" w:space="0" w:color="000000"/>
              <w:left w:val="single" w:sz="2" w:space="0" w:color="000000"/>
              <w:bottom w:val="single" w:sz="2" w:space="0" w:color="000000"/>
              <w:right w:val="single" w:sz="2" w:space="0" w:color="000000"/>
            </w:tcBorders>
            <w:shd w:val="clear" w:color="auto" w:fill="ECE6E2"/>
          </w:tcPr>
          <w:p w14:paraId="2CC1092C" w14:textId="77777777" w:rsidR="004D4A28" w:rsidRPr="00364545" w:rsidRDefault="004D4A28" w:rsidP="00361368">
            <w:pPr>
              <w:spacing w:line="259" w:lineRule="auto"/>
            </w:pPr>
            <w:r>
              <w:rPr>
                <w:b/>
                <w:sz w:val="18"/>
              </w:rPr>
              <w:t xml:space="preserve">Ensemble (hors UTCF) </w:t>
            </w:r>
          </w:p>
        </w:tc>
        <w:tc>
          <w:tcPr>
            <w:tcW w:w="73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489A1C6" w14:textId="77777777" w:rsidR="004D4A28" w:rsidRPr="00634E4C" w:rsidRDefault="004D4A28" w:rsidP="00361368">
            <w:pPr>
              <w:spacing w:line="259" w:lineRule="auto"/>
              <w:ind w:left="19"/>
              <w:jc w:val="center"/>
              <w:rPr>
                <w:rFonts w:asciiTheme="majorHAnsi" w:hAnsiTheme="majorHAnsi"/>
                <w:sz w:val="18"/>
              </w:rPr>
            </w:pPr>
            <w:r w:rsidRPr="00634E4C">
              <w:rPr>
                <w:rFonts w:asciiTheme="majorHAnsi" w:hAnsiTheme="majorHAnsi"/>
                <w:sz w:val="18"/>
              </w:rPr>
              <w:t>16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F0FD2AB"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D11A445"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20</w:t>
            </w:r>
          </w:p>
        </w:tc>
        <w:tc>
          <w:tcPr>
            <w:tcW w:w="72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8D79CBE"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31</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2A50F47"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32</w:t>
            </w:r>
          </w:p>
        </w:tc>
        <w:tc>
          <w:tcPr>
            <w:tcW w:w="67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147B9CA"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62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7AF2732"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10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57F651B"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9.4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356A2A2"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DAA1B4A"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1E591B7"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F13FD48"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10.5</w:t>
            </w:r>
          </w:p>
        </w:tc>
      </w:tr>
      <w:tr w:rsidR="004D4A28" w:rsidRPr="00364545" w14:paraId="2C71F46B" w14:textId="77777777" w:rsidTr="00361368">
        <w:trPr>
          <w:trHeight w:val="346"/>
        </w:trPr>
        <w:tc>
          <w:tcPr>
            <w:tcW w:w="1672" w:type="dxa"/>
            <w:tcBorders>
              <w:top w:val="single" w:sz="2" w:space="0" w:color="000000"/>
              <w:left w:val="single" w:sz="2" w:space="0" w:color="000000"/>
              <w:bottom w:val="single" w:sz="2" w:space="0" w:color="000000"/>
              <w:right w:val="single" w:sz="2" w:space="0" w:color="000000"/>
            </w:tcBorders>
          </w:tcPr>
          <w:p w14:paraId="35E525CA" w14:textId="77777777" w:rsidR="004D4A28" w:rsidRPr="00364545" w:rsidRDefault="004D4A28" w:rsidP="00361368">
            <w:pPr>
              <w:spacing w:line="259" w:lineRule="auto"/>
            </w:pPr>
            <w:r>
              <w:rPr>
                <w:b/>
                <w:sz w:val="18"/>
              </w:rPr>
              <w:t xml:space="preserve">Ensemble (avec UTCF) </w:t>
            </w:r>
          </w:p>
        </w:tc>
        <w:tc>
          <w:tcPr>
            <w:tcW w:w="730" w:type="dxa"/>
            <w:tcBorders>
              <w:top w:val="single" w:sz="2" w:space="0" w:color="000000"/>
              <w:left w:val="single" w:sz="2" w:space="0" w:color="000000"/>
              <w:bottom w:val="single" w:sz="2" w:space="0" w:color="000000"/>
              <w:right w:val="single" w:sz="2" w:space="0" w:color="000000"/>
            </w:tcBorders>
            <w:vAlign w:val="bottom"/>
          </w:tcPr>
          <w:p w14:paraId="32E7971E" w14:textId="77777777" w:rsidR="004D4A28" w:rsidRPr="00634E4C" w:rsidRDefault="004D4A28" w:rsidP="00361368">
            <w:pPr>
              <w:spacing w:line="259" w:lineRule="auto"/>
              <w:ind w:left="19"/>
              <w:jc w:val="center"/>
              <w:rPr>
                <w:rFonts w:asciiTheme="majorHAnsi" w:hAnsiTheme="majorHAnsi"/>
                <w:sz w:val="18"/>
              </w:rPr>
            </w:pPr>
            <w:r w:rsidRPr="00634E4C">
              <w:rPr>
                <w:rFonts w:asciiTheme="majorHAnsi" w:hAnsiTheme="majorHAnsi"/>
                <w:sz w:val="18"/>
              </w:rPr>
              <w:t>16</w:t>
            </w:r>
          </w:p>
        </w:tc>
        <w:tc>
          <w:tcPr>
            <w:tcW w:w="731" w:type="dxa"/>
            <w:tcBorders>
              <w:top w:val="single" w:sz="2" w:space="0" w:color="000000"/>
              <w:left w:val="single" w:sz="2" w:space="0" w:color="000000"/>
              <w:bottom w:val="single" w:sz="2" w:space="0" w:color="000000"/>
              <w:right w:val="single" w:sz="2" w:space="0" w:color="000000"/>
            </w:tcBorders>
            <w:vAlign w:val="bottom"/>
          </w:tcPr>
          <w:p w14:paraId="799D207A"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731" w:type="dxa"/>
            <w:tcBorders>
              <w:top w:val="single" w:sz="2" w:space="0" w:color="000000"/>
              <w:left w:val="single" w:sz="2" w:space="0" w:color="000000"/>
              <w:bottom w:val="single" w:sz="2" w:space="0" w:color="000000"/>
              <w:right w:val="single" w:sz="2" w:space="0" w:color="000000"/>
            </w:tcBorders>
            <w:vAlign w:val="bottom"/>
          </w:tcPr>
          <w:p w14:paraId="1BF3EC92" w14:textId="77777777" w:rsidR="004D4A28" w:rsidRPr="00634E4C" w:rsidRDefault="004D4A28" w:rsidP="00361368">
            <w:pPr>
              <w:spacing w:line="259" w:lineRule="auto"/>
              <w:ind w:left="19"/>
              <w:jc w:val="center"/>
              <w:rPr>
                <w:rFonts w:asciiTheme="majorHAnsi" w:hAnsiTheme="majorHAnsi"/>
                <w:b/>
                <w:color w:val="000000"/>
                <w:sz w:val="18"/>
              </w:rPr>
            </w:pPr>
            <w:r w:rsidRPr="005D0955">
              <w:rPr>
                <w:rFonts w:asciiTheme="majorHAnsi" w:hAnsiTheme="majorHAnsi"/>
                <w:sz w:val="18"/>
                <w:szCs w:val="18"/>
              </w:rPr>
              <w:t>20</w:t>
            </w:r>
          </w:p>
        </w:tc>
        <w:tc>
          <w:tcPr>
            <w:tcW w:w="729" w:type="dxa"/>
            <w:tcBorders>
              <w:top w:val="single" w:sz="2" w:space="0" w:color="000000"/>
              <w:left w:val="single" w:sz="2" w:space="0" w:color="000000"/>
              <w:bottom w:val="single" w:sz="2" w:space="0" w:color="000000"/>
              <w:right w:val="single" w:sz="2" w:space="0" w:color="000000"/>
            </w:tcBorders>
            <w:vAlign w:val="bottom"/>
          </w:tcPr>
          <w:p w14:paraId="77C7677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31</w:t>
            </w:r>
          </w:p>
        </w:tc>
        <w:tc>
          <w:tcPr>
            <w:tcW w:w="680" w:type="dxa"/>
            <w:tcBorders>
              <w:top w:val="single" w:sz="2" w:space="0" w:color="000000"/>
              <w:left w:val="single" w:sz="2" w:space="0" w:color="000000"/>
              <w:bottom w:val="single" w:sz="2" w:space="0" w:color="000000"/>
              <w:right w:val="single" w:sz="2" w:space="0" w:color="000000"/>
            </w:tcBorders>
            <w:vAlign w:val="bottom"/>
          </w:tcPr>
          <w:p w14:paraId="37D8420D"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32</w:t>
            </w:r>
          </w:p>
        </w:tc>
        <w:tc>
          <w:tcPr>
            <w:tcW w:w="677" w:type="dxa"/>
            <w:tcBorders>
              <w:top w:val="single" w:sz="2" w:space="0" w:color="000000"/>
              <w:left w:val="single" w:sz="2" w:space="0" w:color="000000"/>
              <w:bottom w:val="single" w:sz="2" w:space="0" w:color="000000"/>
              <w:right w:val="single" w:sz="2" w:space="0" w:color="000000"/>
            </w:tcBorders>
            <w:vAlign w:val="bottom"/>
          </w:tcPr>
          <w:p w14:paraId="7E6ACB0E"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627" w:type="dxa"/>
            <w:tcBorders>
              <w:top w:val="single" w:sz="2" w:space="0" w:color="000000"/>
              <w:left w:val="single" w:sz="2" w:space="0" w:color="000000"/>
              <w:bottom w:val="single" w:sz="2" w:space="0" w:color="000000"/>
              <w:right w:val="single" w:sz="2" w:space="0" w:color="000000"/>
            </w:tcBorders>
            <w:vAlign w:val="bottom"/>
          </w:tcPr>
          <w:p w14:paraId="61FCCC39"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sz w:val="18"/>
              </w:rPr>
              <w:t>10</w:t>
            </w:r>
          </w:p>
        </w:tc>
        <w:tc>
          <w:tcPr>
            <w:tcW w:w="688" w:type="dxa"/>
            <w:tcBorders>
              <w:top w:val="single" w:sz="2" w:space="0" w:color="000000"/>
              <w:left w:val="single" w:sz="2" w:space="0" w:color="000000"/>
              <w:bottom w:val="single" w:sz="2" w:space="0" w:color="000000"/>
              <w:right w:val="single" w:sz="2" w:space="0" w:color="000000"/>
            </w:tcBorders>
            <w:vAlign w:val="bottom"/>
          </w:tcPr>
          <w:p w14:paraId="3A339587"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9.4</w:t>
            </w:r>
          </w:p>
        </w:tc>
        <w:tc>
          <w:tcPr>
            <w:tcW w:w="686" w:type="dxa"/>
            <w:tcBorders>
              <w:top w:val="single" w:sz="2" w:space="0" w:color="000000"/>
              <w:left w:val="single" w:sz="2" w:space="0" w:color="000000"/>
              <w:bottom w:val="single" w:sz="2" w:space="0" w:color="000000"/>
              <w:right w:val="single" w:sz="2" w:space="0" w:color="000000"/>
            </w:tcBorders>
            <w:vAlign w:val="bottom"/>
          </w:tcPr>
          <w:p w14:paraId="67FC285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8" w:type="dxa"/>
            <w:tcBorders>
              <w:top w:val="single" w:sz="2" w:space="0" w:color="000000"/>
              <w:left w:val="single" w:sz="2" w:space="0" w:color="000000"/>
              <w:bottom w:val="single" w:sz="2" w:space="0" w:color="000000"/>
              <w:right w:val="single" w:sz="2" w:space="0" w:color="000000"/>
            </w:tcBorders>
            <w:vAlign w:val="bottom"/>
          </w:tcPr>
          <w:p w14:paraId="4FA3A82E"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6" w:type="dxa"/>
            <w:tcBorders>
              <w:top w:val="single" w:sz="2" w:space="0" w:color="000000"/>
              <w:left w:val="single" w:sz="2" w:space="0" w:color="000000"/>
              <w:bottom w:val="single" w:sz="2" w:space="0" w:color="000000"/>
              <w:right w:val="single" w:sz="2" w:space="0" w:color="000000"/>
            </w:tcBorders>
            <w:vAlign w:val="bottom"/>
          </w:tcPr>
          <w:p w14:paraId="5477D71C"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09" w:type="dxa"/>
            <w:tcBorders>
              <w:top w:val="single" w:sz="2" w:space="0" w:color="000000"/>
              <w:left w:val="single" w:sz="2" w:space="0" w:color="000000"/>
              <w:bottom w:val="single" w:sz="2" w:space="0" w:color="000000"/>
              <w:right w:val="single" w:sz="2" w:space="0" w:color="000000"/>
            </w:tcBorders>
            <w:vAlign w:val="bottom"/>
          </w:tcPr>
          <w:p w14:paraId="14842451" w14:textId="77777777" w:rsidR="004D4A28" w:rsidRPr="00634E4C" w:rsidRDefault="004D4A28" w:rsidP="003613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10.5</w:t>
            </w:r>
          </w:p>
        </w:tc>
      </w:tr>
    </w:tbl>
    <w:p w14:paraId="2ABA812B" w14:textId="77777777" w:rsidR="004D4A28" w:rsidRDefault="004D4A28" w:rsidP="004D4A28">
      <w:pPr>
        <w:rPr>
          <w:sz w:val="18"/>
          <w:szCs w:val="18"/>
        </w:rPr>
      </w:pPr>
    </w:p>
    <w:p w14:paraId="4FFA0F5C" w14:textId="77777777" w:rsidR="004D4A28" w:rsidRDefault="004D4A28" w:rsidP="004D4A28">
      <w:pPr>
        <w:pStyle w:val="Caption"/>
      </w:pPr>
      <w:bookmarkStart w:id="166" w:name="_Toc123916517"/>
      <w:r>
        <w:t xml:space="preserve">Tableau </w:t>
      </w:r>
      <w:r w:rsidR="00757301">
        <w:fldChar w:fldCharType="begin"/>
      </w:r>
      <w:r w:rsidR="00757301">
        <w:instrText xml:space="preserve"> SEQ Tableau \* ARABIC </w:instrText>
      </w:r>
      <w:r w:rsidR="00757301">
        <w:fldChar w:fldCharType="separate"/>
      </w:r>
      <w:r>
        <w:rPr>
          <w:noProof/>
        </w:rPr>
        <w:t>25</w:t>
      </w:r>
      <w:r w:rsidR="00757301">
        <w:rPr>
          <w:noProof/>
        </w:rPr>
        <w:fldChar w:fldCharType="end"/>
      </w:r>
      <w:r>
        <w:t xml:space="preserve"> : </w:t>
      </w:r>
      <w:r w:rsidRPr="00160820">
        <w:t xml:space="preserve">Projections d’émissions de </w:t>
      </w:r>
      <w:r>
        <w:t>NF</w:t>
      </w:r>
      <w:r w:rsidRPr="007F09F7">
        <w:rPr>
          <w:vertAlign w:val="subscript"/>
        </w:rPr>
        <w:t>3</w:t>
      </w:r>
      <w:r w:rsidRPr="00160820">
        <w:t xml:space="preserve"> (en </w:t>
      </w:r>
      <w:r w:rsidRPr="00590551">
        <w:t>kt</w:t>
      </w:r>
      <w:r>
        <w:t>CO</w:t>
      </w:r>
      <w:r w:rsidRPr="007F09F7">
        <w:rPr>
          <w:vertAlign w:val="subscript"/>
        </w:rPr>
        <w:t>2</w:t>
      </w:r>
      <w:r w:rsidRPr="005C3C6E">
        <w:rPr>
          <w:vertAlign w:val="subscript"/>
        </w:rPr>
        <w:t>e</w:t>
      </w:r>
      <w:r w:rsidRPr="005C3C6E">
        <w:t xml:space="preserve">) au périmètre Kyoto dans le scénario AME </w:t>
      </w:r>
      <w:r>
        <w:t xml:space="preserve">2021 </w:t>
      </w:r>
      <w:r w:rsidRPr="005C3C6E">
        <w:t>(avec mesures existantes)</w:t>
      </w:r>
      <w:bookmarkEnd w:id="166"/>
    </w:p>
    <w:p w14:paraId="472C13DD" w14:textId="77777777" w:rsidR="004D4A28" w:rsidRDefault="004D4A28" w:rsidP="004D4A28">
      <w:pPr>
        <w:pStyle w:val="Caption"/>
      </w:pPr>
      <w:r w:rsidRPr="006E15FD">
        <w:t>Source : Inventaire CCNUCC, Citepa/MTE, soumission 20</w:t>
      </w:r>
      <w:r>
        <w:t>22</w:t>
      </w:r>
      <w:r w:rsidRPr="006E15FD">
        <w:t xml:space="preserve"> et projections d’émissions MTE, 20</w:t>
      </w:r>
      <w:r>
        <w:t>21</w:t>
      </w:r>
    </w:p>
    <w:p w14:paraId="0102DE27" w14:textId="77777777" w:rsidR="004D4A28" w:rsidRDefault="004D4A28" w:rsidP="004D4A28"/>
    <w:p w14:paraId="661141FA" w14:textId="77777777" w:rsidR="004D4A28" w:rsidRDefault="004D4A28" w:rsidP="004D4A28">
      <w:pPr>
        <w:rPr>
          <w:b/>
        </w:rPr>
      </w:pPr>
      <w:r>
        <w:rPr>
          <w:b/>
        </w:rPr>
        <w:t>AMS 2018</w:t>
      </w:r>
    </w:p>
    <w:p w14:paraId="3F1CFC6C" w14:textId="77777777" w:rsidR="004D4A28" w:rsidRPr="00364545" w:rsidRDefault="004D4A28" w:rsidP="004D4A28"/>
    <w:tbl>
      <w:tblPr>
        <w:tblStyle w:val="TableGrid0"/>
        <w:tblW w:w="9934" w:type="dxa"/>
        <w:tblInd w:w="10" w:type="dxa"/>
        <w:tblCellMar>
          <w:top w:w="39" w:type="dxa"/>
          <w:left w:w="28" w:type="dxa"/>
          <w:bottom w:w="2" w:type="dxa"/>
          <w:right w:w="31" w:type="dxa"/>
        </w:tblCellMar>
        <w:tblLook w:val="04A0" w:firstRow="1" w:lastRow="0" w:firstColumn="1" w:lastColumn="0" w:noHBand="0" w:noVBand="1"/>
      </w:tblPr>
      <w:tblGrid>
        <w:gridCol w:w="1088"/>
        <w:gridCol w:w="743"/>
        <w:gridCol w:w="731"/>
        <w:gridCol w:w="743"/>
        <w:gridCol w:w="735"/>
        <w:gridCol w:w="743"/>
        <w:gridCol w:w="743"/>
        <w:gridCol w:w="721"/>
        <w:gridCol w:w="764"/>
        <w:gridCol w:w="764"/>
        <w:gridCol w:w="764"/>
        <w:gridCol w:w="743"/>
        <w:gridCol w:w="652"/>
      </w:tblGrid>
      <w:tr w:rsidR="004D4A28" w:rsidRPr="00364545" w14:paraId="3FEF9116" w14:textId="77777777" w:rsidTr="00361368">
        <w:trPr>
          <w:trHeight w:val="400"/>
        </w:trPr>
        <w:tc>
          <w:tcPr>
            <w:tcW w:w="1088" w:type="dxa"/>
            <w:tcBorders>
              <w:top w:val="single" w:sz="2" w:space="0" w:color="000000"/>
              <w:left w:val="single" w:sz="2" w:space="0" w:color="000000"/>
              <w:bottom w:val="single" w:sz="2" w:space="0" w:color="000000"/>
              <w:right w:val="single" w:sz="2" w:space="0" w:color="000000"/>
            </w:tcBorders>
            <w:shd w:val="clear" w:color="auto" w:fill="6D2A78"/>
          </w:tcPr>
          <w:p w14:paraId="560C900D" w14:textId="77777777" w:rsidR="004D4A28" w:rsidRPr="00364545" w:rsidRDefault="004D4A28" w:rsidP="00361368">
            <w:pPr>
              <w:spacing w:line="259" w:lineRule="auto"/>
              <w:jc w:val="left"/>
            </w:pPr>
            <w:r w:rsidRPr="00364545">
              <w:t>AMS 18 – CO</w:t>
            </w:r>
            <w:r w:rsidRPr="00364545">
              <w:rPr>
                <w:vertAlign w:val="subscript"/>
              </w:rPr>
              <w:t>2</w:t>
            </w:r>
          </w:p>
        </w:tc>
        <w:tc>
          <w:tcPr>
            <w:tcW w:w="74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AFF343D" w14:textId="77777777" w:rsidR="004D4A28" w:rsidRPr="00364545" w:rsidRDefault="004D4A28" w:rsidP="00361368">
            <w:pPr>
              <w:spacing w:line="259" w:lineRule="auto"/>
              <w:ind w:left="1"/>
              <w:jc w:val="center"/>
            </w:pPr>
            <w:r w:rsidRPr="00364545">
              <w:rPr>
                <w:b/>
                <w:color w:val="FFFFFF"/>
                <w:sz w:val="18"/>
              </w:rPr>
              <w:t>1990</w:t>
            </w:r>
          </w:p>
        </w:tc>
        <w:tc>
          <w:tcPr>
            <w:tcW w:w="73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B83E91D" w14:textId="77777777" w:rsidR="004D4A28" w:rsidRPr="00364545" w:rsidRDefault="004D4A28" w:rsidP="00361368">
            <w:pPr>
              <w:spacing w:line="259" w:lineRule="auto"/>
              <w:ind w:left="4"/>
              <w:jc w:val="center"/>
              <w:rPr>
                <w:b/>
                <w:color w:val="FFFFFF"/>
                <w:sz w:val="18"/>
              </w:rPr>
            </w:pPr>
            <w:r w:rsidRPr="00364545">
              <w:rPr>
                <w:b/>
                <w:color w:val="FFFFFF"/>
                <w:sz w:val="18"/>
              </w:rPr>
              <w:t>1995</w:t>
            </w:r>
          </w:p>
        </w:tc>
        <w:tc>
          <w:tcPr>
            <w:tcW w:w="74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E92FF63" w14:textId="77777777" w:rsidR="004D4A28" w:rsidRPr="00364545" w:rsidRDefault="004D4A28" w:rsidP="00361368">
            <w:pPr>
              <w:spacing w:line="259" w:lineRule="auto"/>
              <w:ind w:left="4"/>
              <w:jc w:val="center"/>
            </w:pPr>
            <w:r w:rsidRPr="00364545">
              <w:rPr>
                <w:b/>
                <w:color w:val="FFFFFF"/>
                <w:sz w:val="18"/>
              </w:rPr>
              <w:t>2000</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85C4A90" w14:textId="77777777" w:rsidR="004D4A28" w:rsidRPr="00364545" w:rsidRDefault="004D4A28" w:rsidP="00361368">
            <w:pPr>
              <w:spacing w:line="259" w:lineRule="auto"/>
              <w:ind w:left="1"/>
              <w:jc w:val="center"/>
            </w:pPr>
            <w:r w:rsidRPr="00364545">
              <w:rPr>
                <w:b/>
                <w:color w:val="FFFFFF"/>
                <w:sz w:val="18"/>
              </w:rPr>
              <w:t>2005</w:t>
            </w:r>
          </w:p>
        </w:tc>
        <w:tc>
          <w:tcPr>
            <w:tcW w:w="74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7A548BB" w14:textId="77777777" w:rsidR="004D4A28" w:rsidRPr="00364545" w:rsidRDefault="004D4A28" w:rsidP="00361368">
            <w:pPr>
              <w:spacing w:line="259" w:lineRule="auto"/>
              <w:ind w:left="4"/>
              <w:jc w:val="center"/>
            </w:pPr>
            <w:r w:rsidRPr="00364545">
              <w:rPr>
                <w:b/>
                <w:color w:val="FFFFFF"/>
                <w:sz w:val="18"/>
              </w:rPr>
              <w:t>2010</w:t>
            </w:r>
          </w:p>
        </w:tc>
        <w:tc>
          <w:tcPr>
            <w:tcW w:w="74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AE426A5" w14:textId="77777777" w:rsidR="004D4A28" w:rsidRPr="00364545" w:rsidRDefault="004D4A28" w:rsidP="00361368">
            <w:pPr>
              <w:spacing w:line="259" w:lineRule="auto"/>
              <w:ind w:left="1"/>
              <w:jc w:val="center"/>
            </w:pPr>
            <w:r w:rsidRPr="00364545">
              <w:rPr>
                <w:b/>
                <w:color w:val="FFFFFF"/>
                <w:sz w:val="18"/>
              </w:rPr>
              <w:t>2015</w:t>
            </w:r>
          </w:p>
        </w:tc>
        <w:tc>
          <w:tcPr>
            <w:tcW w:w="72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DAB5365" w14:textId="77777777" w:rsidR="004D4A28" w:rsidRPr="00364545" w:rsidRDefault="004D4A28" w:rsidP="00361368">
            <w:pPr>
              <w:spacing w:line="259" w:lineRule="auto"/>
              <w:ind w:left="4"/>
              <w:jc w:val="center"/>
              <w:rPr>
                <w:b/>
                <w:color w:val="FFFFFF"/>
                <w:sz w:val="18"/>
              </w:rPr>
            </w:pPr>
            <w:r>
              <w:rPr>
                <w:b/>
                <w:color w:val="FFFFFF"/>
                <w:sz w:val="18"/>
              </w:rPr>
              <w:t>2019</w:t>
            </w:r>
          </w:p>
        </w:tc>
        <w:tc>
          <w:tcPr>
            <w:tcW w:w="76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0AB2028" w14:textId="77777777" w:rsidR="004D4A28" w:rsidRPr="00364545" w:rsidRDefault="004D4A28" w:rsidP="00361368">
            <w:pPr>
              <w:spacing w:line="259" w:lineRule="auto"/>
              <w:ind w:left="4"/>
              <w:jc w:val="center"/>
            </w:pPr>
            <w:r w:rsidRPr="00364545">
              <w:rPr>
                <w:b/>
                <w:color w:val="FFFFFF"/>
                <w:sz w:val="18"/>
              </w:rPr>
              <w:t>2020</w:t>
            </w:r>
          </w:p>
        </w:tc>
        <w:tc>
          <w:tcPr>
            <w:tcW w:w="76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FFD8FE5" w14:textId="77777777" w:rsidR="004D4A28" w:rsidRPr="00364545" w:rsidRDefault="004D4A28" w:rsidP="00361368">
            <w:pPr>
              <w:spacing w:line="259" w:lineRule="auto"/>
              <w:ind w:left="1"/>
              <w:jc w:val="center"/>
            </w:pPr>
            <w:r w:rsidRPr="00364545">
              <w:rPr>
                <w:b/>
                <w:color w:val="FFFFFF"/>
                <w:sz w:val="18"/>
              </w:rPr>
              <w:t>2025</w:t>
            </w:r>
          </w:p>
        </w:tc>
        <w:tc>
          <w:tcPr>
            <w:tcW w:w="76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D863DA6" w14:textId="77777777" w:rsidR="004D4A28" w:rsidRPr="00364545" w:rsidRDefault="004D4A28" w:rsidP="00361368">
            <w:pPr>
              <w:spacing w:line="259" w:lineRule="auto"/>
              <w:ind w:left="4"/>
              <w:jc w:val="center"/>
            </w:pPr>
            <w:r w:rsidRPr="00364545">
              <w:rPr>
                <w:b/>
                <w:color w:val="FFFFFF"/>
                <w:sz w:val="18"/>
              </w:rPr>
              <w:t>2030</w:t>
            </w:r>
          </w:p>
        </w:tc>
        <w:tc>
          <w:tcPr>
            <w:tcW w:w="74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1F7F414" w14:textId="77777777" w:rsidR="004D4A28" w:rsidRPr="00364545" w:rsidRDefault="004D4A28" w:rsidP="00361368">
            <w:pPr>
              <w:spacing w:line="259" w:lineRule="auto"/>
              <w:ind w:left="3"/>
              <w:jc w:val="center"/>
            </w:pPr>
            <w:r w:rsidRPr="00364545">
              <w:rPr>
                <w:b/>
                <w:color w:val="FFFFFF"/>
                <w:sz w:val="18"/>
              </w:rPr>
              <w:t>2035</w:t>
            </w:r>
          </w:p>
        </w:tc>
        <w:tc>
          <w:tcPr>
            <w:tcW w:w="652"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05B76F6" w14:textId="77777777" w:rsidR="004D4A28" w:rsidRPr="00364545" w:rsidRDefault="004D4A28" w:rsidP="00361368">
            <w:pPr>
              <w:spacing w:line="259" w:lineRule="auto"/>
              <w:ind w:left="3"/>
              <w:jc w:val="center"/>
              <w:rPr>
                <w:b/>
                <w:color w:val="FFFFFF"/>
                <w:sz w:val="18"/>
              </w:rPr>
            </w:pPr>
            <w:r w:rsidRPr="00364545">
              <w:rPr>
                <w:b/>
                <w:color w:val="FFFFFF"/>
                <w:sz w:val="18"/>
              </w:rPr>
              <w:t>2050</w:t>
            </w:r>
          </w:p>
        </w:tc>
      </w:tr>
      <w:tr w:rsidR="004D4A28" w:rsidRPr="00364545" w14:paraId="292F6CF1" w14:textId="77777777" w:rsidTr="00361368">
        <w:trPr>
          <w:trHeight w:val="347"/>
        </w:trPr>
        <w:tc>
          <w:tcPr>
            <w:tcW w:w="1088" w:type="dxa"/>
            <w:tcBorders>
              <w:top w:val="single" w:sz="2" w:space="0" w:color="000000"/>
              <w:left w:val="single" w:sz="2" w:space="0" w:color="000000"/>
              <w:bottom w:val="single" w:sz="2" w:space="0" w:color="000000"/>
              <w:right w:val="single" w:sz="2" w:space="0" w:color="000000"/>
            </w:tcBorders>
          </w:tcPr>
          <w:p w14:paraId="649DCB09" w14:textId="77777777" w:rsidR="004D4A28" w:rsidRPr="00364545" w:rsidRDefault="004D4A28" w:rsidP="00361368">
            <w:pPr>
              <w:spacing w:line="259" w:lineRule="auto"/>
            </w:pPr>
            <w:r>
              <w:rPr>
                <w:sz w:val="18"/>
              </w:rPr>
              <w:t xml:space="preserve">Energie </w:t>
            </w:r>
          </w:p>
        </w:tc>
        <w:tc>
          <w:tcPr>
            <w:tcW w:w="743" w:type="dxa"/>
            <w:tcBorders>
              <w:top w:val="single" w:sz="2" w:space="0" w:color="000000"/>
              <w:left w:val="single" w:sz="2" w:space="0" w:color="000000"/>
              <w:bottom w:val="single" w:sz="2" w:space="0" w:color="000000"/>
              <w:right w:val="single" w:sz="2" w:space="0" w:color="000000"/>
            </w:tcBorders>
            <w:vAlign w:val="center"/>
          </w:tcPr>
          <w:p w14:paraId="14831481" w14:textId="77777777" w:rsidR="004D4A28" w:rsidRPr="00364545" w:rsidRDefault="004D4A28" w:rsidP="00361368">
            <w:pPr>
              <w:spacing w:line="259" w:lineRule="auto"/>
              <w:ind w:left="14"/>
              <w:jc w:val="center"/>
              <w:rPr>
                <w:sz w:val="18"/>
              </w:rPr>
            </w:pPr>
            <w:r>
              <w:rPr>
                <w:sz w:val="18"/>
                <w:szCs w:val="18"/>
              </w:rPr>
              <w:t>351435</w:t>
            </w:r>
          </w:p>
        </w:tc>
        <w:tc>
          <w:tcPr>
            <w:tcW w:w="731" w:type="dxa"/>
            <w:tcBorders>
              <w:top w:val="single" w:sz="2" w:space="0" w:color="000000"/>
              <w:left w:val="single" w:sz="2" w:space="0" w:color="000000"/>
              <w:bottom w:val="single" w:sz="2" w:space="0" w:color="000000"/>
              <w:right w:val="single" w:sz="2" w:space="0" w:color="000000"/>
            </w:tcBorders>
            <w:vAlign w:val="center"/>
          </w:tcPr>
          <w:p w14:paraId="03B6527D" w14:textId="77777777" w:rsidR="004D4A28" w:rsidRPr="00364545" w:rsidRDefault="004D4A28" w:rsidP="00361368">
            <w:pPr>
              <w:spacing w:line="259" w:lineRule="auto"/>
              <w:ind w:left="14"/>
              <w:jc w:val="center"/>
              <w:rPr>
                <w:sz w:val="18"/>
              </w:rPr>
            </w:pPr>
            <w:r>
              <w:rPr>
                <w:sz w:val="18"/>
                <w:szCs w:val="18"/>
              </w:rPr>
              <w:t>350115</w:t>
            </w:r>
          </w:p>
        </w:tc>
        <w:tc>
          <w:tcPr>
            <w:tcW w:w="743" w:type="dxa"/>
            <w:tcBorders>
              <w:top w:val="single" w:sz="2" w:space="0" w:color="000000"/>
              <w:left w:val="single" w:sz="2" w:space="0" w:color="000000"/>
              <w:bottom w:val="single" w:sz="2" w:space="0" w:color="000000"/>
              <w:right w:val="single" w:sz="2" w:space="0" w:color="000000"/>
            </w:tcBorders>
            <w:vAlign w:val="center"/>
          </w:tcPr>
          <w:p w14:paraId="04872CAD" w14:textId="77777777" w:rsidR="004D4A28" w:rsidRPr="00364545" w:rsidRDefault="004D4A28" w:rsidP="00361368">
            <w:pPr>
              <w:spacing w:line="259" w:lineRule="auto"/>
              <w:ind w:left="14"/>
              <w:jc w:val="center"/>
              <w:rPr>
                <w:sz w:val="18"/>
              </w:rPr>
            </w:pPr>
            <w:r>
              <w:rPr>
                <w:sz w:val="18"/>
                <w:szCs w:val="18"/>
              </w:rPr>
              <w:t>370522</w:t>
            </w:r>
          </w:p>
        </w:tc>
        <w:tc>
          <w:tcPr>
            <w:tcW w:w="735" w:type="dxa"/>
            <w:tcBorders>
              <w:top w:val="single" w:sz="2" w:space="0" w:color="000000"/>
              <w:left w:val="single" w:sz="2" w:space="0" w:color="000000"/>
              <w:bottom w:val="single" w:sz="2" w:space="0" w:color="000000"/>
              <w:right w:val="single" w:sz="2" w:space="0" w:color="000000"/>
            </w:tcBorders>
            <w:vAlign w:val="center"/>
          </w:tcPr>
          <w:p w14:paraId="50C9A337" w14:textId="77777777" w:rsidR="004D4A28" w:rsidRPr="00364545" w:rsidRDefault="004D4A28" w:rsidP="00361368">
            <w:pPr>
              <w:spacing w:line="259" w:lineRule="auto"/>
              <w:ind w:left="14"/>
              <w:jc w:val="center"/>
              <w:rPr>
                <w:sz w:val="18"/>
              </w:rPr>
            </w:pPr>
            <w:r>
              <w:rPr>
                <w:sz w:val="18"/>
                <w:szCs w:val="18"/>
              </w:rPr>
              <w:t>381286</w:t>
            </w:r>
          </w:p>
        </w:tc>
        <w:tc>
          <w:tcPr>
            <w:tcW w:w="743" w:type="dxa"/>
            <w:tcBorders>
              <w:top w:val="single" w:sz="2" w:space="0" w:color="000000"/>
              <w:left w:val="single" w:sz="2" w:space="0" w:color="000000"/>
              <w:bottom w:val="single" w:sz="2" w:space="0" w:color="000000"/>
              <w:right w:val="single" w:sz="2" w:space="0" w:color="000000"/>
            </w:tcBorders>
            <w:vAlign w:val="center"/>
          </w:tcPr>
          <w:p w14:paraId="628761ED" w14:textId="77777777" w:rsidR="004D4A28" w:rsidRPr="00364545" w:rsidRDefault="004D4A28" w:rsidP="00361368">
            <w:pPr>
              <w:spacing w:line="259" w:lineRule="auto"/>
              <w:ind w:left="14"/>
              <w:jc w:val="center"/>
              <w:rPr>
                <w:sz w:val="18"/>
              </w:rPr>
            </w:pPr>
            <w:r>
              <w:rPr>
                <w:sz w:val="18"/>
                <w:szCs w:val="18"/>
              </w:rPr>
              <w:t>350369</w:t>
            </w:r>
          </w:p>
        </w:tc>
        <w:tc>
          <w:tcPr>
            <w:tcW w:w="743" w:type="dxa"/>
            <w:tcBorders>
              <w:top w:val="single" w:sz="2" w:space="0" w:color="000000"/>
              <w:left w:val="single" w:sz="2" w:space="0" w:color="000000"/>
              <w:bottom w:val="single" w:sz="2" w:space="0" w:color="000000"/>
              <w:right w:val="single" w:sz="2" w:space="0" w:color="000000"/>
            </w:tcBorders>
            <w:vAlign w:val="center"/>
          </w:tcPr>
          <w:p w14:paraId="7EC49EFB" w14:textId="77777777" w:rsidR="004D4A28" w:rsidRPr="00364545" w:rsidRDefault="004D4A28" w:rsidP="00361368">
            <w:pPr>
              <w:spacing w:line="259" w:lineRule="auto"/>
              <w:ind w:left="14"/>
              <w:jc w:val="center"/>
              <w:rPr>
                <w:sz w:val="18"/>
              </w:rPr>
            </w:pPr>
            <w:r>
              <w:rPr>
                <w:sz w:val="18"/>
                <w:szCs w:val="18"/>
              </w:rPr>
              <w:t>307160</w:t>
            </w:r>
          </w:p>
        </w:tc>
        <w:tc>
          <w:tcPr>
            <w:tcW w:w="721" w:type="dxa"/>
            <w:tcBorders>
              <w:top w:val="single" w:sz="2" w:space="0" w:color="000000"/>
              <w:left w:val="single" w:sz="2" w:space="0" w:color="000000"/>
              <w:bottom w:val="single" w:sz="2" w:space="0" w:color="000000"/>
              <w:right w:val="single" w:sz="2" w:space="0" w:color="000000"/>
            </w:tcBorders>
            <w:vAlign w:val="center"/>
          </w:tcPr>
          <w:p w14:paraId="5813F3E0" w14:textId="77777777" w:rsidR="004D4A28" w:rsidRPr="00364545" w:rsidRDefault="004D4A28" w:rsidP="00361368">
            <w:pPr>
              <w:spacing w:line="259" w:lineRule="auto"/>
              <w:ind w:left="14"/>
              <w:jc w:val="center"/>
              <w:rPr>
                <w:sz w:val="18"/>
              </w:rPr>
            </w:pPr>
            <w:r>
              <w:rPr>
                <w:sz w:val="18"/>
                <w:szCs w:val="18"/>
              </w:rPr>
              <w:t>291379</w:t>
            </w:r>
          </w:p>
        </w:tc>
        <w:tc>
          <w:tcPr>
            <w:tcW w:w="764" w:type="dxa"/>
            <w:tcBorders>
              <w:top w:val="single" w:sz="2" w:space="0" w:color="000000"/>
              <w:left w:val="single" w:sz="2" w:space="0" w:color="000000"/>
              <w:bottom w:val="single" w:sz="2" w:space="0" w:color="000000"/>
              <w:right w:val="single" w:sz="2" w:space="0" w:color="000000"/>
            </w:tcBorders>
            <w:vAlign w:val="center"/>
          </w:tcPr>
          <w:p w14:paraId="107FB969" w14:textId="77777777" w:rsidR="004D4A28" w:rsidRPr="00364545" w:rsidRDefault="004D4A28" w:rsidP="00361368">
            <w:pPr>
              <w:spacing w:line="259" w:lineRule="auto"/>
              <w:ind w:left="14"/>
              <w:jc w:val="center"/>
              <w:rPr>
                <w:sz w:val="18"/>
              </w:rPr>
            </w:pPr>
            <w:r w:rsidRPr="00364545">
              <w:rPr>
                <w:sz w:val="18"/>
              </w:rPr>
              <w:t>297</w:t>
            </w:r>
            <w:r w:rsidRPr="00364545">
              <w:rPr>
                <w:rFonts w:ascii="Calibri" w:hAnsi="Calibri"/>
                <w:sz w:val="18"/>
              </w:rPr>
              <w:t> </w:t>
            </w:r>
            <w:r w:rsidRPr="00364545">
              <w:rPr>
                <w:sz w:val="18"/>
              </w:rPr>
              <w:t>837</w:t>
            </w:r>
          </w:p>
        </w:tc>
        <w:tc>
          <w:tcPr>
            <w:tcW w:w="764" w:type="dxa"/>
            <w:tcBorders>
              <w:top w:val="single" w:sz="2" w:space="0" w:color="000000"/>
              <w:left w:val="single" w:sz="2" w:space="0" w:color="000000"/>
              <w:bottom w:val="single" w:sz="2" w:space="0" w:color="000000"/>
              <w:right w:val="single" w:sz="2" w:space="0" w:color="000000"/>
            </w:tcBorders>
            <w:vAlign w:val="center"/>
          </w:tcPr>
          <w:p w14:paraId="0EF8AD3E" w14:textId="77777777" w:rsidR="004D4A28" w:rsidRPr="00364545" w:rsidRDefault="004D4A28" w:rsidP="00361368">
            <w:pPr>
              <w:spacing w:line="259" w:lineRule="auto"/>
              <w:ind w:left="14"/>
              <w:jc w:val="center"/>
              <w:rPr>
                <w:sz w:val="18"/>
              </w:rPr>
            </w:pPr>
            <w:r w:rsidRPr="00364545">
              <w:rPr>
                <w:sz w:val="18"/>
              </w:rPr>
              <w:t>246</w:t>
            </w:r>
            <w:r w:rsidRPr="00364545">
              <w:rPr>
                <w:rFonts w:ascii="Calibri" w:hAnsi="Calibri"/>
                <w:sz w:val="18"/>
              </w:rPr>
              <w:t> </w:t>
            </w:r>
            <w:r w:rsidRPr="00364545">
              <w:rPr>
                <w:sz w:val="18"/>
              </w:rPr>
              <w:t>729</w:t>
            </w:r>
          </w:p>
        </w:tc>
        <w:tc>
          <w:tcPr>
            <w:tcW w:w="764" w:type="dxa"/>
            <w:tcBorders>
              <w:top w:val="single" w:sz="2" w:space="0" w:color="000000"/>
              <w:left w:val="single" w:sz="2" w:space="0" w:color="000000"/>
              <w:bottom w:val="single" w:sz="2" w:space="0" w:color="000000"/>
              <w:right w:val="single" w:sz="2" w:space="0" w:color="000000"/>
            </w:tcBorders>
            <w:vAlign w:val="center"/>
          </w:tcPr>
          <w:p w14:paraId="751ACA8F" w14:textId="77777777" w:rsidR="004D4A28" w:rsidRPr="00364545" w:rsidRDefault="004D4A28" w:rsidP="00361368">
            <w:pPr>
              <w:spacing w:line="259" w:lineRule="auto"/>
              <w:ind w:left="14"/>
              <w:jc w:val="center"/>
              <w:rPr>
                <w:sz w:val="18"/>
              </w:rPr>
            </w:pPr>
            <w:r w:rsidRPr="00364545">
              <w:rPr>
                <w:sz w:val="18"/>
              </w:rPr>
              <w:t>197</w:t>
            </w:r>
            <w:r w:rsidRPr="00364545">
              <w:rPr>
                <w:rFonts w:ascii="Calibri" w:hAnsi="Calibri"/>
                <w:sz w:val="18"/>
              </w:rPr>
              <w:t> </w:t>
            </w:r>
            <w:r w:rsidRPr="00364545">
              <w:rPr>
                <w:sz w:val="18"/>
              </w:rPr>
              <w:t>348</w:t>
            </w:r>
          </w:p>
        </w:tc>
        <w:tc>
          <w:tcPr>
            <w:tcW w:w="743" w:type="dxa"/>
            <w:tcBorders>
              <w:top w:val="single" w:sz="2" w:space="0" w:color="000000"/>
              <w:left w:val="single" w:sz="2" w:space="0" w:color="000000"/>
              <w:bottom w:val="single" w:sz="2" w:space="0" w:color="000000"/>
              <w:right w:val="single" w:sz="2" w:space="0" w:color="000000"/>
            </w:tcBorders>
            <w:vAlign w:val="center"/>
          </w:tcPr>
          <w:p w14:paraId="1FD9C224" w14:textId="77777777" w:rsidR="004D4A28" w:rsidRPr="00364545" w:rsidRDefault="004D4A28" w:rsidP="00361368">
            <w:pPr>
              <w:spacing w:line="259" w:lineRule="auto"/>
              <w:ind w:left="14"/>
              <w:jc w:val="center"/>
              <w:rPr>
                <w:sz w:val="18"/>
              </w:rPr>
            </w:pPr>
            <w:r w:rsidRPr="00364545">
              <w:rPr>
                <w:sz w:val="18"/>
              </w:rPr>
              <w:t>145</w:t>
            </w:r>
            <w:r w:rsidRPr="00364545">
              <w:rPr>
                <w:rFonts w:ascii="Calibri" w:hAnsi="Calibri"/>
                <w:sz w:val="18"/>
              </w:rPr>
              <w:t> </w:t>
            </w:r>
            <w:r w:rsidRPr="00364545">
              <w:rPr>
                <w:sz w:val="18"/>
              </w:rPr>
              <w:t>879</w:t>
            </w:r>
          </w:p>
        </w:tc>
        <w:tc>
          <w:tcPr>
            <w:tcW w:w="652" w:type="dxa"/>
            <w:tcBorders>
              <w:top w:val="single" w:sz="2" w:space="0" w:color="000000"/>
              <w:left w:val="single" w:sz="2" w:space="0" w:color="000000"/>
              <w:bottom w:val="single" w:sz="2" w:space="0" w:color="000000"/>
              <w:right w:val="single" w:sz="2" w:space="0" w:color="000000"/>
            </w:tcBorders>
            <w:vAlign w:val="center"/>
          </w:tcPr>
          <w:p w14:paraId="7FF9B205" w14:textId="77777777" w:rsidR="004D4A28" w:rsidRPr="00364545" w:rsidRDefault="004D4A28" w:rsidP="00361368">
            <w:pPr>
              <w:spacing w:line="259" w:lineRule="auto"/>
              <w:ind w:left="14"/>
              <w:jc w:val="center"/>
              <w:rPr>
                <w:sz w:val="18"/>
              </w:rPr>
            </w:pPr>
            <w:r w:rsidRPr="00364545">
              <w:rPr>
                <w:sz w:val="18"/>
              </w:rPr>
              <w:t>-8</w:t>
            </w:r>
            <w:r w:rsidRPr="00364545">
              <w:rPr>
                <w:rFonts w:ascii="Calibri" w:hAnsi="Calibri"/>
                <w:sz w:val="18"/>
              </w:rPr>
              <w:t> </w:t>
            </w:r>
            <w:r w:rsidRPr="00364545">
              <w:rPr>
                <w:sz w:val="18"/>
              </w:rPr>
              <w:t>529</w:t>
            </w:r>
          </w:p>
        </w:tc>
      </w:tr>
      <w:tr w:rsidR="004D4A28" w:rsidRPr="00364545" w14:paraId="0CC9328F" w14:textId="77777777" w:rsidTr="00361368">
        <w:trPr>
          <w:trHeight w:val="419"/>
        </w:trPr>
        <w:tc>
          <w:tcPr>
            <w:tcW w:w="1088" w:type="dxa"/>
            <w:tcBorders>
              <w:top w:val="single" w:sz="2" w:space="0" w:color="000000"/>
              <w:left w:val="single" w:sz="2" w:space="0" w:color="000000"/>
              <w:bottom w:val="single" w:sz="2" w:space="0" w:color="000000"/>
              <w:right w:val="single" w:sz="2" w:space="0" w:color="000000"/>
            </w:tcBorders>
            <w:shd w:val="clear" w:color="auto" w:fill="ECE6E2"/>
          </w:tcPr>
          <w:p w14:paraId="1B732E99" w14:textId="77777777" w:rsidR="004D4A28" w:rsidRPr="00364545" w:rsidRDefault="004D4A28" w:rsidP="00361368">
            <w:pPr>
              <w:spacing w:line="259" w:lineRule="auto"/>
            </w:pPr>
            <w:r>
              <w:rPr>
                <w:sz w:val="18"/>
              </w:rPr>
              <w:t xml:space="preserve">Procédés industriels, solvants et autres produits </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CF5D47" w14:textId="77777777" w:rsidR="004D4A28" w:rsidRPr="00364545" w:rsidRDefault="004D4A28" w:rsidP="00361368">
            <w:pPr>
              <w:spacing w:line="259" w:lineRule="auto"/>
              <w:ind w:left="14"/>
              <w:jc w:val="center"/>
              <w:rPr>
                <w:sz w:val="18"/>
              </w:rPr>
            </w:pPr>
            <w:r>
              <w:rPr>
                <w:sz w:val="18"/>
                <w:szCs w:val="18"/>
              </w:rPr>
              <w:t>42902</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3A4163" w14:textId="77777777" w:rsidR="004D4A28" w:rsidRPr="00364545" w:rsidRDefault="004D4A28" w:rsidP="00361368">
            <w:pPr>
              <w:spacing w:line="259" w:lineRule="auto"/>
              <w:ind w:left="14"/>
              <w:jc w:val="center"/>
              <w:rPr>
                <w:sz w:val="18"/>
              </w:rPr>
            </w:pPr>
            <w:r>
              <w:rPr>
                <w:sz w:val="18"/>
                <w:szCs w:val="18"/>
              </w:rPr>
              <w:t>38604</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EB4F94" w14:textId="77777777" w:rsidR="004D4A28" w:rsidRPr="00364545" w:rsidRDefault="004D4A28" w:rsidP="00361368">
            <w:pPr>
              <w:spacing w:line="259" w:lineRule="auto"/>
              <w:ind w:left="14"/>
              <w:jc w:val="center"/>
              <w:rPr>
                <w:sz w:val="18"/>
              </w:rPr>
            </w:pPr>
            <w:r>
              <w:rPr>
                <w:sz w:val="18"/>
                <w:szCs w:val="18"/>
              </w:rPr>
              <w:t>40574</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58A7B9" w14:textId="77777777" w:rsidR="004D4A28" w:rsidRPr="00364545" w:rsidRDefault="004D4A28" w:rsidP="00361368">
            <w:pPr>
              <w:spacing w:line="259" w:lineRule="auto"/>
              <w:ind w:left="14"/>
              <w:jc w:val="center"/>
              <w:rPr>
                <w:sz w:val="18"/>
              </w:rPr>
            </w:pPr>
            <w:r>
              <w:rPr>
                <w:sz w:val="18"/>
                <w:szCs w:val="18"/>
              </w:rPr>
              <w:t>40644</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273E93" w14:textId="77777777" w:rsidR="004D4A28" w:rsidRPr="00364545" w:rsidRDefault="004D4A28" w:rsidP="00361368">
            <w:pPr>
              <w:spacing w:line="259" w:lineRule="auto"/>
              <w:ind w:left="14"/>
              <w:jc w:val="center"/>
              <w:rPr>
                <w:sz w:val="18"/>
              </w:rPr>
            </w:pPr>
            <w:r>
              <w:rPr>
                <w:sz w:val="18"/>
                <w:szCs w:val="18"/>
              </w:rPr>
              <w:t>32910</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984321" w14:textId="77777777" w:rsidR="004D4A28" w:rsidRPr="00364545" w:rsidRDefault="004D4A28" w:rsidP="00361368">
            <w:pPr>
              <w:spacing w:line="259" w:lineRule="auto"/>
              <w:ind w:left="14"/>
              <w:jc w:val="center"/>
              <w:rPr>
                <w:sz w:val="18"/>
              </w:rPr>
            </w:pPr>
            <w:r>
              <w:rPr>
                <w:sz w:val="18"/>
                <w:szCs w:val="18"/>
              </w:rPr>
              <w:t>30753</w:t>
            </w:r>
          </w:p>
        </w:tc>
        <w:tc>
          <w:tcPr>
            <w:tcW w:w="72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540588" w14:textId="77777777" w:rsidR="004D4A28" w:rsidRPr="00364545" w:rsidRDefault="004D4A28" w:rsidP="00361368">
            <w:pPr>
              <w:spacing w:line="259" w:lineRule="auto"/>
              <w:ind w:left="14"/>
              <w:jc w:val="center"/>
              <w:rPr>
                <w:sz w:val="18"/>
              </w:rPr>
            </w:pPr>
            <w:r>
              <w:rPr>
                <w:sz w:val="18"/>
                <w:szCs w:val="18"/>
              </w:rPr>
              <w:t>31576</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650341" w14:textId="77777777" w:rsidR="004D4A28" w:rsidRPr="00364545" w:rsidRDefault="004D4A28" w:rsidP="00361368">
            <w:pPr>
              <w:spacing w:line="259" w:lineRule="auto"/>
              <w:ind w:left="14"/>
              <w:jc w:val="center"/>
              <w:rPr>
                <w:sz w:val="18"/>
              </w:rPr>
            </w:pPr>
            <w:r w:rsidRPr="00364545">
              <w:rPr>
                <w:sz w:val="18"/>
              </w:rPr>
              <w:t>24</w:t>
            </w:r>
            <w:r w:rsidRPr="00364545">
              <w:rPr>
                <w:rFonts w:ascii="Calibri" w:hAnsi="Calibri"/>
                <w:sz w:val="18"/>
              </w:rPr>
              <w:t> </w:t>
            </w:r>
            <w:r w:rsidRPr="00364545">
              <w:rPr>
                <w:sz w:val="18"/>
              </w:rPr>
              <w:t>658</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3AAE15" w14:textId="77777777" w:rsidR="004D4A28" w:rsidRPr="00364545" w:rsidRDefault="004D4A28" w:rsidP="00361368">
            <w:pPr>
              <w:spacing w:line="259" w:lineRule="auto"/>
              <w:ind w:left="14"/>
              <w:jc w:val="center"/>
              <w:rPr>
                <w:sz w:val="18"/>
              </w:rPr>
            </w:pPr>
            <w:r w:rsidRPr="00364545">
              <w:rPr>
                <w:sz w:val="18"/>
              </w:rPr>
              <w:t>23</w:t>
            </w:r>
            <w:r w:rsidRPr="00364545">
              <w:rPr>
                <w:rFonts w:ascii="Calibri" w:hAnsi="Calibri"/>
                <w:sz w:val="18"/>
              </w:rPr>
              <w:t> </w:t>
            </w:r>
            <w:r w:rsidRPr="00364545">
              <w:rPr>
                <w:sz w:val="18"/>
              </w:rPr>
              <w:t>181</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B350A76" w14:textId="77777777" w:rsidR="004D4A28" w:rsidRPr="00364545" w:rsidRDefault="004D4A28" w:rsidP="00361368">
            <w:pPr>
              <w:spacing w:line="259" w:lineRule="auto"/>
              <w:ind w:left="14"/>
              <w:jc w:val="center"/>
              <w:rPr>
                <w:sz w:val="18"/>
              </w:rPr>
            </w:pPr>
            <w:r w:rsidRPr="00364545">
              <w:rPr>
                <w:sz w:val="18"/>
              </w:rPr>
              <w:t>20</w:t>
            </w:r>
            <w:r w:rsidRPr="00364545">
              <w:rPr>
                <w:rFonts w:ascii="Calibri" w:hAnsi="Calibri"/>
                <w:sz w:val="18"/>
              </w:rPr>
              <w:t> </w:t>
            </w:r>
            <w:r w:rsidRPr="00364545">
              <w:rPr>
                <w:sz w:val="18"/>
              </w:rPr>
              <w:t>509</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DF1880" w14:textId="77777777" w:rsidR="004D4A28" w:rsidRPr="00364545" w:rsidRDefault="004D4A28" w:rsidP="00361368">
            <w:pPr>
              <w:spacing w:line="259" w:lineRule="auto"/>
              <w:ind w:left="14"/>
              <w:jc w:val="center"/>
              <w:rPr>
                <w:sz w:val="18"/>
              </w:rPr>
            </w:pPr>
            <w:r w:rsidRPr="00364545">
              <w:rPr>
                <w:sz w:val="18"/>
              </w:rPr>
              <w:t>18</w:t>
            </w:r>
            <w:r w:rsidRPr="00364545">
              <w:rPr>
                <w:rFonts w:ascii="Calibri" w:hAnsi="Calibri"/>
                <w:sz w:val="18"/>
              </w:rPr>
              <w:t> </w:t>
            </w:r>
            <w:r w:rsidRPr="00364545">
              <w:rPr>
                <w:sz w:val="18"/>
              </w:rPr>
              <w:t>386</w:t>
            </w:r>
          </w:p>
        </w:tc>
        <w:tc>
          <w:tcPr>
            <w:tcW w:w="65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BBB2DB" w14:textId="77777777" w:rsidR="004D4A28" w:rsidRPr="00364545" w:rsidRDefault="004D4A28" w:rsidP="00361368">
            <w:pPr>
              <w:spacing w:line="259" w:lineRule="auto"/>
              <w:ind w:left="14"/>
              <w:jc w:val="center"/>
              <w:rPr>
                <w:sz w:val="18"/>
              </w:rPr>
            </w:pPr>
            <w:r w:rsidRPr="00364545">
              <w:rPr>
                <w:sz w:val="18"/>
              </w:rPr>
              <w:t>12</w:t>
            </w:r>
            <w:r w:rsidRPr="00364545">
              <w:rPr>
                <w:rFonts w:ascii="Calibri" w:hAnsi="Calibri"/>
                <w:sz w:val="18"/>
              </w:rPr>
              <w:t> </w:t>
            </w:r>
            <w:r w:rsidRPr="00364545">
              <w:rPr>
                <w:sz w:val="18"/>
              </w:rPr>
              <w:t>017</w:t>
            </w:r>
          </w:p>
        </w:tc>
      </w:tr>
      <w:tr w:rsidR="004D4A28" w:rsidRPr="00364545" w14:paraId="316EFBEC" w14:textId="77777777" w:rsidTr="00361368">
        <w:trPr>
          <w:trHeight w:val="344"/>
        </w:trPr>
        <w:tc>
          <w:tcPr>
            <w:tcW w:w="1088" w:type="dxa"/>
            <w:tcBorders>
              <w:top w:val="single" w:sz="2" w:space="0" w:color="000000"/>
              <w:left w:val="single" w:sz="2" w:space="0" w:color="000000"/>
              <w:bottom w:val="single" w:sz="2" w:space="0" w:color="000000"/>
              <w:right w:val="single" w:sz="2" w:space="0" w:color="000000"/>
            </w:tcBorders>
          </w:tcPr>
          <w:p w14:paraId="1DA557DE" w14:textId="77777777" w:rsidR="004D4A28" w:rsidRPr="00364545" w:rsidRDefault="004D4A28" w:rsidP="00361368">
            <w:pPr>
              <w:spacing w:line="259" w:lineRule="auto"/>
            </w:pPr>
            <w:r>
              <w:rPr>
                <w:sz w:val="18"/>
              </w:rPr>
              <w:t xml:space="preserve">Agriculture (hors énergie) </w:t>
            </w:r>
          </w:p>
        </w:tc>
        <w:tc>
          <w:tcPr>
            <w:tcW w:w="743" w:type="dxa"/>
            <w:tcBorders>
              <w:top w:val="single" w:sz="2" w:space="0" w:color="000000"/>
              <w:left w:val="single" w:sz="2" w:space="0" w:color="000000"/>
              <w:bottom w:val="single" w:sz="2" w:space="0" w:color="000000"/>
              <w:right w:val="single" w:sz="2" w:space="0" w:color="000000"/>
            </w:tcBorders>
            <w:vAlign w:val="center"/>
          </w:tcPr>
          <w:p w14:paraId="6B2890CD" w14:textId="77777777" w:rsidR="004D4A28" w:rsidRPr="00364545" w:rsidRDefault="004D4A28" w:rsidP="00361368">
            <w:pPr>
              <w:spacing w:line="259" w:lineRule="auto"/>
              <w:ind w:left="14"/>
              <w:jc w:val="center"/>
              <w:rPr>
                <w:sz w:val="18"/>
              </w:rPr>
            </w:pPr>
            <w:r>
              <w:rPr>
                <w:sz w:val="18"/>
                <w:szCs w:val="18"/>
              </w:rPr>
              <w:t>1894</w:t>
            </w:r>
          </w:p>
        </w:tc>
        <w:tc>
          <w:tcPr>
            <w:tcW w:w="731" w:type="dxa"/>
            <w:tcBorders>
              <w:top w:val="single" w:sz="2" w:space="0" w:color="000000"/>
              <w:left w:val="single" w:sz="2" w:space="0" w:color="000000"/>
              <w:bottom w:val="single" w:sz="2" w:space="0" w:color="000000"/>
              <w:right w:val="single" w:sz="2" w:space="0" w:color="000000"/>
            </w:tcBorders>
            <w:vAlign w:val="center"/>
          </w:tcPr>
          <w:p w14:paraId="0E47E84F" w14:textId="77777777" w:rsidR="004D4A28" w:rsidRPr="00364545" w:rsidRDefault="004D4A28" w:rsidP="00361368">
            <w:pPr>
              <w:spacing w:line="259" w:lineRule="auto"/>
              <w:ind w:left="14"/>
              <w:jc w:val="center"/>
              <w:rPr>
                <w:sz w:val="18"/>
              </w:rPr>
            </w:pPr>
            <w:r>
              <w:rPr>
                <w:sz w:val="18"/>
                <w:szCs w:val="18"/>
              </w:rPr>
              <w:t>1973</w:t>
            </w:r>
          </w:p>
        </w:tc>
        <w:tc>
          <w:tcPr>
            <w:tcW w:w="743" w:type="dxa"/>
            <w:tcBorders>
              <w:top w:val="single" w:sz="2" w:space="0" w:color="000000"/>
              <w:left w:val="single" w:sz="2" w:space="0" w:color="000000"/>
              <w:bottom w:val="single" w:sz="2" w:space="0" w:color="000000"/>
              <w:right w:val="single" w:sz="2" w:space="0" w:color="000000"/>
            </w:tcBorders>
            <w:vAlign w:val="center"/>
          </w:tcPr>
          <w:p w14:paraId="77A7DE76" w14:textId="77777777" w:rsidR="004D4A28" w:rsidRPr="00364545" w:rsidRDefault="004D4A28" w:rsidP="00361368">
            <w:pPr>
              <w:spacing w:line="259" w:lineRule="auto"/>
              <w:ind w:left="14"/>
              <w:jc w:val="center"/>
              <w:rPr>
                <w:sz w:val="18"/>
              </w:rPr>
            </w:pPr>
            <w:r>
              <w:rPr>
                <w:sz w:val="18"/>
                <w:szCs w:val="18"/>
              </w:rPr>
              <w:t>1989</w:t>
            </w:r>
          </w:p>
        </w:tc>
        <w:tc>
          <w:tcPr>
            <w:tcW w:w="735" w:type="dxa"/>
            <w:tcBorders>
              <w:top w:val="single" w:sz="2" w:space="0" w:color="000000"/>
              <w:left w:val="single" w:sz="2" w:space="0" w:color="000000"/>
              <w:bottom w:val="single" w:sz="2" w:space="0" w:color="000000"/>
              <w:right w:val="single" w:sz="2" w:space="0" w:color="000000"/>
            </w:tcBorders>
            <w:vAlign w:val="center"/>
          </w:tcPr>
          <w:p w14:paraId="7E0E44CE" w14:textId="77777777" w:rsidR="004D4A28" w:rsidRPr="00364545" w:rsidRDefault="004D4A28" w:rsidP="00361368">
            <w:pPr>
              <w:spacing w:line="259" w:lineRule="auto"/>
              <w:ind w:left="14"/>
              <w:jc w:val="center"/>
              <w:rPr>
                <w:sz w:val="18"/>
              </w:rPr>
            </w:pPr>
            <w:r>
              <w:rPr>
                <w:sz w:val="18"/>
                <w:szCs w:val="18"/>
              </w:rPr>
              <w:t>1965</w:t>
            </w:r>
          </w:p>
        </w:tc>
        <w:tc>
          <w:tcPr>
            <w:tcW w:w="743" w:type="dxa"/>
            <w:tcBorders>
              <w:top w:val="single" w:sz="2" w:space="0" w:color="000000"/>
              <w:left w:val="single" w:sz="2" w:space="0" w:color="000000"/>
              <w:bottom w:val="single" w:sz="2" w:space="0" w:color="000000"/>
              <w:right w:val="single" w:sz="2" w:space="0" w:color="000000"/>
            </w:tcBorders>
            <w:vAlign w:val="center"/>
          </w:tcPr>
          <w:p w14:paraId="0472A16E" w14:textId="77777777" w:rsidR="004D4A28" w:rsidRPr="00364545" w:rsidRDefault="004D4A28" w:rsidP="00361368">
            <w:pPr>
              <w:spacing w:line="259" w:lineRule="auto"/>
              <w:ind w:left="14"/>
              <w:jc w:val="center"/>
              <w:rPr>
                <w:sz w:val="18"/>
              </w:rPr>
            </w:pPr>
            <w:r>
              <w:rPr>
                <w:sz w:val="18"/>
                <w:szCs w:val="18"/>
              </w:rPr>
              <w:t>1986</w:t>
            </w:r>
          </w:p>
        </w:tc>
        <w:tc>
          <w:tcPr>
            <w:tcW w:w="743" w:type="dxa"/>
            <w:tcBorders>
              <w:top w:val="single" w:sz="2" w:space="0" w:color="000000"/>
              <w:left w:val="single" w:sz="2" w:space="0" w:color="000000"/>
              <w:bottom w:val="single" w:sz="2" w:space="0" w:color="000000"/>
              <w:right w:val="single" w:sz="2" w:space="0" w:color="000000"/>
            </w:tcBorders>
            <w:vAlign w:val="center"/>
          </w:tcPr>
          <w:p w14:paraId="3CA79F8D" w14:textId="77777777" w:rsidR="004D4A28" w:rsidRPr="00364545" w:rsidRDefault="004D4A28" w:rsidP="00361368">
            <w:pPr>
              <w:spacing w:line="259" w:lineRule="auto"/>
              <w:ind w:left="14"/>
              <w:jc w:val="center"/>
              <w:rPr>
                <w:sz w:val="18"/>
              </w:rPr>
            </w:pPr>
            <w:r>
              <w:rPr>
                <w:sz w:val="18"/>
                <w:szCs w:val="18"/>
              </w:rPr>
              <w:t>2176</w:t>
            </w:r>
          </w:p>
        </w:tc>
        <w:tc>
          <w:tcPr>
            <w:tcW w:w="721" w:type="dxa"/>
            <w:tcBorders>
              <w:top w:val="single" w:sz="2" w:space="0" w:color="000000"/>
              <w:left w:val="single" w:sz="2" w:space="0" w:color="000000"/>
              <w:bottom w:val="single" w:sz="2" w:space="0" w:color="000000"/>
              <w:right w:val="single" w:sz="2" w:space="0" w:color="000000"/>
            </w:tcBorders>
            <w:vAlign w:val="center"/>
          </w:tcPr>
          <w:p w14:paraId="05A0AC9B" w14:textId="77777777" w:rsidR="004D4A28" w:rsidRPr="00364545" w:rsidRDefault="004D4A28" w:rsidP="00361368">
            <w:pPr>
              <w:spacing w:line="259" w:lineRule="auto"/>
              <w:ind w:left="14"/>
              <w:jc w:val="center"/>
              <w:rPr>
                <w:sz w:val="18"/>
              </w:rPr>
            </w:pPr>
            <w:r>
              <w:rPr>
                <w:sz w:val="18"/>
                <w:szCs w:val="18"/>
              </w:rPr>
              <w:t>2032</w:t>
            </w:r>
          </w:p>
        </w:tc>
        <w:tc>
          <w:tcPr>
            <w:tcW w:w="764" w:type="dxa"/>
            <w:tcBorders>
              <w:top w:val="single" w:sz="2" w:space="0" w:color="000000"/>
              <w:left w:val="single" w:sz="2" w:space="0" w:color="000000"/>
              <w:bottom w:val="single" w:sz="2" w:space="0" w:color="000000"/>
              <w:right w:val="single" w:sz="2" w:space="0" w:color="000000"/>
            </w:tcBorders>
            <w:vAlign w:val="center"/>
          </w:tcPr>
          <w:p w14:paraId="000A7B9F"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894</w:t>
            </w:r>
          </w:p>
        </w:tc>
        <w:tc>
          <w:tcPr>
            <w:tcW w:w="764" w:type="dxa"/>
            <w:tcBorders>
              <w:top w:val="single" w:sz="2" w:space="0" w:color="000000"/>
              <w:left w:val="single" w:sz="2" w:space="0" w:color="000000"/>
              <w:bottom w:val="single" w:sz="2" w:space="0" w:color="000000"/>
              <w:right w:val="single" w:sz="2" w:space="0" w:color="000000"/>
            </w:tcBorders>
            <w:vAlign w:val="center"/>
          </w:tcPr>
          <w:p w14:paraId="2D3536EA"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742</w:t>
            </w:r>
          </w:p>
        </w:tc>
        <w:tc>
          <w:tcPr>
            <w:tcW w:w="764" w:type="dxa"/>
            <w:tcBorders>
              <w:top w:val="single" w:sz="2" w:space="0" w:color="000000"/>
              <w:left w:val="single" w:sz="2" w:space="0" w:color="000000"/>
              <w:bottom w:val="single" w:sz="2" w:space="0" w:color="000000"/>
              <w:right w:val="single" w:sz="2" w:space="0" w:color="000000"/>
            </w:tcBorders>
            <w:vAlign w:val="center"/>
          </w:tcPr>
          <w:p w14:paraId="6D8872AB"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620</w:t>
            </w:r>
          </w:p>
        </w:tc>
        <w:tc>
          <w:tcPr>
            <w:tcW w:w="743" w:type="dxa"/>
            <w:tcBorders>
              <w:top w:val="single" w:sz="2" w:space="0" w:color="000000"/>
              <w:left w:val="single" w:sz="2" w:space="0" w:color="000000"/>
              <w:bottom w:val="single" w:sz="2" w:space="0" w:color="000000"/>
              <w:right w:val="single" w:sz="2" w:space="0" w:color="000000"/>
            </w:tcBorders>
            <w:vAlign w:val="center"/>
          </w:tcPr>
          <w:p w14:paraId="26A3F26C"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478</w:t>
            </w:r>
          </w:p>
        </w:tc>
        <w:tc>
          <w:tcPr>
            <w:tcW w:w="652" w:type="dxa"/>
            <w:tcBorders>
              <w:top w:val="single" w:sz="2" w:space="0" w:color="000000"/>
              <w:left w:val="single" w:sz="2" w:space="0" w:color="000000"/>
              <w:bottom w:val="single" w:sz="2" w:space="0" w:color="000000"/>
              <w:right w:val="single" w:sz="2" w:space="0" w:color="000000"/>
            </w:tcBorders>
            <w:vAlign w:val="center"/>
          </w:tcPr>
          <w:p w14:paraId="7A97ED13"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445</w:t>
            </w:r>
          </w:p>
        </w:tc>
      </w:tr>
      <w:tr w:rsidR="004D4A28" w:rsidRPr="00364545" w14:paraId="35B9A97E" w14:textId="77777777" w:rsidTr="00361368">
        <w:trPr>
          <w:trHeight w:val="344"/>
        </w:trPr>
        <w:tc>
          <w:tcPr>
            <w:tcW w:w="1088" w:type="dxa"/>
            <w:tcBorders>
              <w:top w:val="single" w:sz="2" w:space="0" w:color="000000"/>
              <w:left w:val="single" w:sz="2" w:space="0" w:color="000000"/>
              <w:bottom w:val="single" w:sz="2" w:space="0" w:color="000000"/>
              <w:right w:val="single" w:sz="2" w:space="0" w:color="000000"/>
            </w:tcBorders>
            <w:shd w:val="clear" w:color="auto" w:fill="ECE6E2"/>
          </w:tcPr>
          <w:p w14:paraId="09C356B1" w14:textId="77777777" w:rsidR="004D4A28" w:rsidRPr="00364545" w:rsidRDefault="004D4A28" w:rsidP="00361368">
            <w:pPr>
              <w:spacing w:line="259" w:lineRule="auto"/>
            </w:pPr>
            <w:r>
              <w:rPr>
                <w:sz w:val="18"/>
              </w:rPr>
              <w:t xml:space="preserve">UTCATF </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E1827E" w14:textId="77777777" w:rsidR="004D4A28" w:rsidRPr="00364545" w:rsidRDefault="004D4A28" w:rsidP="00361368">
            <w:pPr>
              <w:spacing w:line="259" w:lineRule="auto"/>
              <w:ind w:left="14"/>
              <w:jc w:val="center"/>
              <w:rPr>
                <w:sz w:val="18"/>
              </w:rPr>
            </w:pPr>
            <w:r>
              <w:rPr>
                <w:sz w:val="18"/>
                <w:szCs w:val="18"/>
              </w:rPr>
              <w:t>-28145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57EC78" w14:textId="77777777" w:rsidR="004D4A28" w:rsidRPr="00364545" w:rsidRDefault="004D4A28" w:rsidP="00361368">
            <w:pPr>
              <w:spacing w:line="259" w:lineRule="auto"/>
              <w:ind w:left="14"/>
              <w:jc w:val="center"/>
              <w:rPr>
                <w:sz w:val="18"/>
              </w:rPr>
            </w:pPr>
            <w:r>
              <w:rPr>
                <w:sz w:val="18"/>
                <w:szCs w:val="18"/>
              </w:rPr>
              <w:t>-31795</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17A97C" w14:textId="77777777" w:rsidR="004D4A28" w:rsidRPr="00364545" w:rsidRDefault="004D4A28" w:rsidP="00361368">
            <w:pPr>
              <w:spacing w:line="259" w:lineRule="auto"/>
              <w:ind w:left="14"/>
              <w:jc w:val="center"/>
              <w:rPr>
                <w:sz w:val="18"/>
              </w:rPr>
            </w:pPr>
            <w:r>
              <w:rPr>
                <w:sz w:val="18"/>
                <w:szCs w:val="18"/>
              </w:rPr>
              <w:t>-24595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CDD77C" w14:textId="77777777" w:rsidR="004D4A28" w:rsidRPr="00364545" w:rsidRDefault="004D4A28" w:rsidP="00361368">
            <w:pPr>
              <w:spacing w:line="259" w:lineRule="auto"/>
              <w:ind w:left="14"/>
              <w:jc w:val="center"/>
              <w:rPr>
                <w:sz w:val="18"/>
              </w:rPr>
            </w:pPr>
            <w:r>
              <w:rPr>
                <w:sz w:val="18"/>
                <w:szCs w:val="18"/>
              </w:rPr>
              <w:t>-51471</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D076ED" w14:textId="77777777" w:rsidR="004D4A28" w:rsidRPr="00364545" w:rsidRDefault="004D4A28" w:rsidP="00361368">
            <w:pPr>
              <w:spacing w:line="259" w:lineRule="auto"/>
              <w:ind w:left="14"/>
              <w:jc w:val="center"/>
              <w:rPr>
                <w:sz w:val="18"/>
              </w:rPr>
            </w:pPr>
            <w:r>
              <w:rPr>
                <w:sz w:val="18"/>
                <w:szCs w:val="18"/>
              </w:rPr>
              <w:t>-42701</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6F5BDB" w14:textId="77777777" w:rsidR="004D4A28" w:rsidRPr="00364545" w:rsidRDefault="004D4A28" w:rsidP="00361368">
            <w:pPr>
              <w:spacing w:line="259" w:lineRule="auto"/>
              <w:ind w:left="14"/>
              <w:jc w:val="center"/>
              <w:rPr>
                <w:sz w:val="18"/>
              </w:rPr>
            </w:pPr>
            <w:r>
              <w:rPr>
                <w:sz w:val="18"/>
                <w:szCs w:val="18"/>
              </w:rPr>
              <w:t>-38599</w:t>
            </w:r>
          </w:p>
        </w:tc>
        <w:tc>
          <w:tcPr>
            <w:tcW w:w="72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23C0D8" w14:textId="77777777" w:rsidR="004D4A28" w:rsidRPr="00364545" w:rsidRDefault="004D4A28" w:rsidP="00361368">
            <w:pPr>
              <w:spacing w:line="259" w:lineRule="auto"/>
              <w:ind w:left="14"/>
              <w:jc w:val="center"/>
              <w:rPr>
                <w:sz w:val="18"/>
              </w:rPr>
            </w:pPr>
            <w:r>
              <w:rPr>
                <w:sz w:val="18"/>
                <w:szCs w:val="18"/>
              </w:rPr>
              <w:t>-16293</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A9E19B" w14:textId="77777777" w:rsidR="004D4A28" w:rsidRPr="00364545" w:rsidRDefault="004D4A28" w:rsidP="00361368">
            <w:pPr>
              <w:spacing w:line="259" w:lineRule="auto"/>
              <w:ind w:left="14"/>
              <w:jc w:val="center"/>
              <w:rPr>
                <w:sz w:val="18"/>
              </w:rPr>
            </w:pPr>
            <w:r w:rsidRPr="00364545">
              <w:rPr>
                <w:sz w:val="18"/>
              </w:rPr>
              <w:t>-43</w:t>
            </w:r>
            <w:r w:rsidRPr="00364545">
              <w:rPr>
                <w:rFonts w:ascii="Calibri" w:hAnsi="Calibri"/>
                <w:sz w:val="18"/>
              </w:rPr>
              <w:t> </w:t>
            </w:r>
            <w:r w:rsidRPr="00364545">
              <w:rPr>
                <w:sz w:val="18"/>
              </w:rPr>
              <w:t>218</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40C78F" w14:textId="77777777" w:rsidR="004D4A28" w:rsidRPr="00364545" w:rsidRDefault="004D4A28" w:rsidP="00361368">
            <w:pPr>
              <w:spacing w:line="259" w:lineRule="auto"/>
              <w:ind w:left="14"/>
              <w:jc w:val="center"/>
              <w:rPr>
                <w:sz w:val="18"/>
              </w:rPr>
            </w:pPr>
            <w:r w:rsidRPr="00364545">
              <w:rPr>
                <w:sz w:val="18"/>
              </w:rPr>
              <w:t>-41</w:t>
            </w:r>
            <w:r w:rsidRPr="00364545">
              <w:rPr>
                <w:rFonts w:ascii="Calibri" w:hAnsi="Calibri"/>
                <w:sz w:val="18"/>
              </w:rPr>
              <w:t> </w:t>
            </w:r>
            <w:r w:rsidRPr="00364545">
              <w:rPr>
                <w:sz w:val="18"/>
              </w:rPr>
              <w:t>903</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348107" w14:textId="77777777" w:rsidR="004D4A28" w:rsidRPr="00364545" w:rsidRDefault="004D4A28" w:rsidP="00361368">
            <w:pPr>
              <w:spacing w:line="259" w:lineRule="auto"/>
              <w:ind w:left="14"/>
              <w:jc w:val="center"/>
              <w:rPr>
                <w:sz w:val="18"/>
              </w:rPr>
            </w:pPr>
            <w:r w:rsidRPr="00364545">
              <w:rPr>
                <w:sz w:val="18"/>
              </w:rPr>
              <w:t>-44</w:t>
            </w:r>
            <w:r w:rsidRPr="00364545">
              <w:rPr>
                <w:rFonts w:ascii="Calibri" w:hAnsi="Calibri"/>
                <w:sz w:val="18"/>
              </w:rPr>
              <w:t> </w:t>
            </w:r>
            <w:r w:rsidRPr="00364545">
              <w:rPr>
                <w:sz w:val="18"/>
              </w:rPr>
              <w:t>376</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46DFB5" w14:textId="77777777" w:rsidR="004D4A28" w:rsidRPr="00364545" w:rsidRDefault="004D4A28" w:rsidP="00361368">
            <w:pPr>
              <w:spacing w:line="259" w:lineRule="auto"/>
              <w:ind w:left="14"/>
              <w:jc w:val="center"/>
              <w:rPr>
                <w:sz w:val="18"/>
              </w:rPr>
            </w:pPr>
            <w:r w:rsidRPr="00364545">
              <w:rPr>
                <w:sz w:val="18"/>
              </w:rPr>
              <w:t>-49</w:t>
            </w:r>
            <w:r w:rsidRPr="00364545">
              <w:rPr>
                <w:rFonts w:ascii="Calibri" w:hAnsi="Calibri"/>
                <w:sz w:val="18"/>
              </w:rPr>
              <w:t> </w:t>
            </w:r>
            <w:r w:rsidRPr="00364545">
              <w:rPr>
                <w:sz w:val="18"/>
              </w:rPr>
              <w:t>395</w:t>
            </w:r>
          </w:p>
        </w:tc>
        <w:tc>
          <w:tcPr>
            <w:tcW w:w="65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00E763" w14:textId="77777777" w:rsidR="004D4A28" w:rsidRPr="00364545" w:rsidRDefault="004D4A28" w:rsidP="00361368">
            <w:pPr>
              <w:spacing w:line="259" w:lineRule="auto"/>
              <w:ind w:left="14"/>
              <w:jc w:val="center"/>
              <w:rPr>
                <w:sz w:val="18"/>
              </w:rPr>
            </w:pPr>
            <w:r w:rsidRPr="00364545">
              <w:rPr>
                <w:sz w:val="18"/>
              </w:rPr>
              <w:t>-71</w:t>
            </w:r>
            <w:r w:rsidRPr="00364545">
              <w:rPr>
                <w:rFonts w:ascii="Calibri" w:hAnsi="Calibri"/>
                <w:sz w:val="18"/>
              </w:rPr>
              <w:t> </w:t>
            </w:r>
            <w:r w:rsidRPr="00364545">
              <w:rPr>
                <w:sz w:val="18"/>
              </w:rPr>
              <w:t>260</w:t>
            </w:r>
          </w:p>
        </w:tc>
      </w:tr>
      <w:tr w:rsidR="004D4A28" w:rsidRPr="00364545" w14:paraId="0C17047B" w14:textId="77777777" w:rsidTr="00361368">
        <w:trPr>
          <w:trHeight w:val="347"/>
        </w:trPr>
        <w:tc>
          <w:tcPr>
            <w:tcW w:w="1088" w:type="dxa"/>
            <w:tcBorders>
              <w:top w:val="single" w:sz="2" w:space="0" w:color="000000"/>
              <w:left w:val="single" w:sz="2" w:space="0" w:color="000000"/>
              <w:bottom w:val="single" w:sz="2" w:space="0" w:color="000000"/>
              <w:right w:val="single" w:sz="2" w:space="0" w:color="000000"/>
            </w:tcBorders>
          </w:tcPr>
          <w:p w14:paraId="2EA80929" w14:textId="77777777" w:rsidR="004D4A28" w:rsidRPr="00364545" w:rsidRDefault="004D4A28" w:rsidP="00361368">
            <w:pPr>
              <w:spacing w:line="259" w:lineRule="auto"/>
            </w:pPr>
            <w:r>
              <w:rPr>
                <w:sz w:val="18"/>
              </w:rPr>
              <w:t xml:space="preserve">Déchets </w:t>
            </w:r>
          </w:p>
        </w:tc>
        <w:tc>
          <w:tcPr>
            <w:tcW w:w="743" w:type="dxa"/>
            <w:tcBorders>
              <w:top w:val="single" w:sz="2" w:space="0" w:color="000000"/>
              <w:left w:val="single" w:sz="2" w:space="0" w:color="000000"/>
              <w:bottom w:val="single" w:sz="2" w:space="0" w:color="000000"/>
              <w:right w:val="single" w:sz="2" w:space="0" w:color="000000"/>
            </w:tcBorders>
            <w:vAlign w:val="center"/>
          </w:tcPr>
          <w:p w14:paraId="7F74412F" w14:textId="77777777" w:rsidR="004D4A28" w:rsidRPr="00364545" w:rsidRDefault="004D4A28" w:rsidP="00361368">
            <w:pPr>
              <w:spacing w:line="259" w:lineRule="auto"/>
              <w:ind w:left="14"/>
              <w:jc w:val="center"/>
              <w:rPr>
                <w:sz w:val="18"/>
              </w:rPr>
            </w:pPr>
            <w:r>
              <w:rPr>
                <w:sz w:val="18"/>
                <w:szCs w:val="18"/>
              </w:rPr>
              <w:t>2194</w:t>
            </w:r>
          </w:p>
        </w:tc>
        <w:tc>
          <w:tcPr>
            <w:tcW w:w="731" w:type="dxa"/>
            <w:tcBorders>
              <w:top w:val="single" w:sz="2" w:space="0" w:color="000000"/>
              <w:left w:val="single" w:sz="2" w:space="0" w:color="000000"/>
              <w:bottom w:val="single" w:sz="2" w:space="0" w:color="000000"/>
              <w:right w:val="single" w:sz="2" w:space="0" w:color="000000"/>
            </w:tcBorders>
            <w:vAlign w:val="center"/>
          </w:tcPr>
          <w:p w14:paraId="29F5995E" w14:textId="77777777" w:rsidR="004D4A28" w:rsidRPr="00364545" w:rsidRDefault="004D4A28" w:rsidP="00361368">
            <w:pPr>
              <w:spacing w:line="259" w:lineRule="auto"/>
              <w:ind w:left="14"/>
              <w:jc w:val="center"/>
              <w:rPr>
                <w:sz w:val="18"/>
              </w:rPr>
            </w:pPr>
            <w:r>
              <w:rPr>
                <w:sz w:val="18"/>
                <w:szCs w:val="18"/>
              </w:rPr>
              <w:t>2223</w:t>
            </w:r>
          </w:p>
        </w:tc>
        <w:tc>
          <w:tcPr>
            <w:tcW w:w="743" w:type="dxa"/>
            <w:tcBorders>
              <w:top w:val="single" w:sz="2" w:space="0" w:color="000000"/>
              <w:left w:val="single" w:sz="2" w:space="0" w:color="000000"/>
              <w:bottom w:val="single" w:sz="2" w:space="0" w:color="000000"/>
              <w:right w:val="single" w:sz="2" w:space="0" w:color="000000"/>
            </w:tcBorders>
            <w:vAlign w:val="center"/>
          </w:tcPr>
          <w:p w14:paraId="4E097733" w14:textId="77777777" w:rsidR="004D4A28" w:rsidRPr="00364545" w:rsidRDefault="004D4A28" w:rsidP="00361368">
            <w:pPr>
              <w:spacing w:line="259" w:lineRule="auto"/>
              <w:ind w:left="14"/>
              <w:jc w:val="center"/>
              <w:rPr>
                <w:sz w:val="18"/>
              </w:rPr>
            </w:pPr>
            <w:r>
              <w:rPr>
                <w:sz w:val="18"/>
                <w:szCs w:val="18"/>
              </w:rPr>
              <w:t>1704</w:t>
            </w:r>
          </w:p>
        </w:tc>
        <w:tc>
          <w:tcPr>
            <w:tcW w:w="735" w:type="dxa"/>
            <w:tcBorders>
              <w:top w:val="single" w:sz="2" w:space="0" w:color="000000"/>
              <w:left w:val="single" w:sz="2" w:space="0" w:color="000000"/>
              <w:bottom w:val="single" w:sz="2" w:space="0" w:color="000000"/>
              <w:right w:val="single" w:sz="2" w:space="0" w:color="000000"/>
            </w:tcBorders>
            <w:vAlign w:val="center"/>
          </w:tcPr>
          <w:p w14:paraId="5C2EC760" w14:textId="77777777" w:rsidR="004D4A28" w:rsidRPr="00364545" w:rsidRDefault="004D4A28" w:rsidP="00361368">
            <w:pPr>
              <w:spacing w:line="259" w:lineRule="auto"/>
              <w:ind w:left="14"/>
              <w:jc w:val="center"/>
              <w:rPr>
                <w:sz w:val="18"/>
              </w:rPr>
            </w:pPr>
            <w:r>
              <w:rPr>
                <w:sz w:val="18"/>
                <w:szCs w:val="18"/>
              </w:rPr>
              <w:t>1549</w:t>
            </w:r>
          </w:p>
        </w:tc>
        <w:tc>
          <w:tcPr>
            <w:tcW w:w="743" w:type="dxa"/>
            <w:tcBorders>
              <w:top w:val="single" w:sz="2" w:space="0" w:color="000000"/>
              <w:left w:val="single" w:sz="2" w:space="0" w:color="000000"/>
              <w:bottom w:val="single" w:sz="2" w:space="0" w:color="000000"/>
              <w:right w:val="single" w:sz="2" w:space="0" w:color="000000"/>
            </w:tcBorders>
            <w:vAlign w:val="center"/>
          </w:tcPr>
          <w:p w14:paraId="09A3A4A4" w14:textId="77777777" w:rsidR="004D4A28" w:rsidRPr="00364545" w:rsidRDefault="004D4A28" w:rsidP="00361368">
            <w:pPr>
              <w:spacing w:line="259" w:lineRule="auto"/>
              <w:ind w:left="14"/>
              <w:jc w:val="center"/>
              <w:rPr>
                <w:sz w:val="18"/>
              </w:rPr>
            </w:pPr>
            <w:r>
              <w:rPr>
                <w:sz w:val="18"/>
                <w:szCs w:val="18"/>
              </w:rPr>
              <w:t>1608</w:t>
            </w:r>
          </w:p>
        </w:tc>
        <w:tc>
          <w:tcPr>
            <w:tcW w:w="743" w:type="dxa"/>
            <w:tcBorders>
              <w:top w:val="single" w:sz="2" w:space="0" w:color="000000"/>
              <w:left w:val="single" w:sz="2" w:space="0" w:color="000000"/>
              <w:bottom w:val="single" w:sz="2" w:space="0" w:color="000000"/>
              <w:right w:val="single" w:sz="2" w:space="0" w:color="000000"/>
            </w:tcBorders>
            <w:vAlign w:val="center"/>
          </w:tcPr>
          <w:p w14:paraId="65EFD73B" w14:textId="77777777" w:rsidR="004D4A28" w:rsidRPr="00364545" w:rsidRDefault="004D4A28" w:rsidP="00361368">
            <w:pPr>
              <w:spacing w:line="259" w:lineRule="auto"/>
              <w:ind w:left="14"/>
              <w:jc w:val="center"/>
              <w:rPr>
                <w:sz w:val="18"/>
              </w:rPr>
            </w:pPr>
            <w:r>
              <w:rPr>
                <w:sz w:val="18"/>
                <w:szCs w:val="18"/>
              </w:rPr>
              <w:t>1542</w:t>
            </w:r>
          </w:p>
        </w:tc>
        <w:tc>
          <w:tcPr>
            <w:tcW w:w="721" w:type="dxa"/>
            <w:tcBorders>
              <w:top w:val="single" w:sz="2" w:space="0" w:color="000000"/>
              <w:left w:val="single" w:sz="2" w:space="0" w:color="000000"/>
              <w:bottom w:val="single" w:sz="2" w:space="0" w:color="000000"/>
              <w:right w:val="single" w:sz="2" w:space="0" w:color="000000"/>
            </w:tcBorders>
            <w:vAlign w:val="center"/>
          </w:tcPr>
          <w:p w14:paraId="3D20E05B" w14:textId="77777777" w:rsidR="004D4A28" w:rsidRPr="00364545" w:rsidRDefault="004D4A28" w:rsidP="00361368">
            <w:pPr>
              <w:spacing w:line="259" w:lineRule="auto"/>
              <w:ind w:left="14"/>
              <w:jc w:val="center"/>
              <w:rPr>
                <w:sz w:val="18"/>
              </w:rPr>
            </w:pPr>
            <w:r>
              <w:rPr>
                <w:sz w:val="18"/>
                <w:szCs w:val="18"/>
              </w:rPr>
              <w:t>1738</w:t>
            </w:r>
          </w:p>
        </w:tc>
        <w:tc>
          <w:tcPr>
            <w:tcW w:w="764" w:type="dxa"/>
            <w:tcBorders>
              <w:top w:val="single" w:sz="2" w:space="0" w:color="000000"/>
              <w:left w:val="single" w:sz="2" w:space="0" w:color="000000"/>
              <w:bottom w:val="single" w:sz="2" w:space="0" w:color="000000"/>
              <w:right w:val="single" w:sz="2" w:space="0" w:color="000000"/>
            </w:tcBorders>
            <w:vAlign w:val="center"/>
          </w:tcPr>
          <w:p w14:paraId="314BC872"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764" w:type="dxa"/>
            <w:tcBorders>
              <w:top w:val="single" w:sz="2" w:space="0" w:color="000000"/>
              <w:left w:val="single" w:sz="2" w:space="0" w:color="000000"/>
              <w:bottom w:val="single" w:sz="2" w:space="0" w:color="000000"/>
              <w:right w:val="single" w:sz="2" w:space="0" w:color="000000"/>
            </w:tcBorders>
            <w:vAlign w:val="center"/>
          </w:tcPr>
          <w:p w14:paraId="43557888"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764" w:type="dxa"/>
            <w:tcBorders>
              <w:top w:val="single" w:sz="2" w:space="0" w:color="000000"/>
              <w:left w:val="single" w:sz="2" w:space="0" w:color="000000"/>
              <w:bottom w:val="single" w:sz="2" w:space="0" w:color="000000"/>
              <w:right w:val="single" w:sz="2" w:space="0" w:color="000000"/>
            </w:tcBorders>
            <w:vAlign w:val="center"/>
          </w:tcPr>
          <w:p w14:paraId="40FDDF4F"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743" w:type="dxa"/>
            <w:tcBorders>
              <w:top w:val="single" w:sz="2" w:space="0" w:color="000000"/>
              <w:left w:val="single" w:sz="2" w:space="0" w:color="000000"/>
              <w:bottom w:val="single" w:sz="2" w:space="0" w:color="000000"/>
              <w:right w:val="single" w:sz="2" w:space="0" w:color="000000"/>
            </w:tcBorders>
            <w:vAlign w:val="center"/>
          </w:tcPr>
          <w:p w14:paraId="666CB4BC"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652" w:type="dxa"/>
            <w:tcBorders>
              <w:top w:val="single" w:sz="2" w:space="0" w:color="000000"/>
              <w:left w:val="single" w:sz="2" w:space="0" w:color="000000"/>
              <w:bottom w:val="single" w:sz="2" w:space="0" w:color="000000"/>
              <w:right w:val="single" w:sz="2" w:space="0" w:color="000000"/>
            </w:tcBorders>
            <w:vAlign w:val="center"/>
          </w:tcPr>
          <w:p w14:paraId="735E84BC" w14:textId="77777777" w:rsidR="004D4A28" w:rsidRPr="00364545" w:rsidRDefault="004D4A28" w:rsidP="003613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r>
      <w:tr w:rsidR="004D4A28" w:rsidRPr="00364545" w14:paraId="2056260A" w14:textId="77777777" w:rsidTr="00361368">
        <w:trPr>
          <w:trHeight w:val="344"/>
        </w:trPr>
        <w:tc>
          <w:tcPr>
            <w:tcW w:w="1088" w:type="dxa"/>
            <w:tcBorders>
              <w:top w:val="single" w:sz="2" w:space="0" w:color="000000"/>
              <w:left w:val="single" w:sz="2" w:space="0" w:color="000000"/>
              <w:bottom w:val="single" w:sz="2" w:space="0" w:color="000000"/>
              <w:right w:val="single" w:sz="2" w:space="0" w:color="000000"/>
            </w:tcBorders>
            <w:shd w:val="clear" w:color="auto" w:fill="ECE6E2"/>
          </w:tcPr>
          <w:p w14:paraId="6A13909D" w14:textId="77777777" w:rsidR="004D4A28" w:rsidRPr="00364545" w:rsidRDefault="004D4A28" w:rsidP="00361368">
            <w:pPr>
              <w:spacing w:line="259" w:lineRule="auto"/>
            </w:pPr>
            <w:r>
              <w:rPr>
                <w:b/>
                <w:sz w:val="18"/>
              </w:rPr>
              <w:t xml:space="preserve">Ensemble (hors UTCF) </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9FBE24" w14:textId="77777777" w:rsidR="004D4A28" w:rsidRPr="00364545" w:rsidRDefault="004D4A28" w:rsidP="00361368">
            <w:pPr>
              <w:spacing w:line="259" w:lineRule="auto"/>
              <w:ind w:left="14"/>
              <w:jc w:val="center"/>
              <w:rPr>
                <w:b/>
                <w:sz w:val="18"/>
              </w:rPr>
            </w:pPr>
            <w:r w:rsidRPr="00944589">
              <w:rPr>
                <w:b/>
                <w:sz w:val="18"/>
                <w:szCs w:val="18"/>
              </w:rPr>
              <w:t>398425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4E1C29" w14:textId="77777777" w:rsidR="004D4A28" w:rsidRPr="00364545" w:rsidRDefault="004D4A28" w:rsidP="00361368">
            <w:pPr>
              <w:spacing w:line="259" w:lineRule="auto"/>
              <w:ind w:left="14"/>
              <w:jc w:val="center"/>
              <w:rPr>
                <w:b/>
                <w:sz w:val="18"/>
              </w:rPr>
            </w:pPr>
            <w:r w:rsidRPr="00944589">
              <w:rPr>
                <w:b/>
                <w:sz w:val="18"/>
                <w:szCs w:val="18"/>
              </w:rPr>
              <w:t>392916</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19B0365" w14:textId="77777777" w:rsidR="004D4A28" w:rsidRPr="00364545" w:rsidRDefault="004D4A28" w:rsidP="00361368">
            <w:pPr>
              <w:spacing w:line="259" w:lineRule="auto"/>
              <w:ind w:left="14"/>
              <w:jc w:val="center"/>
              <w:rPr>
                <w:b/>
                <w:sz w:val="18"/>
              </w:rPr>
            </w:pPr>
            <w:r w:rsidRPr="00944589">
              <w:rPr>
                <w:b/>
                <w:sz w:val="18"/>
                <w:szCs w:val="18"/>
              </w:rPr>
              <w:t>414788</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DE23DD" w14:textId="77777777" w:rsidR="004D4A28" w:rsidRPr="00364545" w:rsidRDefault="004D4A28" w:rsidP="00361368">
            <w:pPr>
              <w:spacing w:line="259" w:lineRule="auto"/>
              <w:ind w:left="14"/>
              <w:jc w:val="center"/>
              <w:rPr>
                <w:b/>
                <w:sz w:val="18"/>
              </w:rPr>
            </w:pPr>
            <w:r w:rsidRPr="00944589">
              <w:rPr>
                <w:b/>
                <w:sz w:val="18"/>
                <w:szCs w:val="18"/>
              </w:rPr>
              <w:t>425444</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12BDF5" w14:textId="77777777" w:rsidR="004D4A28" w:rsidRPr="00364545" w:rsidRDefault="004D4A28" w:rsidP="00361368">
            <w:pPr>
              <w:spacing w:line="259" w:lineRule="auto"/>
              <w:ind w:left="14"/>
              <w:jc w:val="center"/>
              <w:rPr>
                <w:b/>
                <w:sz w:val="18"/>
              </w:rPr>
            </w:pPr>
            <w:r w:rsidRPr="00944589">
              <w:rPr>
                <w:b/>
                <w:sz w:val="18"/>
                <w:szCs w:val="18"/>
              </w:rPr>
              <w:t>386872</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0E56B2" w14:textId="77777777" w:rsidR="004D4A28" w:rsidRPr="00364545" w:rsidRDefault="004D4A28" w:rsidP="00361368">
            <w:pPr>
              <w:spacing w:line="259" w:lineRule="auto"/>
              <w:ind w:left="14"/>
              <w:jc w:val="center"/>
              <w:rPr>
                <w:b/>
                <w:sz w:val="18"/>
              </w:rPr>
            </w:pPr>
            <w:r w:rsidRPr="00944589">
              <w:rPr>
                <w:b/>
                <w:sz w:val="18"/>
                <w:szCs w:val="18"/>
              </w:rPr>
              <w:t>341631</w:t>
            </w:r>
          </w:p>
        </w:tc>
        <w:tc>
          <w:tcPr>
            <w:tcW w:w="72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209359" w14:textId="77777777" w:rsidR="004D4A28" w:rsidRPr="00364545" w:rsidRDefault="004D4A28" w:rsidP="00361368">
            <w:pPr>
              <w:spacing w:line="259" w:lineRule="auto"/>
              <w:ind w:left="14"/>
              <w:jc w:val="center"/>
              <w:rPr>
                <w:b/>
                <w:sz w:val="18"/>
              </w:rPr>
            </w:pPr>
            <w:r w:rsidRPr="00944589">
              <w:rPr>
                <w:b/>
                <w:sz w:val="18"/>
                <w:szCs w:val="18"/>
              </w:rPr>
              <w:t>326725</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C1AF5F" w14:textId="77777777" w:rsidR="004D4A28" w:rsidRPr="00364545" w:rsidRDefault="004D4A28" w:rsidP="00361368">
            <w:pPr>
              <w:spacing w:line="259" w:lineRule="auto"/>
              <w:ind w:left="14"/>
              <w:jc w:val="center"/>
              <w:rPr>
                <w:b/>
                <w:sz w:val="18"/>
              </w:rPr>
            </w:pPr>
            <w:r w:rsidRPr="00364545">
              <w:rPr>
                <w:b/>
                <w:sz w:val="18"/>
              </w:rPr>
              <w:t>325</w:t>
            </w:r>
            <w:r w:rsidRPr="00364545">
              <w:rPr>
                <w:rFonts w:ascii="Calibri" w:hAnsi="Calibri"/>
                <w:b/>
                <w:sz w:val="18"/>
              </w:rPr>
              <w:t> </w:t>
            </w:r>
            <w:r w:rsidRPr="00364545">
              <w:rPr>
                <w:b/>
                <w:sz w:val="18"/>
              </w:rPr>
              <w:t>904</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71BB08" w14:textId="77777777" w:rsidR="004D4A28" w:rsidRPr="00364545" w:rsidRDefault="004D4A28" w:rsidP="00361368">
            <w:pPr>
              <w:spacing w:line="259" w:lineRule="auto"/>
              <w:ind w:left="14"/>
              <w:jc w:val="center"/>
              <w:rPr>
                <w:b/>
                <w:sz w:val="18"/>
              </w:rPr>
            </w:pPr>
            <w:r w:rsidRPr="00364545">
              <w:rPr>
                <w:b/>
                <w:sz w:val="18"/>
              </w:rPr>
              <w:t>273</w:t>
            </w:r>
            <w:r w:rsidRPr="00364545">
              <w:rPr>
                <w:rFonts w:ascii="Calibri" w:hAnsi="Calibri"/>
                <w:b/>
                <w:sz w:val="18"/>
              </w:rPr>
              <w:t> </w:t>
            </w:r>
            <w:r w:rsidRPr="00364545">
              <w:rPr>
                <w:b/>
                <w:sz w:val="18"/>
              </w:rPr>
              <w:t>167</w:t>
            </w:r>
          </w:p>
        </w:tc>
        <w:tc>
          <w:tcPr>
            <w:tcW w:w="7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2114D8" w14:textId="77777777" w:rsidR="004D4A28" w:rsidRPr="00364545" w:rsidRDefault="004D4A28" w:rsidP="00361368">
            <w:pPr>
              <w:spacing w:line="259" w:lineRule="auto"/>
              <w:ind w:left="14"/>
              <w:jc w:val="center"/>
              <w:rPr>
                <w:b/>
                <w:sz w:val="18"/>
              </w:rPr>
            </w:pPr>
            <w:r w:rsidRPr="00364545">
              <w:rPr>
                <w:b/>
                <w:sz w:val="18"/>
              </w:rPr>
              <w:t>220</w:t>
            </w:r>
            <w:r w:rsidRPr="00364545">
              <w:rPr>
                <w:rFonts w:ascii="Calibri" w:hAnsi="Calibri"/>
                <w:b/>
                <w:sz w:val="18"/>
              </w:rPr>
              <w:t> </w:t>
            </w:r>
            <w:r w:rsidRPr="00364545">
              <w:rPr>
                <w:b/>
                <w:sz w:val="18"/>
              </w:rPr>
              <w:t>992</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2994E2" w14:textId="77777777" w:rsidR="004D4A28" w:rsidRPr="00364545" w:rsidRDefault="004D4A28" w:rsidP="00361368">
            <w:pPr>
              <w:spacing w:line="259" w:lineRule="auto"/>
              <w:ind w:left="14"/>
              <w:jc w:val="center"/>
              <w:rPr>
                <w:b/>
                <w:sz w:val="18"/>
              </w:rPr>
            </w:pPr>
            <w:r w:rsidRPr="00364545">
              <w:rPr>
                <w:b/>
                <w:sz w:val="18"/>
              </w:rPr>
              <w:t>167</w:t>
            </w:r>
            <w:r w:rsidRPr="00364545">
              <w:rPr>
                <w:rFonts w:ascii="Calibri" w:hAnsi="Calibri"/>
                <w:b/>
                <w:sz w:val="18"/>
              </w:rPr>
              <w:t> </w:t>
            </w:r>
            <w:r w:rsidRPr="00364545">
              <w:rPr>
                <w:b/>
                <w:sz w:val="18"/>
              </w:rPr>
              <w:t>257</w:t>
            </w:r>
          </w:p>
        </w:tc>
        <w:tc>
          <w:tcPr>
            <w:tcW w:w="65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4189F4" w14:textId="77777777" w:rsidR="004D4A28" w:rsidRPr="00364545" w:rsidRDefault="004D4A28" w:rsidP="00361368">
            <w:pPr>
              <w:spacing w:line="259" w:lineRule="auto"/>
              <w:ind w:left="14"/>
              <w:jc w:val="center"/>
              <w:rPr>
                <w:b/>
                <w:sz w:val="18"/>
              </w:rPr>
            </w:pPr>
            <w:r w:rsidRPr="00364545">
              <w:rPr>
                <w:b/>
                <w:sz w:val="18"/>
              </w:rPr>
              <w:t>6</w:t>
            </w:r>
            <w:r w:rsidRPr="00364545">
              <w:rPr>
                <w:rFonts w:ascii="Calibri" w:hAnsi="Calibri"/>
                <w:b/>
                <w:sz w:val="18"/>
              </w:rPr>
              <w:t> </w:t>
            </w:r>
            <w:r w:rsidRPr="00364545">
              <w:rPr>
                <w:b/>
                <w:sz w:val="18"/>
              </w:rPr>
              <w:t>447</w:t>
            </w:r>
          </w:p>
        </w:tc>
      </w:tr>
      <w:tr w:rsidR="004D4A28" w:rsidRPr="00364545" w14:paraId="2BD21CB2" w14:textId="77777777" w:rsidTr="00361368">
        <w:trPr>
          <w:trHeight w:val="344"/>
        </w:trPr>
        <w:tc>
          <w:tcPr>
            <w:tcW w:w="1088" w:type="dxa"/>
            <w:tcBorders>
              <w:top w:val="single" w:sz="2" w:space="0" w:color="000000"/>
              <w:left w:val="single" w:sz="2" w:space="0" w:color="000000"/>
              <w:bottom w:val="single" w:sz="2" w:space="0" w:color="000000"/>
              <w:right w:val="single" w:sz="2" w:space="0" w:color="000000"/>
            </w:tcBorders>
          </w:tcPr>
          <w:p w14:paraId="23FE23A7" w14:textId="77777777" w:rsidR="004D4A28" w:rsidRPr="00364545" w:rsidRDefault="004D4A28" w:rsidP="00361368">
            <w:pPr>
              <w:spacing w:line="259" w:lineRule="auto"/>
            </w:pPr>
            <w:r>
              <w:rPr>
                <w:b/>
                <w:sz w:val="18"/>
              </w:rPr>
              <w:t xml:space="preserve">Ensemble (avec UTCF) </w:t>
            </w:r>
          </w:p>
        </w:tc>
        <w:tc>
          <w:tcPr>
            <w:tcW w:w="743" w:type="dxa"/>
            <w:tcBorders>
              <w:top w:val="single" w:sz="2" w:space="0" w:color="000000"/>
              <w:left w:val="single" w:sz="2" w:space="0" w:color="000000"/>
              <w:bottom w:val="single" w:sz="2" w:space="0" w:color="000000"/>
              <w:right w:val="single" w:sz="2" w:space="0" w:color="000000"/>
            </w:tcBorders>
            <w:vAlign w:val="center"/>
          </w:tcPr>
          <w:p w14:paraId="67AA8539" w14:textId="77777777" w:rsidR="004D4A28" w:rsidRPr="00364545" w:rsidRDefault="004D4A28" w:rsidP="00361368">
            <w:pPr>
              <w:spacing w:line="259" w:lineRule="auto"/>
              <w:ind w:left="14"/>
              <w:jc w:val="center"/>
              <w:rPr>
                <w:b/>
                <w:sz w:val="18"/>
              </w:rPr>
            </w:pPr>
            <w:r w:rsidRPr="00944589">
              <w:rPr>
                <w:b/>
                <w:sz w:val="18"/>
                <w:szCs w:val="18"/>
              </w:rPr>
              <w:t>370280</w:t>
            </w:r>
          </w:p>
        </w:tc>
        <w:tc>
          <w:tcPr>
            <w:tcW w:w="731" w:type="dxa"/>
            <w:tcBorders>
              <w:top w:val="single" w:sz="2" w:space="0" w:color="000000"/>
              <w:left w:val="single" w:sz="2" w:space="0" w:color="000000"/>
              <w:bottom w:val="single" w:sz="2" w:space="0" w:color="000000"/>
              <w:right w:val="single" w:sz="2" w:space="0" w:color="000000"/>
            </w:tcBorders>
            <w:vAlign w:val="center"/>
          </w:tcPr>
          <w:p w14:paraId="13C5C775" w14:textId="77777777" w:rsidR="004D4A28" w:rsidRPr="00364545" w:rsidRDefault="004D4A28" w:rsidP="00361368">
            <w:pPr>
              <w:spacing w:line="259" w:lineRule="auto"/>
              <w:ind w:left="14"/>
              <w:jc w:val="center"/>
              <w:rPr>
                <w:b/>
                <w:sz w:val="18"/>
              </w:rPr>
            </w:pPr>
            <w:r w:rsidRPr="00944589">
              <w:rPr>
                <w:b/>
                <w:sz w:val="18"/>
                <w:szCs w:val="18"/>
              </w:rPr>
              <w:t>361121</w:t>
            </w:r>
          </w:p>
        </w:tc>
        <w:tc>
          <w:tcPr>
            <w:tcW w:w="743" w:type="dxa"/>
            <w:tcBorders>
              <w:top w:val="single" w:sz="2" w:space="0" w:color="000000"/>
              <w:left w:val="single" w:sz="2" w:space="0" w:color="000000"/>
              <w:bottom w:val="single" w:sz="2" w:space="0" w:color="000000"/>
              <w:right w:val="single" w:sz="2" w:space="0" w:color="000000"/>
            </w:tcBorders>
            <w:vAlign w:val="center"/>
          </w:tcPr>
          <w:p w14:paraId="25818EA0" w14:textId="77777777" w:rsidR="004D4A28" w:rsidRPr="00364545" w:rsidRDefault="004D4A28" w:rsidP="00361368">
            <w:pPr>
              <w:spacing w:line="259" w:lineRule="auto"/>
              <w:ind w:left="14"/>
              <w:jc w:val="center"/>
              <w:rPr>
                <w:b/>
                <w:sz w:val="18"/>
              </w:rPr>
            </w:pPr>
            <w:r w:rsidRPr="00944589">
              <w:rPr>
                <w:b/>
                <w:sz w:val="18"/>
                <w:szCs w:val="18"/>
              </w:rPr>
              <w:t>390194</w:t>
            </w:r>
          </w:p>
        </w:tc>
        <w:tc>
          <w:tcPr>
            <w:tcW w:w="735" w:type="dxa"/>
            <w:tcBorders>
              <w:top w:val="single" w:sz="2" w:space="0" w:color="000000"/>
              <w:left w:val="single" w:sz="2" w:space="0" w:color="000000"/>
              <w:bottom w:val="single" w:sz="2" w:space="0" w:color="000000"/>
              <w:right w:val="single" w:sz="2" w:space="0" w:color="000000"/>
            </w:tcBorders>
            <w:vAlign w:val="center"/>
          </w:tcPr>
          <w:p w14:paraId="76494FA9" w14:textId="77777777" w:rsidR="004D4A28" w:rsidRPr="00364545" w:rsidRDefault="004D4A28" w:rsidP="00361368">
            <w:pPr>
              <w:spacing w:line="259" w:lineRule="auto"/>
              <w:ind w:left="14"/>
              <w:jc w:val="center"/>
              <w:rPr>
                <w:b/>
                <w:sz w:val="18"/>
              </w:rPr>
            </w:pPr>
            <w:r w:rsidRPr="00944589">
              <w:rPr>
                <w:b/>
                <w:sz w:val="18"/>
                <w:szCs w:val="18"/>
              </w:rPr>
              <w:t>373972</w:t>
            </w:r>
          </w:p>
        </w:tc>
        <w:tc>
          <w:tcPr>
            <w:tcW w:w="743" w:type="dxa"/>
            <w:tcBorders>
              <w:top w:val="single" w:sz="2" w:space="0" w:color="000000"/>
              <w:left w:val="single" w:sz="2" w:space="0" w:color="000000"/>
              <w:bottom w:val="single" w:sz="2" w:space="0" w:color="000000"/>
              <w:right w:val="single" w:sz="2" w:space="0" w:color="000000"/>
            </w:tcBorders>
            <w:vAlign w:val="center"/>
          </w:tcPr>
          <w:p w14:paraId="758207CB" w14:textId="77777777" w:rsidR="004D4A28" w:rsidRPr="00364545" w:rsidRDefault="004D4A28" w:rsidP="00361368">
            <w:pPr>
              <w:spacing w:line="259" w:lineRule="auto"/>
              <w:ind w:left="14"/>
              <w:jc w:val="center"/>
              <w:rPr>
                <w:b/>
                <w:sz w:val="18"/>
              </w:rPr>
            </w:pPr>
            <w:r w:rsidRPr="00944589">
              <w:rPr>
                <w:b/>
                <w:sz w:val="18"/>
                <w:szCs w:val="18"/>
              </w:rPr>
              <w:t>344171</w:t>
            </w:r>
          </w:p>
        </w:tc>
        <w:tc>
          <w:tcPr>
            <w:tcW w:w="743" w:type="dxa"/>
            <w:tcBorders>
              <w:top w:val="single" w:sz="2" w:space="0" w:color="000000"/>
              <w:left w:val="single" w:sz="2" w:space="0" w:color="000000"/>
              <w:bottom w:val="single" w:sz="2" w:space="0" w:color="000000"/>
              <w:right w:val="single" w:sz="2" w:space="0" w:color="000000"/>
            </w:tcBorders>
            <w:vAlign w:val="center"/>
          </w:tcPr>
          <w:p w14:paraId="1871EB43" w14:textId="77777777" w:rsidR="004D4A28" w:rsidRPr="00364545" w:rsidRDefault="004D4A28" w:rsidP="00361368">
            <w:pPr>
              <w:spacing w:line="259" w:lineRule="auto"/>
              <w:ind w:left="14"/>
              <w:jc w:val="center"/>
              <w:rPr>
                <w:b/>
                <w:sz w:val="18"/>
              </w:rPr>
            </w:pPr>
            <w:r w:rsidRPr="00944589">
              <w:rPr>
                <w:b/>
                <w:sz w:val="18"/>
                <w:szCs w:val="18"/>
              </w:rPr>
              <w:t>303032</w:t>
            </w:r>
          </w:p>
        </w:tc>
        <w:tc>
          <w:tcPr>
            <w:tcW w:w="721" w:type="dxa"/>
            <w:tcBorders>
              <w:top w:val="single" w:sz="2" w:space="0" w:color="000000"/>
              <w:left w:val="single" w:sz="2" w:space="0" w:color="000000"/>
              <w:bottom w:val="single" w:sz="2" w:space="0" w:color="000000"/>
              <w:right w:val="single" w:sz="2" w:space="0" w:color="000000"/>
            </w:tcBorders>
            <w:vAlign w:val="center"/>
          </w:tcPr>
          <w:p w14:paraId="655B2E32" w14:textId="77777777" w:rsidR="004D4A28" w:rsidRPr="00364545" w:rsidRDefault="004D4A28" w:rsidP="00361368">
            <w:pPr>
              <w:spacing w:line="259" w:lineRule="auto"/>
              <w:ind w:left="14"/>
              <w:jc w:val="center"/>
              <w:rPr>
                <w:b/>
                <w:sz w:val="18"/>
              </w:rPr>
            </w:pPr>
            <w:r w:rsidRPr="00944589">
              <w:rPr>
                <w:b/>
                <w:sz w:val="18"/>
                <w:szCs w:val="18"/>
              </w:rPr>
              <w:t>310432</w:t>
            </w:r>
          </w:p>
        </w:tc>
        <w:tc>
          <w:tcPr>
            <w:tcW w:w="764" w:type="dxa"/>
            <w:tcBorders>
              <w:top w:val="single" w:sz="2" w:space="0" w:color="000000"/>
              <w:left w:val="single" w:sz="2" w:space="0" w:color="000000"/>
              <w:bottom w:val="single" w:sz="2" w:space="0" w:color="000000"/>
              <w:right w:val="single" w:sz="2" w:space="0" w:color="000000"/>
            </w:tcBorders>
            <w:vAlign w:val="center"/>
          </w:tcPr>
          <w:p w14:paraId="76083197" w14:textId="77777777" w:rsidR="004D4A28" w:rsidRPr="00364545" w:rsidRDefault="004D4A28" w:rsidP="00361368">
            <w:pPr>
              <w:spacing w:line="259" w:lineRule="auto"/>
              <w:ind w:left="14"/>
              <w:jc w:val="center"/>
              <w:rPr>
                <w:b/>
                <w:sz w:val="18"/>
              </w:rPr>
            </w:pPr>
            <w:r w:rsidRPr="00364545">
              <w:rPr>
                <w:b/>
                <w:sz w:val="18"/>
              </w:rPr>
              <w:t>282</w:t>
            </w:r>
            <w:r w:rsidRPr="00364545">
              <w:rPr>
                <w:rFonts w:ascii="Calibri" w:hAnsi="Calibri"/>
                <w:b/>
                <w:sz w:val="18"/>
              </w:rPr>
              <w:t> </w:t>
            </w:r>
            <w:r w:rsidRPr="00364545">
              <w:rPr>
                <w:b/>
                <w:sz w:val="18"/>
              </w:rPr>
              <w:t>686</w:t>
            </w:r>
          </w:p>
        </w:tc>
        <w:tc>
          <w:tcPr>
            <w:tcW w:w="764" w:type="dxa"/>
            <w:tcBorders>
              <w:top w:val="single" w:sz="2" w:space="0" w:color="000000"/>
              <w:left w:val="single" w:sz="2" w:space="0" w:color="000000"/>
              <w:bottom w:val="single" w:sz="2" w:space="0" w:color="000000"/>
              <w:right w:val="single" w:sz="2" w:space="0" w:color="000000"/>
            </w:tcBorders>
            <w:vAlign w:val="center"/>
          </w:tcPr>
          <w:p w14:paraId="3363709B" w14:textId="77777777" w:rsidR="004D4A28" w:rsidRPr="00364545" w:rsidRDefault="004D4A28" w:rsidP="00361368">
            <w:pPr>
              <w:spacing w:line="259" w:lineRule="auto"/>
              <w:ind w:left="14"/>
              <w:jc w:val="center"/>
              <w:rPr>
                <w:b/>
                <w:sz w:val="18"/>
              </w:rPr>
            </w:pPr>
            <w:r w:rsidRPr="00364545">
              <w:rPr>
                <w:b/>
                <w:sz w:val="18"/>
              </w:rPr>
              <w:t>231</w:t>
            </w:r>
            <w:r w:rsidRPr="00364545">
              <w:rPr>
                <w:rFonts w:ascii="Calibri" w:hAnsi="Calibri"/>
                <w:b/>
                <w:sz w:val="18"/>
              </w:rPr>
              <w:t> </w:t>
            </w:r>
            <w:r w:rsidRPr="00364545">
              <w:rPr>
                <w:b/>
                <w:sz w:val="18"/>
              </w:rPr>
              <w:t>264</w:t>
            </w:r>
          </w:p>
        </w:tc>
        <w:tc>
          <w:tcPr>
            <w:tcW w:w="764" w:type="dxa"/>
            <w:tcBorders>
              <w:top w:val="single" w:sz="2" w:space="0" w:color="000000"/>
              <w:left w:val="single" w:sz="2" w:space="0" w:color="000000"/>
              <w:bottom w:val="single" w:sz="2" w:space="0" w:color="000000"/>
              <w:right w:val="single" w:sz="2" w:space="0" w:color="000000"/>
            </w:tcBorders>
            <w:vAlign w:val="center"/>
          </w:tcPr>
          <w:p w14:paraId="08E3C2CD" w14:textId="77777777" w:rsidR="004D4A28" w:rsidRPr="00364545" w:rsidRDefault="004D4A28" w:rsidP="00361368">
            <w:pPr>
              <w:spacing w:line="259" w:lineRule="auto"/>
              <w:ind w:left="14"/>
              <w:jc w:val="center"/>
              <w:rPr>
                <w:b/>
                <w:sz w:val="18"/>
              </w:rPr>
            </w:pPr>
            <w:r w:rsidRPr="00364545">
              <w:rPr>
                <w:b/>
                <w:sz w:val="18"/>
              </w:rPr>
              <w:t>176</w:t>
            </w:r>
            <w:r w:rsidRPr="00364545">
              <w:rPr>
                <w:rFonts w:ascii="Calibri" w:hAnsi="Calibri"/>
                <w:b/>
                <w:sz w:val="18"/>
              </w:rPr>
              <w:t> </w:t>
            </w:r>
            <w:r w:rsidRPr="00364545">
              <w:rPr>
                <w:b/>
                <w:sz w:val="18"/>
              </w:rPr>
              <w:t>617</w:t>
            </w:r>
          </w:p>
        </w:tc>
        <w:tc>
          <w:tcPr>
            <w:tcW w:w="743" w:type="dxa"/>
            <w:tcBorders>
              <w:top w:val="single" w:sz="2" w:space="0" w:color="000000"/>
              <w:left w:val="single" w:sz="2" w:space="0" w:color="000000"/>
              <w:bottom w:val="single" w:sz="2" w:space="0" w:color="000000"/>
              <w:right w:val="single" w:sz="2" w:space="0" w:color="000000"/>
            </w:tcBorders>
            <w:vAlign w:val="center"/>
          </w:tcPr>
          <w:p w14:paraId="24B4F9CE" w14:textId="77777777" w:rsidR="004D4A28" w:rsidRPr="00364545" w:rsidRDefault="004D4A28" w:rsidP="00361368">
            <w:pPr>
              <w:spacing w:line="259" w:lineRule="auto"/>
              <w:ind w:left="14"/>
              <w:jc w:val="center"/>
              <w:rPr>
                <w:b/>
                <w:sz w:val="18"/>
              </w:rPr>
            </w:pPr>
            <w:r w:rsidRPr="00364545">
              <w:rPr>
                <w:b/>
                <w:sz w:val="18"/>
              </w:rPr>
              <w:t>117</w:t>
            </w:r>
            <w:r w:rsidRPr="00364545">
              <w:rPr>
                <w:rFonts w:ascii="Calibri" w:hAnsi="Calibri"/>
                <w:b/>
                <w:sz w:val="18"/>
              </w:rPr>
              <w:t> </w:t>
            </w:r>
            <w:r w:rsidRPr="00364545">
              <w:rPr>
                <w:b/>
                <w:sz w:val="18"/>
              </w:rPr>
              <w:t>863</w:t>
            </w:r>
          </w:p>
        </w:tc>
        <w:tc>
          <w:tcPr>
            <w:tcW w:w="652" w:type="dxa"/>
            <w:tcBorders>
              <w:top w:val="single" w:sz="2" w:space="0" w:color="000000"/>
              <w:left w:val="single" w:sz="2" w:space="0" w:color="000000"/>
              <w:bottom w:val="single" w:sz="2" w:space="0" w:color="000000"/>
              <w:right w:val="single" w:sz="2" w:space="0" w:color="000000"/>
            </w:tcBorders>
            <w:vAlign w:val="center"/>
          </w:tcPr>
          <w:p w14:paraId="4DE02AAD" w14:textId="77777777" w:rsidR="004D4A28" w:rsidRPr="00364545" w:rsidRDefault="004D4A28" w:rsidP="00361368">
            <w:pPr>
              <w:spacing w:line="259" w:lineRule="auto"/>
              <w:ind w:left="14"/>
              <w:jc w:val="center"/>
              <w:rPr>
                <w:b/>
                <w:sz w:val="18"/>
              </w:rPr>
            </w:pPr>
            <w:r w:rsidRPr="00364545">
              <w:rPr>
                <w:b/>
                <w:sz w:val="18"/>
              </w:rPr>
              <w:t>-64</w:t>
            </w:r>
            <w:r w:rsidRPr="00364545">
              <w:rPr>
                <w:rFonts w:ascii="Calibri" w:hAnsi="Calibri"/>
                <w:b/>
                <w:sz w:val="18"/>
              </w:rPr>
              <w:t> </w:t>
            </w:r>
            <w:r w:rsidRPr="00364545">
              <w:rPr>
                <w:b/>
                <w:sz w:val="18"/>
              </w:rPr>
              <w:t>813</w:t>
            </w:r>
          </w:p>
        </w:tc>
      </w:tr>
    </w:tbl>
    <w:p w14:paraId="36A39715" w14:textId="77777777" w:rsidR="004D4A28" w:rsidRDefault="004D4A28" w:rsidP="004D4A28"/>
    <w:p w14:paraId="3CE7BFDE" w14:textId="77777777" w:rsidR="004D4A28" w:rsidRDefault="004D4A28" w:rsidP="004D4A28">
      <w:pPr>
        <w:pStyle w:val="Caption"/>
      </w:pPr>
      <w:bookmarkStart w:id="167" w:name="_Toc123916518"/>
      <w:r>
        <w:t xml:space="preserve">Tableau </w:t>
      </w:r>
      <w:r w:rsidR="00757301">
        <w:fldChar w:fldCharType="begin"/>
      </w:r>
      <w:r w:rsidR="00757301">
        <w:instrText xml:space="preserve"> SEQ Tableau \* ARABIC </w:instrText>
      </w:r>
      <w:r w:rsidR="00757301">
        <w:fldChar w:fldCharType="separate"/>
      </w:r>
      <w:r>
        <w:rPr>
          <w:noProof/>
        </w:rPr>
        <w:t>26</w:t>
      </w:r>
      <w:r w:rsidR="00757301">
        <w:rPr>
          <w:noProof/>
        </w:rPr>
        <w:fldChar w:fldCharType="end"/>
      </w:r>
      <w:r>
        <w:t xml:space="preserve"> : </w:t>
      </w:r>
      <w:r w:rsidRPr="0040503C">
        <w:t xml:space="preserve">Projections d’émissions de </w:t>
      </w:r>
      <w:r>
        <w:t>CO</w:t>
      </w:r>
      <w:r w:rsidRPr="007F09F7">
        <w:rPr>
          <w:vertAlign w:val="subscript"/>
        </w:rPr>
        <w:t>2</w:t>
      </w:r>
      <w:r w:rsidRPr="0040503C">
        <w:t xml:space="preserve"> (en </w:t>
      </w:r>
      <w:r w:rsidRPr="00590551">
        <w:t>kt</w:t>
      </w:r>
      <w:r>
        <w:t>CO</w:t>
      </w:r>
      <w:r w:rsidRPr="007F09F7">
        <w:rPr>
          <w:vertAlign w:val="subscript"/>
        </w:rPr>
        <w:t>2</w:t>
      </w:r>
      <w:r w:rsidRPr="0040503C">
        <w:rPr>
          <w:vertAlign w:val="subscript"/>
        </w:rPr>
        <w:t>e</w:t>
      </w:r>
      <w:r w:rsidRPr="0040503C">
        <w:t xml:space="preserve">) au périmètre Kyoto dans le scénario </w:t>
      </w:r>
      <w:r>
        <w:t>AMS 2018</w:t>
      </w:r>
      <w:r w:rsidRPr="0040503C">
        <w:t xml:space="preserve"> (avec mesures </w:t>
      </w:r>
      <w:r>
        <w:t>supplémentaires</w:t>
      </w:r>
      <w:r w:rsidRPr="0040503C">
        <w:t>)</w:t>
      </w:r>
      <w:bookmarkEnd w:id="167"/>
    </w:p>
    <w:p w14:paraId="21B88D2E" w14:textId="77777777" w:rsidR="004D4A28" w:rsidRPr="006E15FD" w:rsidRDefault="004D4A28" w:rsidP="004D4A28">
      <w:pPr>
        <w:pStyle w:val="Caption"/>
      </w:pPr>
      <w:r w:rsidRPr="006E15FD">
        <w:t>Source : Inventaire CCNUCC, Citepa/MTE, soumission 20</w:t>
      </w:r>
      <w:r>
        <w:t>22</w:t>
      </w:r>
      <w:r w:rsidRPr="006E15FD">
        <w:t xml:space="preserve"> et projections d’émissions MTE, 20</w:t>
      </w:r>
      <w:r>
        <w:t>18</w:t>
      </w:r>
    </w:p>
    <w:p w14:paraId="400CD5E8" w14:textId="77777777" w:rsidR="004D4A28" w:rsidRDefault="004D4A28" w:rsidP="004D4A28"/>
    <w:p w14:paraId="477707F6" w14:textId="77777777" w:rsidR="004D4A28" w:rsidRPr="00364545" w:rsidRDefault="004D4A28" w:rsidP="004D4A28"/>
    <w:tbl>
      <w:tblPr>
        <w:tblStyle w:val="TableGrid0"/>
        <w:tblW w:w="10683" w:type="dxa"/>
        <w:tblInd w:w="10" w:type="dxa"/>
        <w:tblLayout w:type="fixed"/>
        <w:tblCellMar>
          <w:top w:w="39" w:type="dxa"/>
          <w:left w:w="28" w:type="dxa"/>
          <w:bottom w:w="2" w:type="dxa"/>
          <w:right w:w="48" w:type="dxa"/>
        </w:tblCellMar>
        <w:tblLook w:val="04A0" w:firstRow="1" w:lastRow="0" w:firstColumn="1" w:lastColumn="0" w:noHBand="0" w:noVBand="1"/>
      </w:tblPr>
      <w:tblGrid>
        <w:gridCol w:w="1405"/>
        <w:gridCol w:w="773"/>
        <w:gridCol w:w="773"/>
        <w:gridCol w:w="773"/>
        <w:gridCol w:w="773"/>
        <w:gridCol w:w="773"/>
        <w:gridCol w:w="774"/>
        <w:gridCol w:w="773"/>
        <w:gridCol w:w="773"/>
        <w:gridCol w:w="773"/>
        <w:gridCol w:w="773"/>
        <w:gridCol w:w="773"/>
        <w:gridCol w:w="774"/>
      </w:tblGrid>
      <w:tr w:rsidR="004D4A28" w:rsidRPr="00364545" w14:paraId="3F520A2B" w14:textId="77777777" w:rsidTr="00361368">
        <w:trPr>
          <w:trHeight w:val="402"/>
        </w:trPr>
        <w:tc>
          <w:tcPr>
            <w:tcW w:w="1405" w:type="dxa"/>
            <w:tcBorders>
              <w:top w:val="single" w:sz="2" w:space="0" w:color="000000"/>
              <w:left w:val="single" w:sz="2" w:space="0" w:color="000000"/>
              <w:bottom w:val="single" w:sz="2" w:space="0" w:color="000000"/>
              <w:right w:val="single" w:sz="2" w:space="0" w:color="000000"/>
            </w:tcBorders>
            <w:shd w:val="clear" w:color="auto" w:fill="6D2A78"/>
          </w:tcPr>
          <w:p w14:paraId="3C794AAC" w14:textId="77777777" w:rsidR="004D4A28" w:rsidRPr="00364545" w:rsidRDefault="004D4A28" w:rsidP="00361368">
            <w:pPr>
              <w:spacing w:line="259" w:lineRule="auto"/>
              <w:ind w:left="67"/>
              <w:jc w:val="left"/>
            </w:pPr>
            <w:r w:rsidRPr="00364545">
              <w:t>AMS 18 – CH</w:t>
            </w:r>
            <w:r w:rsidRPr="00364545">
              <w:rPr>
                <w:vertAlign w:val="subscript"/>
              </w:rPr>
              <w:t>4</w:t>
            </w:r>
            <w:r w:rsidRPr="00364545">
              <w:t xml:space="preserve">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14328E51" w14:textId="77777777" w:rsidR="004D4A28" w:rsidRPr="00364545" w:rsidRDefault="004D4A28" w:rsidP="00361368">
            <w:pPr>
              <w:spacing w:line="259" w:lineRule="auto"/>
              <w:ind w:left="19"/>
              <w:jc w:val="center"/>
            </w:pPr>
            <w:r w:rsidRPr="00364545">
              <w:rPr>
                <w:b/>
                <w:color w:val="FFFFFF"/>
                <w:sz w:val="18"/>
              </w:rPr>
              <w:t xml:space="preserve">1990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728A6721" w14:textId="77777777" w:rsidR="004D4A28" w:rsidRPr="00364545" w:rsidRDefault="004D4A28" w:rsidP="00361368">
            <w:pPr>
              <w:spacing w:line="259" w:lineRule="auto"/>
              <w:ind w:left="21"/>
              <w:jc w:val="center"/>
              <w:rPr>
                <w:b/>
                <w:color w:val="FFFFFF"/>
                <w:sz w:val="18"/>
              </w:rPr>
            </w:pPr>
            <w:r w:rsidRPr="00364545">
              <w:rPr>
                <w:b/>
                <w:color w:val="FFFFFF"/>
                <w:sz w:val="18"/>
              </w:rPr>
              <w:t>1995</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42A3558C" w14:textId="77777777" w:rsidR="004D4A28" w:rsidRPr="00364545" w:rsidRDefault="004D4A28" w:rsidP="00361368">
            <w:pPr>
              <w:spacing w:line="259" w:lineRule="auto"/>
              <w:ind w:left="21"/>
              <w:jc w:val="center"/>
            </w:pPr>
            <w:r w:rsidRPr="00364545">
              <w:rPr>
                <w:b/>
                <w:color w:val="FFFFFF"/>
                <w:sz w:val="18"/>
              </w:rPr>
              <w:t xml:space="preserve">2000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0F15BFBE" w14:textId="77777777" w:rsidR="004D4A28" w:rsidRPr="00364545" w:rsidRDefault="004D4A28" w:rsidP="00361368">
            <w:pPr>
              <w:spacing w:line="259" w:lineRule="auto"/>
              <w:ind w:left="19"/>
              <w:jc w:val="center"/>
            </w:pPr>
            <w:r w:rsidRPr="00364545">
              <w:rPr>
                <w:b/>
                <w:color w:val="FFFFFF"/>
                <w:sz w:val="18"/>
              </w:rPr>
              <w:t xml:space="preserve">2005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5069945E" w14:textId="77777777" w:rsidR="004D4A28" w:rsidRPr="00364545" w:rsidRDefault="004D4A28" w:rsidP="00361368">
            <w:pPr>
              <w:spacing w:line="259" w:lineRule="auto"/>
              <w:ind w:left="21"/>
              <w:jc w:val="center"/>
            </w:pPr>
            <w:r w:rsidRPr="00364545">
              <w:rPr>
                <w:b/>
                <w:color w:val="FFFFFF"/>
                <w:sz w:val="18"/>
              </w:rPr>
              <w:t xml:space="preserve">2010 </w:t>
            </w:r>
          </w:p>
        </w:tc>
        <w:tc>
          <w:tcPr>
            <w:tcW w:w="774" w:type="dxa"/>
            <w:tcBorders>
              <w:top w:val="single" w:sz="2" w:space="0" w:color="000000"/>
              <w:left w:val="single" w:sz="2" w:space="0" w:color="000000"/>
              <w:bottom w:val="single" w:sz="2" w:space="0" w:color="000000"/>
              <w:right w:val="single" w:sz="2" w:space="0" w:color="000000"/>
            </w:tcBorders>
            <w:shd w:val="clear" w:color="auto" w:fill="6D2A78"/>
          </w:tcPr>
          <w:p w14:paraId="7D6DCAC3" w14:textId="77777777" w:rsidR="004D4A28" w:rsidRPr="00364545" w:rsidRDefault="004D4A28" w:rsidP="00361368">
            <w:pPr>
              <w:spacing w:line="259" w:lineRule="auto"/>
              <w:ind w:left="19"/>
              <w:jc w:val="center"/>
            </w:pPr>
            <w:r w:rsidRPr="00364545">
              <w:rPr>
                <w:b/>
                <w:color w:val="FFFFFF"/>
                <w:sz w:val="18"/>
              </w:rPr>
              <w:t xml:space="preserve">2015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78089B44" w14:textId="77777777" w:rsidR="004D4A28" w:rsidRPr="00364545" w:rsidRDefault="004D4A28" w:rsidP="00361368">
            <w:pPr>
              <w:spacing w:line="259" w:lineRule="auto"/>
              <w:ind w:left="21"/>
              <w:jc w:val="center"/>
              <w:rPr>
                <w:b/>
                <w:color w:val="FFFFFF"/>
                <w:sz w:val="18"/>
              </w:rPr>
            </w:pPr>
            <w:r>
              <w:rPr>
                <w:b/>
                <w:color w:val="FFFFFF"/>
                <w:sz w:val="18"/>
              </w:rPr>
              <w:t>2019</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7D39666D" w14:textId="77777777" w:rsidR="004D4A28" w:rsidRPr="00364545" w:rsidRDefault="004D4A28" w:rsidP="00361368">
            <w:pPr>
              <w:spacing w:line="259" w:lineRule="auto"/>
              <w:ind w:left="21"/>
              <w:jc w:val="center"/>
            </w:pPr>
            <w:r w:rsidRPr="00364545">
              <w:rPr>
                <w:b/>
                <w:color w:val="FFFFFF"/>
                <w:sz w:val="18"/>
              </w:rPr>
              <w:t xml:space="preserve">2020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1E1B6500" w14:textId="77777777" w:rsidR="004D4A28" w:rsidRPr="00364545" w:rsidRDefault="004D4A28" w:rsidP="00361368">
            <w:pPr>
              <w:spacing w:line="259" w:lineRule="auto"/>
              <w:ind w:left="19"/>
              <w:jc w:val="center"/>
            </w:pPr>
            <w:r w:rsidRPr="00364545">
              <w:rPr>
                <w:b/>
                <w:color w:val="FFFFFF"/>
                <w:sz w:val="18"/>
              </w:rPr>
              <w:t xml:space="preserve">2025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1BFE7F27" w14:textId="77777777" w:rsidR="004D4A28" w:rsidRPr="00364545" w:rsidRDefault="004D4A28" w:rsidP="00361368">
            <w:pPr>
              <w:spacing w:line="259" w:lineRule="auto"/>
              <w:ind w:left="21"/>
              <w:jc w:val="center"/>
            </w:pPr>
            <w:r w:rsidRPr="00364545">
              <w:rPr>
                <w:b/>
                <w:color w:val="FFFFFF"/>
                <w:sz w:val="18"/>
              </w:rPr>
              <w:t xml:space="preserve">2030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0D60BFF5" w14:textId="77777777" w:rsidR="004D4A28" w:rsidRPr="00364545" w:rsidRDefault="004D4A28" w:rsidP="00361368">
            <w:pPr>
              <w:spacing w:line="259" w:lineRule="auto"/>
              <w:ind w:left="20"/>
              <w:jc w:val="center"/>
            </w:pPr>
            <w:r w:rsidRPr="00364545">
              <w:rPr>
                <w:b/>
                <w:color w:val="FFFFFF"/>
                <w:sz w:val="18"/>
              </w:rPr>
              <w:t xml:space="preserve">2035 </w:t>
            </w:r>
          </w:p>
        </w:tc>
        <w:tc>
          <w:tcPr>
            <w:tcW w:w="774" w:type="dxa"/>
            <w:tcBorders>
              <w:top w:val="single" w:sz="2" w:space="0" w:color="000000"/>
              <w:left w:val="single" w:sz="2" w:space="0" w:color="000000"/>
              <w:bottom w:val="single" w:sz="2" w:space="0" w:color="000000"/>
              <w:right w:val="single" w:sz="2" w:space="0" w:color="000000"/>
            </w:tcBorders>
            <w:shd w:val="clear" w:color="auto" w:fill="6D2A78"/>
          </w:tcPr>
          <w:p w14:paraId="53B0C3BD" w14:textId="77777777" w:rsidR="004D4A28" w:rsidRPr="00364545" w:rsidRDefault="004D4A28" w:rsidP="00361368">
            <w:pPr>
              <w:spacing w:line="259" w:lineRule="auto"/>
              <w:ind w:left="20"/>
              <w:jc w:val="center"/>
              <w:rPr>
                <w:b/>
                <w:color w:val="FFFFFF"/>
                <w:sz w:val="18"/>
              </w:rPr>
            </w:pPr>
            <w:r w:rsidRPr="00364545">
              <w:rPr>
                <w:b/>
                <w:color w:val="FFFFFF"/>
                <w:sz w:val="18"/>
              </w:rPr>
              <w:t>2050</w:t>
            </w:r>
          </w:p>
        </w:tc>
      </w:tr>
      <w:tr w:rsidR="004D4A28" w:rsidRPr="00364545" w14:paraId="37465ED3"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tcPr>
          <w:p w14:paraId="495CEBA9" w14:textId="77777777" w:rsidR="004D4A28" w:rsidRPr="00364545" w:rsidRDefault="004D4A28" w:rsidP="00361368">
            <w:pPr>
              <w:spacing w:line="259" w:lineRule="auto"/>
            </w:pPr>
            <w:r>
              <w:rPr>
                <w:sz w:val="18"/>
              </w:rPr>
              <w:t xml:space="preserve">Energie </w:t>
            </w:r>
          </w:p>
        </w:tc>
        <w:tc>
          <w:tcPr>
            <w:tcW w:w="773" w:type="dxa"/>
            <w:tcBorders>
              <w:top w:val="single" w:sz="2" w:space="0" w:color="000000"/>
              <w:left w:val="single" w:sz="2" w:space="0" w:color="000000"/>
              <w:bottom w:val="single" w:sz="2" w:space="0" w:color="000000"/>
              <w:right w:val="single" w:sz="2" w:space="0" w:color="000000"/>
            </w:tcBorders>
            <w:vAlign w:val="center"/>
          </w:tcPr>
          <w:p w14:paraId="0CC99CA5"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12404</w:t>
            </w:r>
          </w:p>
        </w:tc>
        <w:tc>
          <w:tcPr>
            <w:tcW w:w="773" w:type="dxa"/>
            <w:tcBorders>
              <w:top w:val="single" w:sz="2" w:space="0" w:color="000000"/>
              <w:left w:val="single" w:sz="2" w:space="0" w:color="000000"/>
              <w:bottom w:val="single" w:sz="2" w:space="0" w:color="000000"/>
              <w:right w:val="single" w:sz="2" w:space="0" w:color="000000"/>
            </w:tcBorders>
            <w:vAlign w:val="center"/>
          </w:tcPr>
          <w:p w14:paraId="2D8B2F26"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11918</w:t>
            </w:r>
          </w:p>
        </w:tc>
        <w:tc>
          <w:tcPr>
            <w:tcW w:w="773" w:type="dxa"/>
            <w:tcBorders>
              <w:top w:val="single" w:sz="2" w:space="0" w:color="000000"/>
              <w:left w:val="single" w:sz="2" w:space="0" w:color="000000"/>
              <w:bottom w:val="single" w:sz="2" w:space="0" w:color="000000"/>
              <w:right w:val="single" w:sz="2" w:space="0" w:color="000000"/>
            </w:tcBorders>
            <w:vAlign w:val="center"/>
          </w:tcPr>
          <w:p w14:paraId="4F9C8A0A"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7568</w:t>
            </w:r>
          </w:p>
        </w:tc>
        <w:tc>
          <w:tcPr>
            <w:tcW w:w="773" w:type="dxa"/>
            <w:tcBorders>
              <w:top w:val="single" w:sz="2" w:space="0" w:color="000000"/>
              <w:left w:val="single" w:sz="2" w:space="0" w:color="000000"/>
              <w:bottom w:val="single" w:sz="2" w:space="0" w:color="000000"/>
              <w:right w:val="single" w:sz="2" w:space="0" w:color="000000"/>
            </w:tcBorders>
            <w:vAlign w:val="center"/>
          </w:tcPr>
          <w:p w14:paraId="4368752E"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4922</w:t>
            </w:r>
          </w:p>
        </w:tc>
        <w:tc>
          <w:tcPr>
            <w:tcW w:w="773" w:type="dxa"/>
            <w:tcBorders>
              <w:top w:val="single" w:sz="2" w:space="0" w:color="000000"/>
              <w:left w:val="single" w:sz="2" w:space="0" w:color="000000"/>
              <w:bottom w:val="single" w:sz="2" w:space="0" w:color="000000"/>
              <w:right w:val="single" w:sz="2" w:space="0" w:color="000000"/>
            </w:tcBorders>
            <w:vAlign w:val="center"/>
          </w:tcPr>
          <w:p w14:paraId="19642D7F"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3704</w:t>
            </w:r>
          </w:p>
        </w:tc>
        <w:tc>
          <w:tcPr>
            <w:tcW w:w="774" w:type="dxa"/>
            <w:tcBorders>
              <w:top w:val="single" w:sz="2" w:space="0" w:color="000000"/>
              <w:left w:val="single" w:sz="2" w:space="0" w:color="000000"/>
              <w:bottom w:val="single" w:sz="2" w:space="0" w:color="000000"/>
              <w:right w:val="single" w:sz="2" w:space="0" w:color="000000"/>
            </w:tcBorders>
            <w:vAlign w:val="center"/>
          </w:tcPr>
          <w:p w14:paraId="33321510"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2743</w:t>
            </w:r>
          </w:p>
        </w:tc>
        <w:tc>
          <w:tcPr>
            <w:tcW w:w="773" w:type="dxa"/>
            <w:tcBorders>
              <w:top w:val="single" w:sz="2" w:space="0" w:color="000000"/>
              <w:left w:val="single" w:sz="2" w:space="0" w:color="000000"/>
              <w:bottom w:val="single" w:sz="2" w:space="0" w:color="000000"/>
              <w:right w:val="single" w:sz="2" w:space="0" w:color="000000"/>
            </w:tcBorders>
            <w:vAlign w:val="center"/>
          </w:tcPr>
          <w:p w14:paraId="235EDBEF"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2398</w:t>
            </w:r>
          </w:p>
        </w:tc>
        <w:tc>
          <w:tcPr>
            <w:tcW w:w="773" w:type="dxa"/>
            <w:tcBorders>
              <w:top w:val="single" w:sz="2" w:space="0" w:color="000000"/>
              <w:left w:val="single" w:sz="2" w:space="0" w:color="000000"/>
              <w:bottom w:val="single" w:sz="2" w:space="0" w:color="000000"/>
              <w:right w:val="single" w:sz="2" w:space="0" w:color="000000"/>
            </w:tcBorders>
            <w:vAlign w:val="center"/>
          </w:tcPr>
          <w:p w14:paraId="0928207E"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247</w:t>
            </w:r>
          </w:p>
        </w:tc>
        <w:tc>
          <w:tcPr>
            <w:tcW w:w="773" w:type="dxa"/>
            <w:tcBorders>
              <w:top w:val="single" w:sz="2" w:space="0" w:color="000000"/>
              <w:left w:val="single" w:sz="2" w:space="0" w:color="000000"/>
              <w:bottom w:val="single" w:sz="2" w:space="0" w:color="000000"/>
              <w:right w:val="single" w:sz="2" w:space="0" w:color="000000"/>
            </w:tcBorders>
            <w:vAlign w:val="center"/>
          </w:tcPr>
          <w:p w14:paraId="63732BE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120</w:t>
            </w:r>
          </w:p>
        </w:tc>
        <w:tc>
          <w:tcPr>
            <w:tcW w:w="773" w:type="dxa"/>
            <w:tcBorders>
              <w:top w:val="single" w:sz="2" w:space="0" w:color="000000"/>
              <w:left w:val="single" w:sz="2" w:space="0" w:color="000000"/>
              <w:bottom w:val="single" w:sz="2" w:space="0" w:color="000000"/>
              <w:right w:val="single" w:sz="2" w:space="0" w:color="000000"/>
            </w:tcBorders>
            <w:vAlign w:val="center"/>
          </w:tcPr>
          <w:p w14:paraId="54675A16"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049</w:t>
            </w:r>
          </w:p>
        </w:tc>
        <w:tc>
          <w:tcPr>
            <w:tcW w:w="773" w:type="dxa"/>
            <w:tcBorders>
              <w:top w:val="single" w:sz="2" w:space="0" w:color="000000"/>
              <w:left w:val="single" w:sz="2" w:space="0" w:color="000000"/>
              <w:bottom w:val="single" w:sz="2" w:space="0" w:color="000000"/>
              <w:right w:val="single" w:sz="2" w:space="0" w:color="000000"/>
            </w:tcBorders>
            <w:vAlign w:val="center"/>
          </w:tcPr>
          <w:p w14:paraId="1BF7E7CB"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893</w:t>
            </w:r>
          </w:p>
        </w:tc>
        <w:tc>
          <w:tcPr>
            <w:tcW w:w="774" w:type="dxa"/>
            <w:tcBorders>
              <w:top w:val="single" w:sz="2" w:space="0" w:color="000000"/>
              <w:left w:val="single" w:sz="2" w:space="0" w:color="000000"/>
              <w:bottom w:val="single" w:sz="2" w:space="0" w:color="000000"/>
              <w:right w:val="single" w:sz="2" w:space="0" w:color="000000"/>
            </w:tcBorders>
            <w:vAlign w:val="center"/>
          </w:tcPr>
          <w:p w14:paraId="10841C8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422</w:t>
            </w:r>
          </w:p>
        </w:tc>
      </w:tr>
      <w:tr w:rsidR="004D4A28" w:rsidRPr="00364545" w14:paraId="4C5F4FC2" w14:textId="77777777" w:rsidTr="00361368">
        <w:trPr>
          <w:trHeight w:val="419"/>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21B095F4" w14:textId="77777777" w:rsidR="004D4A28" w:rsidRPr="00364545" w:rsidRDefault="004D4A28" w:rsidP="00361368">
            <w:pPr>
              <w:spacing w:line="259" w:lineRule="auto"/>
            </w:pPr>
            <w:r>
              <w:rPr>
                <w:sz w:val="18"/>
              </w:rPr>
              <w:t xml:space="preserve">Procédés industriels, solvants et autres produits </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E75683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220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2ADC45"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221</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510CF3"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236</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6A7D8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207</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5D6C5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147</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1150F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85</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5B0E83"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66</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486CB7"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54</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7F7A01"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50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7843D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45</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CE7F64"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39</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FA10B3"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23</w:t>
            </w:r>
          </w:p>
        </w:tc>
      </w:tr>
      <w:tr w:rsidR="004D4A28" w:rsidRPr="00364545" w14:paraId="5EE8958A" w14:textId="77777777" w:rsidTr="00361368">
        <w:trPr>
          <w:trHeight w:val="347"/>
        </w:trPr>
        <w:tc>
          <w:tcPr>
            <w:tcW w:w="1405" w:type="dxa"/>
            <w:tcBorders>
              <w:top w:val="single" w:sz="2" w:space="0" w:color="000000"/>
              <w:left w:val="single" w:sz="2" w:space="0" w:color="000000"/>
              <w:bottom w:val="single" w:sz="2" w:space="0" w:color="000000"/>
              <w:right w:val="single" w:sz="2" w:space="0" w:color="000000"/>
            </w:tcBorders>
          </w:tcPr>
          <w:p w14:paraId="7F83B02C" w14:textId="77777777" w:rsidR="004D4A28" w:rsidRPr="00364545" w:rsidRDefault="004D4A28" w:rsidP="00361368">
            <w:pPr>
              <w:spacing w:line="259" w:lineRule="auto"/>
            </w:pPr>
            <w:r>
              <w:rPr>
                <w:sz w:val="18"/>
              </w:rPr>
              <w:t xml:space="preserve">Agriculture (hors énergie) </w:t>
            </w:r>
          </w:p>
        </w:tc>
        <w:tc>
          <w:tcPr>
            <w:tcW w:w="773" w:type="dxa"/>
            <w:tcBorders>
              <w:top w:val="single" w:sz="2" w:space="0" w:color="000000"/>
              <w:left w:val="single" w:sz="2" w:space="0" w:color="000000"/>
              <w:bottom w:val="single" w:sz="2" w:space="0" w:color="000000"/>
              <w:right w:val="single" w:sz="2" w:space="0" w:color="000000"/>
            </w:tcBorders>
            <w:vAlign w:val="center"/>
          </w:tcPr>
          <w:p w14:paraId="7A0A7AFF"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42218</w:t>
            </w:r>
          </w:p>
        </w:tc>
        <w:tc>
          <w:tcPr>
            <w:tcW w:w="773" w:type="dxa"/>
            <w:tcBorders>
              <w:top w:val="single" w:sz="2" w:space="0" w:color="000000"/>
              <w:left w:val="single" w:sz="2" w:space="0" w:color="000000"/>
              <w:bottom w:val="single" w:sz="2" w:space="0" w:color="000000"/>
              <w:right w:val="single" w:sz="2" w:space="0" w:color="000000"/>
            </w:tcBorders>
            <w:vAlign w:val="center"/>
          </w:tcPr>
          <w:p w14:paraId="7F1D81F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41145</w:t>
            </w:r>
          </w:p>
        </w:tc>
        <w:tc>
          <w:tcPr>
            <w:tcW w:w="773" w:type="dxa"/>
            <w:tcBorders>
              <w:top w:val="single" w:sz="2" w:space="0" w:color="000000"/>
              <w:left w:val="single" w:sz="2" w:space="0" w:color="000000"/>
              <w:bottom w:val="single" w:sz="2" w:space="0" w:color="000000"/>
              <w:right w:val="single" w:sz="2" w:space="0" w:color="000000"/>
            </w:tcBorders>
            <w:vAlign w:val="center"/>
          </w:tcPr>
          <w:p w14:paraId="2A0EFDC0"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42197</w:t>
            </w:r>
          </w:p>
        </w:tc>
        <w:tc>
          <w:tcPr>
            <w:tcW w:w="773" w:type="dxa"/>
            <w:tcBorders>
              <w:top w:val="single" w:sz="2" w:space="0" w:color="000000"/>
              <w:left w:val="single" w:sz="2" w:space="0" w:color="000000"/>
              <w:bottom w:val="single" w:sz="2" w:space="0" w:color="000000"/>
              <w:right w:val="single" w:sz="2" w:space="0" w:color="000000"/>
            </w:tcBorders>
            <w:vAlign w:val="center"/>
          </w:tcPr>
          <w:p w14:paraId="1C298AB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39373</w:t>
            </w:r>
          </w:p>
        </w:tc>
        <w:tc>
          <w:tcPr>
            <w:tcW w:w="773" w:type="dxa"/>
            <w:tcBorders>
              <w:top w:val="single" w:sz="2" w:space="0" w:color="000000"/>
              <w:left w:val="single" w:sz="2" w:space="0" w:color="000000"/>
              <w:bottom w:val="single" w:sz="2" w:space="0" w:color="000000"/>
              <w:right w:val="single" w:sz="2" w:space="0" w:color="000000"/>
            </w:tcBorders>
            <w:vAlign w:val="center"/>
          </w:tcPr>
          <w:p w14:paraId="00BA56E9"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39325</w:t>
            </w:r>
          </w:p>
        </w:tc>
        <w:tc>
          <w:tcPr>
            <w:tcW w:w="774" w:type="dxa"/>
            <w:tcBorders>
              <w:top w:val="single" w:sz="2" w:space="0" w:color="000000"/>
              <w:left w:val="single" w:sz="2" w:space="0" w:color="000000"/>
              <w:bottom w:val="single" w:sz="2" w:space="0" w:color="000000"/>
              <w:right w:val="single" w:sz="2" w:space="0" w:color="000000"/>
            </w:tcBorders>
            <w:vAlign w:val="center"/>
          </w:tcPr>
          <w:p w14:paraId="07A4DB60"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39281</w:t>
            </w:r>
          </w:p>
        </w:tc>
        <w:tc>
          <w:tcPr>
            <w:tcW w:w="773" w:type="dxa"/>
            <w:tcBorders>
              <w:top w:val="single" w:sz="2" w:space="0" w:color="000000"/>
              <w:left w:val="single" w:sz="2" w:space="0" w:color="000000"/>
              <w:bottom w:val="single" w:sz="2" w:space="0" w:color="000000"/>
              <w:right w:val="single" w:sz="2" w:space="0" w:color="000000"/>
            </w:tcBorders>
            <w:vAlign w:val="center"/>
          </w:tcPr>
          <w:p w14:paraId="5A80A43A"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37445</w:t>
            </w:r>
          </w:p>
        </w:tc>
        <w:tc>
          <w:tcPr>
            <w:tcW w:w="773" w:type="dxa"/>
            <w:tcBorders>
              <w:top w:val="single" w:sz="2" w:space="0" w:color="000000"/>
              <w:left w:val="single" w:sz="2" w:space="0" w:color="000000"/>
              <w:bottom w:val="single" w:sz="2" w:space="0" w:color="000000"/>
              <w:right w:val="single" w:sz="2" w:space="0" w:color="000000"/>
            </w:tcBorders>
            <w:vAlign w:val="center"/>
          </w:tcPr>
          <w:p w14:paraId="14292CD0"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37</w:t>
            </w:r>
            <w:r w:rsidRPr="005D0955">
              <w:rPr>
                <w:rFonts w:ascii="Calibri" w:hAnsi="Calibri" w:cs="Calibri"/>
                <w:sz w:val="18"/>
                <w:szCs w:val="18"/>
              </w:rPr>
              <w:t> </w:t>
            </w:r>
            <w:r w:rsidRPr="00634E4C">
              <w:rPr>
                <w:rFonts w:asciiTheme="majorHAnsi" w:hAnsiTheme="majorHAnsi"/>
                <w:sz w:val="18"/>
              </w:rPr>
              <w:t>174</w:t>
            </w:r>
          </w:p>
        </w:tc>
        <w:tc>
          <w:tcPr>
            <w:tcW w:w="773" w:type="dxa"/>
            <w:tcBorders>
              <w:top w:val="single" w:sz="2" w:space="0" w:color="000000"/>
              <w:left w:val="single" w:sz="2" w:space="0" w:color="000000"/>
              <w:bottom w:val="single" w:sz="2" w:space="0" w:color="000000"/>
              <w:right w:val="single" w:sz="2" w:space="0" w:color="000000"/>
            </w:tcBorders>
            <w:vAlign w:val="center"/>
          </w:tcPr>
          <w:p w14:paraId="0AA8DA5E"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34</w:t>
            </w:r>
            <w:r w:rsidRPr="005D0955">
              <w:rPr>
                <w:rFonts w:ascii="Calibri" w:hAnsi="Calibri" w:cs="Calibri"/>
                <w:sz w:val="18"/>
                <w:szCs w:val="18"/>
              </w:rPr>
              <w:t> </w:t>
            </w:r>
            <w:r w:rsidRPr="00634E4C">
              <w:rPr>
                <w:rFonts w:asciiTheme="majorHAnsi" w:hAnsiTheme="majorHAnsi"/>
                <w:sz w:val="18"/>
              </w:rPr>
              <w:t>794</w:t>
            </w:r>
          </w:p>
        </w:tc>
        <w:tc>
          <w:tcPr>
            <w:tcW w:w="773" w:type="dxa"/>
            <w:tcBorders>
              <w:top w:val="single" w:sz="2" w:space="0" w:color="000000"/>
              <w:left w:val="single" w:sz="2" w:space="0" w:color="000000"/>
              <w:bottom w:val="single" w:sz="2" w:space="0" w:color="000000"/>
              <w:right w:val="single" w:sz="2" w:space="0" w:color="000000"/>
            </w:tcBorders>
            <w:vAlign w:val="center"/>
          </w:tcPr>
          <w:p w14:paraId="0ACE0179"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32</w:t>
            </w:r>
            <w:r w:rsidRPr="005D0955">
              <w:rPr>
                <w:rFonts w:ascii="Calibri" w:hAnsi="Calibri" w:cs="Calibri"/>
                <w:sz w:val="18"/>
                <w:szCs w:val="18"/>
              </w:rPr>
              <w:t> </w:t>
            </w:r>
            <w:r w:rsidRPr="00634E4C">
              <w:rPr>
                <w:rFonts w:asciiTheme="majorHAnsi" w:hAnsiTheme="majorHAnsi"/>
                <w:sz w:val="18"/>
              </w:rPr>
              <w:t>781</w:t>
            </w:r>
          </w:p>
        </w:tc>
        <w:tc>
          <w:tcPr>
            <w:tcW w:w="773" w:type="dxa"/>
            <w:tcBorders>
              <w:top w:val="single" w:sz="2" w:space="0" w:color="000000"/>
              <w:left w:val="single" w:sz="2" w:space="0" w:color="000000"/>
              <w:bottom w:val="single" w:sz="2" w:space="0" w:color="000000"/>
              <w:right w:val="single" w:sz="2" w:space="0" w:color="000000"/>
            </w:tcBorders>
            <w:vAlign w:val="center"/>
          </w:tcPr>
          <w:p w14:paraId="1C1B30B6"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31</w:t>
            </w:r>
            <w:r w:rsidRPr="005D0955">
              <w:rPr>
                <w:rFonts w:ascii="Calibri" w:hAnsi="Calibri" w:cs="Calibri"/>
                <w:sz w:val="18"/>
                <w:szCs w:val="18"/>
              </w:rPr>
              <w:t> </w:t>
            </w:r>
            <w:r w:rsidRPr="00634E4C">
              <w:rPr>
                <w:rFonts w:asciiTheme="majorHAnsi" w:hAnsiTheme="majorHAnsi"/>
                <w:sz w:val="18"/>
              </w:rPr>
              <w:t>121</w:t>
            </w:r>
          </w:p>
        </w:tc>
        <w:tc>
          <w:tcPr>
            <w:tcW w:w="774" w:type="dxa"/>
            <w:tcBorders>
              <w:top w:val="single" w:sz="2" w:space="0" w:color="000000"/>
              <w:left w:val="single" w:sz="2" w:space="0" w:color="000000"/>
              <w:bottom w:val="single" w:sz="2" w:space="0" w:color="000000"/>
              <w:right w:val="single" w:sz="2" w:space="0" w:color="000000"/>
            </w:tcBorders>
            <w:vAlign w:val="center"/>
          </w:tcPr>
          <w:p w14:paraId="5A2880F8"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26</w:t>
            </w:r>
            <w:r w:rsidRPr="005D0955">
              <w:rPr>
                <w:rFonts w:ascii="Calibri" w:hAnsi="Calibri" w:cs="Calibri"/>
                <w:sz w:val="18"/>
                <w:szCs w:val="18"/>
              </w:rPr>
              <w:t> </w:t>
            </w:r>
            <w:r w:rsidRPr="00634E4C">
              <w:rPr>
                <w:rFonts w:asciiTheme="majorHAnsi" w:hAnsiTheme="majorHAnsi"/>
                <w:sz w:val="18"/>
              </w:rPr>
              <w:t>140</w:t>
            </w:r>
          </w:p>
        </w:tc>
      </w:tr>
      <w:tr w:rsidR="004D4A28" w:rsidRPr="00364545" w14:paraId="55D9B88B" w14:textId="77777777" w:rsidTr="00361368">
        <w:trPr>
          <w:trHeight w:val="342"/>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1BBDBB1B" w14:textId="77777777" w:rsidR="004D4A28" w:rsidRPr="00364545" w:rsidRDefault="004D4A28" w:rsidP="00361368">
            <w:pPr>
              <w:spacing w:line="259" w:lineRule="auto"/>
            </w:pPr>
            <w:r>
              <w:rPr>
                <w:sz w:val="18"/>
              </w:rPr>
              <w:t xml:space="preserve">UTCF </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BFCAD5"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933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D526EB"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3670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42E189"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1693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D30848"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1189</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F17EE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1130</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9D7DF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1078</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F55838"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1138</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465C18"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140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47F96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146</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36F753"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134</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BAF303"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114</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00974FD"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054</w:t>
            </w:r>
          </w:p>
        </w:tc>
      </w:tr>
      <w:tr w:rsidR="004D4A28" w:rsidRPr="00364545" w14:paraId="08AB36D0" w14:textId="77777777" w:rsidTr="00361368">
        <w:trPr>
          <w:trHeight w:val="347"/>
        </w:trPr>
        <w:tc>
          <w:tcPr>
            <w:tcW w:w="1405" w:type="dxa"/>
            <w:tcBorders>
              <w:top w:val="single" w:sz="2" w:space="0" w:color="000000"/>
              <w:left w:val="single" w:sz="2" w:space="0" w:color="000000"/>
              <w:bottom w:val="single" w:sz="2" w:space="0" w:color="000000"/>
              <w:right w:val="single" w:sz="2" w:space="0" w:color="000000"/>
            </w:tcBorders>
          </w:tcPr>
          <w:p w14:paraId="1C8993E6" w14:textId="77777777" w:rsidR="004D4A28" w:rsidRPr="00364545" w:rsidRDefault="004D4A28" w:rsidP="00361368">
            <w:pPr>
              <w:spacing w:line="259" w:lineRule="auto"/>
            </w:pPr>
            <w:r>
              <w:rPr>
                <w:sz w:val="18"/>
              </w:rPr>
              <w:t xml:space="preserve">Déchets </w:t>
            </w:r>
          </w:p>
        </w:tc>
        <w:tc>
          <w:tcPr>
            <w:tcW w:w="773" w:type="dxa"/>
            <w:tcBorders>
              <w:top w:val="single" w:sz="2" w:space="0" w:color="000000"/>
              <w:left w:val="single" w:sz="2" w:space="0" w:color="000000"/>
              <w:bottom w:val="single" w:sz="2" w:space="0" w:color="000000"/>
              <w:right w:val="single" w:sz="2" w:space="0" w:color="000000"/>
            </w:tcBorders>
            <w:vAlign w:val="center"/>
          </w:tcPr>
          <w:p w14:paraId="64FBAB8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14318</w:t>
            </w:r>
          </w:p>
        </w:tc>
        <w:tc>
          <w:tcPr>
            <w:tcW w:w="773" w:type="dxa"/>
            <w:tcBorders>
              <w:top w:val="single" w:sz="2" w:space="0" w:color="000000"/>
              <w:left w:val="single" w:sz="2" w:space="0" w:color="000000"/>
              <w:bottom w:val="single" w:sz="2" w:space="0" w:color="000000"/>
              <w:right w:val="single" w:sz="2" w:space="0" w:color="000000"/>
            </w:tcBorders>
            <w:vAlign w:val="center"/>
          </w:tcPr>
          <w:p w14:paraId="25EF629C"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17099</w:t>
            </w:r>
          </w:p>
        </w:tc>
        <w:tc>
          <w:tcPr>
            <w:tcW w:w="773" w:type="dxa"/>
            <w:tcBorders>
              <w:top w:val="single" w:sz="2" w:space="0" w:color="000000"/>
              <w:left w:val="single" w:sz="2" w:space="0" w:color="000000"/>
              <w:bottom w:val="single" w:sz="2" w:space="0" w:color="000000"/>
              <w:right w:val="single" w:sz="2" w:space="0" w:color="000000"/>
            </w:tcBorders>
            <w:vAlign w:val="center"/>
          </w:tcPr>
          <w:p w14:paraId="6BA6BFFA"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18602</w:t>
            </w:r>
          </w:p>
        </w:tc>
        <w:tc>
          <w:tcPr>
            <w:tcW w:w="773" w:type="dxa"/>
            <w:tcBorders>
              <w:top w:val="single" w:sz="2" w:space="0" w:color="000000"/>
              <w:left w:val="single" w:sz="2" w:space="0" w:color="000000"/>
              <w:bottom w:val="single" w:sz="2" w:space="0" w:color="000000"/>
              <w:right w:val="single" w:sz="2" w:space="0" w:color="000000"/>
            </w:tcBorders>
            <w:vAlign w:val="center"/>
          </w:tcPr>
          <w:p w14:paraId="771FDAB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19129</w:t>
            </w:r>
          </w:p>
        </w:tc>
        <w:tc>
          <w:tcPr>
            <w:tcW w:w="773" w:type="dxa"/>
            <w:tcBorders>
              <w:top w:val="single" w:sz="2" w:space="0" w:color="000000"/>
              <w:left w:val="single" w:sz="2" w:space="0" w:color="000000"/>
              <w:bottom w:val="single" w:sz="2" w:space="0" w:color="000000"/>
              <w:right w:val="single" w:sz="2" w:space="0" w:color="000000"/>
            </w:tcBorders>
            <w:vAlign w:val="center"/>
          </w:tcPr>
          <w:p w14:paraId="1C15C8B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18487</w:t>
            </w:r>
          </w:p>
        </w:tc>
        <w:tc>
          <w:tcPr>
            <w:tcW w:w="774" w:type="dxa"/>
            <w:tcBorders>
              <w:top w:val="single" w:sz="2" w:space="0" w:color="000000"/>
              <w:left w:val="single" w:sz="2" w:space="0" w:color="000000"/>
              <w:bottom w:val="single" w:sz="2" w:space="0" w:color="000000"/>
              <w:right w:val="single" w:sz="2" w:space="0" w:color="000000"/>
            </w:tcBorders>
            <w:vAlign w:val="center"/>
          </w:tcPr>
          <w:p w14:paraId="0AC0E2AE"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15753</w:t>
            </w:r>
          </w:p>
        </w:tc>
        <w:tc>
          <w:tcPr>
            <w:tcW w:w="773" w:type="dxa"/>
            <w:tcBorders>
              <w:top w:val="single" w:sz="2" w:space="0" w:color="000000"/>
              <w:left w:val="single" w:sz="2" w:space="0" w:color="000000"/>
              <w:bottom w:val="single" w:sz="2" w:space="0" w:color="000000"/>
              <w:right w:val="single" w:sz="2" w:space="0" w:color="000000"/>
            </w:tcBorders>
            <w:vAlign w:val="center"/>
          </w:tcPr>
          <w:p w14:paraId="24C4DF6A"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15830</w:t>
            </w:r>
          </w:p>
        </w:tc>
        <w:tc>
          <w:tcPr>
            <w:tcW w:w="773" w:type="dxa"/>
            <w:tcBorders>
              <w:top w:val="single" w:sz="2" w:space="0" w:color="000000"/>
              <w:left w:val="single" w:sz="2" w:space="0" w:color="000000"/>
              <w:bottom w:val="single" w:sz="2" w:space="0" w:color="000000"/>
              <w:right w:val="single" w:sz="2" w:space="0" w:color="000000"/>
            </w:tcBorders>
            <w:vAlign w:val="center"/>
          </w:tcPr>
          <w:p w14:paraId="2FBBB3CF"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12</w:t>
            </w:r>
            <w:r w:rsidRPr="005D0955">
              <w:rPr>
                <w:rFonts w:ascii="Calibri" w:hAnsi="Calibri" w:cs="Calibri"/>
                <w:sz w:val="18"/>
                <w:szCs w:val="18"/>
              </w:rPr>
              <w:t> </w:t>
            </w:r>
            <w:r w:rsidRPr="00634E4C">
              <w:rPr>
                <w:rFonts w:asciiTheme="majorHAnsi" w:hAnsiTheme="majorHAnsi"/>
                <w:sz w:val="18"/>
              </w:rPr>
              <w:t>056</w:t>
            </w:r>
          </w:p>
        </w:tc>
        <w:tc>
          <w:tcPr>
            <w:tcW w:w="773" w:type="dxa"/>
            <w:tcBorders>
              <w:top w:val="single" w:sz="2" w:space="0" w:color="000000"/>
              <w:left w:val="single" w:sz="2" w:space="0" w:color="000000"/>
              <w:bottom w:val="single" w:sz="2" w:space="0" w:color="000000"/>
              <w:right w:val="single" w:sz="2" w:space="0" w:color="000000"/>
            </w:tcBorders>
            <w:vAlign w:val="center"/>
          </w:tcPr>
          <w:p w14:paraId="4EEDDEEB"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9</w:t>
            </w:r>
            <w:r w:rsidRPr="005D0955">
              <w:rPr>
                <w:rFonts w:ascii="Calibri" w:hAnsi="Calibri" w:cs="Calibri"/>
                <w:sz w:val="18"/>
                <w:szCs w:val="18"/>
              </w:rPr>
              <w:t> </w:t>
            </w:r>
            <w:r w:rsidRPr="00634E4C">
              <w:rPr>
                <w:rFonts w:asciiTheme="majorHAnsi" w:hAnsiTheme="majorHAnsi"/>
                <w:sz w:val="18"/>
              </w:rPr>
              <w:t>982</w:t>
            </w:r>
          </w:p>
        </w:tc>
        <w:tc>
          <w:tcPr>
            <w:tcW w:w="773" w:type="dxa"/>
            <w:tcBorders>
              <w:top w:val="single" w:sz="2" w:space="0" w:color="000000"/>
              <w:left w:val="single" w:sz="2" w:space="0" w:color="000000"/>
              <w:bottom w:val="single" w:sz="2" w:space="0" w:color="000000"/>
              <w:right w:val="single" w:sz="2" w:space="0" w:color="000000"/>
            </w:tcBorders>
            <w:vAlign w:val="center"/>
          </w:tcPr>
          <w:p w14:paraId="168DCB98"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8</w:t>
            </w:r>
            <w:r w:rsidRPr="005D0955">
              <w:rPr>
                <w:rFonts w:ascii="Calibri" w:hAnsi="Calibri" w:cs="Calibri"/>
                <w:sz w:val="18"/>
                <w:szCs w:val="18"/>
              </w:rPr>
              <w:t> </w:t>
            </w:r>
            <w:r w:rsidRPr="00634E4C">
              <w:rPr>
                <w:rFonts w:asciiTheme="majorHAnsi" w:hAnsiTheme="majorHAnsi"/>
                <w:sz w:val="18"/>
              </w:rPr>
              <w:t>631</w:t>
            </w:r>
          </w:p>
        </w:tc>
        <w:tc>
          <w:tcPr>
            <w:tcW w:w="773" w:type="dxa"/>
            <w:tcBorders>
              <w:top w:val="single" w:sz="2" w:space="0" w:color="000000"/>
              <w:left w:val="single" w:sz="2" w:space="0" w:color="000000"/>
              <w:bottom w:val="single" w:sz="2" w:space="0" w:color="000000"/>
              <w:right w:val="single" w:sz="2" w:space="0" w:color="000000"/>
            </w:tcBorders>
            <w:vAlign w:val="center"/>
          </w:tcPr>
          <w:p w14:paraId="58C8411C"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7</w:t>
            </w:r>
            <w:r w:rsidRPr="005D0955">
              <w:rPr>
                <w:rFonts w:ascii="Calibri" w:hAnsi="Calibri" w:cs="Calibri"/>
                <w:sz w:val="18"/>
                <w:szCs w:val="18"/>
              </w:rPr>
              <w:t> </w:t>
            </w:r>
            <w:r w:rsidRPr="00634E4C">
              <w:rPr>
                <w:rFonts w:asciiTheme="majorHAnsi" w:hAnsiTheme="majorHAnsi"/>
                <w:sz w:val="18"/>
              </w:rPr>
              <w:t>443</w:t>
            </w:r>
          </w:p>
        </w:tc>
        <w:tc>
          <w:tcPr>
            <w:tcW w:w="774" w:type="dxa"/>
            <w:tcBorders>
              <w:top w:val="single" w:sz="2" w:space="0" w:color="000000"/>
              <w:left w:val="single" w:sz="2" w:space="0" w:color="000000"/>
              <w:bottom w:val="single" w:sz="2" w:space="0" w:color="000000"/>
              <w:right w:val="single" w:sz="2" w:space="0" w:color="000000"/>
            </w:tcBorders>
            <w:vAlign w:val="center"/>
          </w:tcPr>
          <w:p w14:paraId="1576C689"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880</w:t>
            </w:r>
          </w:p>
        </w:tc>
      </w:tr>
      <w:tr w:rsidR="004D4A28" w:rsidRPr="00364545" w14:paraId="16CDA99B" w14:textId="77777777" w:rsidTr="003613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2B627027" w14:textId="77777777" w:rsidR="004D4A28" w:rsidRPr="00364545" w:rsidRDefault="004D4A28" w:rsidP="00361368">
            <w:pPr>
              <w:spacing w:line="259" w:lineRule="auto"/>
            </w:pPr>
            <w:r>
              <w:rPr>
                <w:b/>
                <w:sz w:val="18"/>
              </w:rPr>
              <w:t xml:space="preserve">Ensemble (hors UTCF) </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75508C"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69161</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9FF689"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70383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C199FE"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68603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3D9644"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63632</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BBA90C9"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61663</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513FF2"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57862</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0EE0FB" w14:textId="77777777" w:rsidR="004D4A28" w:rsidRPr="005D0955" w:rsidRDefault="004D4A28" w:rsidP="00361368">
            <w:pPr>
              <w:spacing w:line="259" w:lineRule="auto"/>
              <w:ind w:left="14"/>
              <w:jc w:val="center"/>
              <w:rPr>
                <w:rFonts w:asciiTheme="majorHAnsi" w:hAnsiTheme="majorHAnsi"/>
                <w:b/>
                <w:sz w:val="18"/>
                <w:szCs w:val="18"/>
              </w:rPr>
            </w:pPr>
            <w:r w:rsidRPr="005D0955">
              <w:rPr>
                <w:rFonts w:asciiTheme="majorHAnsi" w:hAnsiTheme="majorHAnsi"/>
                <w:sz w:val="18"/>
                <w:szCs w:val="18"/>
              </w:rPr>
              <w:t>55740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D9F49E"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52</w:t>
            </w:r>
            <w:r w:rsidRPr="005D0955">
              <w:rPr>
                <w:rFonts w:ascii="Calibri" w:hAnsi="Calibri" w:cs="Calibri"/>
                <w:b/>
                <w:sz w:val="18"/>
                <w:szCs w:val="18"/>
              </w:rPr>
              <w:t> </w:t>
            </w:r>
            <w:r w:rsidRPr="00634E4C">
              <w:rPr>
                <w:rFonts w:asciiTheme="majorHAnsi" w:hAnsiTheme="majorHAnsi"/>
                <w:b/>
                <w:sz w:val="18"/>
              </w:rPr>
              <w:t>531</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8A3FC5"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47</w:t>
            </w:r>
            <w:r w:rsidRPr="005D0955">
              <w:rPr>
                <w:rFonts w:ascii="Calibri" w:hAnsi="Calibri" w:cs="Calibri"/>
                <w:b/>
                <w:sz w:val="18"/>
                <w:szCs w:val="18"/>
              </w:rPr>
              <w:t> </w:t>
            </w:r>
            <w:r w:rsidRPr="00634E4C">
              <w:rPr>
                <w:rFonts w:asciiTheme="majorHAnsi" w:hAnsiTheme="majorHAnsi"/>
                <w:b/>
                <w:sz w:val="18"/>
              </w:rPr>
              <w:t>947</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BD3166"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44</w:t>
            </w:r>
            <w:r w:rsidRPr="005D0955">
              <w:rPr>
                <w:rFonts w:ascii="Calibri" w:hAnsi="Calibri" w:cs="Calibri"/>
                <w:b/>
                <w:sz w:val="18"/>
                <w:szCs w:val="18"/>
              </w:rPr>
              <w:t> </w:t>
            </w:r>
            <w:r w:rsidRPr="00634E4C">
              <w:rPr>
                <w:rFonts w:asciiTheme="majorHAnsi" w:hAnsiTheme="majorHAnsi"/>
                <w:b/>
                <w:sz w:val="18"/>
              </w:rPr>
              <w:t>507</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1CDED0"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41</w:t>
            </w:r>
            <w:r w:rsidRPr="005D0955">
              <w:rPr>
                <w:rFonts w:ascii="Calibri" w:hAnsi="Calibri" w:cs="Calibri"/>
                <w:b/>
                <w:sz w:val="18"/>
                <w:szCs w:val="18"/>
              </w:rPr>
              <w:t> </w:t>
            </w:r>
            <w:r w:rsidRPr="00634E4C">
              <w:rPr>
                <w:rFonts w:asciiTheme="majorHAnsi" w:hAnsiTheme="majorHAnsi"/>
                <w:b/>
                <w:sz w:val="18"/>
              </w:rPr>
              <w:t>496</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9C9359"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32</w:t>
            </w:r>
            <w:r w:rsidRPr="005D0955">
              <w:rPr>
                <w:rFonts w:ascii="Calibri" w:hAnsi="Calibri" w:cs="Calibri"/>
                <w:b/>
                <w:sz w:val="18"/>
                <w:szCs w:val="18"/>
              </w:rPr>
              <w:t> </w:t>
            </w:r>
            <w:r w:rsidRPr="00634E4C">
              <w:rPr>
                <w:rFonts w:asciiTheme="majorHAnsi" w:hAnsiTheme="majorHAnsi"/>
                <w:b/>
                <w:sz w:val="18"/>
              </w:rPr>
              <w:t>465</w:t>
            </w:r>
          </w:p>
        </w:tc>
      </w:tr>
      <w:tr w:rsidR="004D4A28" w:rsidRPr="00364545" w14:paraId="310DD05C" w14:textId="77777777" w:rsidTr="00361368">
        <w:trPr>
          <w:trHeight w:val="346"/>
        </w:trPr>
        <w:tc>
          <w:tcPr>
            <w:tcW w:w="1405" w:type="dxa"/>
            <w:tcBorders>
              <w:top w:val="single" w:sz="2" w:space="0" w:color="000000"/>
              <w:left w:val="single" w:sz="2" w:space="0" w:color="000000"/>
              <w:bottom w:val="single" w:sz="2" w:space="0" w:color="000000"/>
              <w:right w:val="single" w:sz="2" w:space="0" w:color="000000"/>
            </w:tcBorders>
          </w:tcPr>
          <w:p w14:paraId="6AF064D7" w14:textId="77777777" w:rsidR="004D4A28" w:rsidRPr="00364545" w:rsidRDefault="004D4A28" w:rsidP="00361368">
            <w:pPr>
              <w:spacing w:line="259" w:lineRule="auto"/>
            </w:pPr>
            <w:r>
              <w:rPr>
                <w:b/>
                <w:sz w:val="18"/>
              </w:rPr>
              <w:t xml:space="preserve">Ensemble (avec UTCF) </w:t>
            </w:r>
          </w:p>
        </w:tc>
        <w:tc>
          <w:tcPr>
            <w:tcW w:w="773" w:type="dxa"/>
            <w:tcBorders>
              <w:top w:val="single" w:sz="2" w:space="0" w:color="000000"/>
              <w:left w:val="single" w:sz="2" w:space="0" w:color="000000"/>
              <w:bottom w:val="single" w:sz="2" w:space="0" w:color="000000"/>
              <w:right w:val="single" w:sz="2" w:space="0" w:color="000000"/>
            </w:tcBorders>
            <w:vAlign w:val="center"/>
          </w:tcPr>
          <w:p w14:paraId="23597B87"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70094</w:t>
            </w:r>
          </w:p>
        </w:tc>
        <w:tc>
          <w:tcPr>
            <w:tcW w:w="773" w:type="dxa"/>
            <w:tcBorders>
              <w:top w:val="single" w:sz="2" w:space="0" w:color="000000"/>
              <w:left w:val="single" w:sz="2" w:space="0" w:color="000000"/>
              <w:bottom w:val="single" w:sz="2" w:space="0" w:color="000000"/>
              <w:right w:val="single" w:sz="2" w:space="0" w:color="000000"/>
            </w:tcBorders>
            <w:vAlign w:val="center"/>
          </w:tcPr>
          <w:p w14:paraId="3AE4A16A"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74053</w:t>
            </w:r>
          </w:p>
        </w:tc>
        <w:tc>
          <w:tcPr>
            <w:tcW w:w="773" w:type="dxa"/>
            <w:tcBorders>
              <w:top w:val="single" w:sz="2" w:space="0" w:color="000000"/>
              <w:left w:val="single" w:sz="2" w:space="0" w:color="000000"/>
              <w:bottom w:val="single" w:sz="2" w:space="0" w:color="000000"/>
              <w:right w:val="single" w:sz="2" w:space="0" w:color="000000"/>
            </w:tcBorders>
            <w:vAlign w:val="center"/>
          </w:tcPr>
          <w:p w14:paraId="70114243"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70296</w:t>
            </w:r>
          </w:p>
        </w:tc>
        <w:tc>
          <w:tcPr>
            <w:tcW w:w="773" w:type="dxa"/>
            <w:tcBorders>
              <w:top w:val="single" w:sz="2" w:space="0" w:color="000000"/>
              <w:left w:val="single" w:sz="2" w:space="0" w:color="000000"/>
              <w:bottom w:val="single" w:sz="2" w:space="0" w:color="000000"/>
              <w:right w:val="single" w:sz="2" w:space="0" w:color="000000"/>
            </w:tcBorders>
            <w:vAlign w:val="center"/>
          </w:tcPr>
          <w:p w14:paraId="6127ED9D"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64820</w:t>
            </w:r>
          </w:p>
        </w:tc>
        <w:tc>
          <w:tcPr>
            <w:tcW w:w="773" w:type="dxa"/>
            <w:tcBorders>
              <w:top w:val="single" w:sz="2" w:space="0" w:color="000000"/>
              <w:left w:val="single" w:sz="2" w:space="0" w:color="000000"/>
              <w:bottom w:val="single" w:sz="2" w:space="0" w:color="000000"/>
              <w:right w:val="single" w:sz="2" w:space="0" w:color="000000"/>
            </w:tcBorders>
            <w:vAlign w:val="center"/>
          </w:tcPr>
          <w:p w14:paraId="53D381D1"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62793</w:t>
            </w:r>
          </w:p>
        </w:tc>
        <w:tc>
          <w:tcPr>
            <w:tcW w:w="774" w:type="dxa"/>
            <w:tcBorders>
              <w:top w:val="single" w:sz="2" w:space="0" w:color="000000"/>
              <w:left w:val="single" w:sz="2" w:space="0" w:color="000000"/>
              <w:bottom w:val="single" w:sz="2" w:space="0" w:color="000000"/>
              <w:right w:val="single" w:sz="2" w:space="0" w:color="000000"/>
            </w:tcBorders>
            <w:vAlign w:val="center"/>
          </w:tcPr>
          <w:p w14:paraId="74280A56"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58940</w:t>
            </w:r>
          </w:p>
        </w:tc>
        <w:tc>
          <w:tcPr>
            <w:tcW w:w="773" w:type="dxa"/>
            <w:tcBorders>
              <w:top w:val="single" w:sz="2" w:space="0" w:color="000000"/>
              <w:left w:val="single" w:sz="2" w:space="0" w:color="000000"/>
              <w:bottom w:val="single" w:sz="2" w:space="0" w:color="000000"/>
              <w:right w:val="single" w:sz="2" w:space="0" w:color="000000"/>
            </w:tcBorders>
            <w:vAlign w:val="center"/>
          </w:tcPr>
          <w:p w14:paraId="3F217629" w14:textId="77777777" w:rsidR="004D4A28" w:rsidRPr="005D0955" w:rsidRDefault="004D4A28" w:rsidP="00361368">
            <w:pPr>
              <w:spacing w:line="259" w:lineRule="auto"/>
              <w:ind w:left="14"/>
              <w:jc w:val="center"/>
              <w:rPr>
                <w:rFonts w:asciiTheme="majorHAnsi" w:hAnsiTheme="majorHAnsi"/>
                <w:b/>
                <w:sz w:val="18"/>
                <w:szCs w:val="18"/>
              </w:rPr>
            </w:pPr>
            <w:r w:rsidRPr="005D0955">
              <w:rPr>
                <w:rFonts w:asciiTheme="majorHAnsi" w:hAnsiTheme="majorHAnsi"/>
                <w:sz w:val="18"/>
                <w:szCs w:val="18"/>
              </w:rPr>
              <w:t>56877</w:t>
            </w:r>
          </w:p>
        </w:tc>
        <w:tc>
          <w:tcPr>
            <w:tcW w:w="773" w:type="dxa"/>
            <w:tcBorders>
              <w:top w:val="single" w:sz="2" w:space="0" w:color="000000"/>
              <w:left w:val="single" w:sz="2" w:space="0" w:color="000000"/>
              <w:bottom w:val="single" w:sz="2" w:space="0" w:color="000000"/>
              <w:right w:val="single" w:sz="2" w:space="0" w:color="000000"/>
            </w:tcBorders>
            <w:vAlign w:val="center"/>
          </w:tcPr>
          <w:p w14:paraId="01BED28C"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53</w:t>
            </w:r>
            <w:r w:rsidRPr="005D0955">
              <w:rPr>
                <w:rFonts w:ascii="Calibri" w:hAnsi="Calibri" w:cs="Calibri"/>
                <w:b/>
                <w:sz w:val="18"/>
                <w:szCs w:val="18"/>
              </w:rPr>
              <w:t> </w:t>
            </w:r>
            <w:r w:rsidRPr="00634E4C">
              <w:rPr>
                <w:rFonts w:asciiTheme="majorHAnsi" w:hAnsiTheme="majorHAnsi"/>
                <w:b/>
                <w:sz w:val="18"/>
              </w:rPr>
              <w:t>671</w:t>
            </w:r>
          </w:p>
        </w:tc>
        <w:tc>
          <w:tcPr>
            <w:tcW w:w="773" w:type="dxa"/>
            <w:tcBorders>
              <w:top w:val="single" w:sz="2" w:space="0" w:color="000000"/>
              <w:left w:val="single" w:sz="2" w:space="0" w:color="000000"/>
              <w:bottom w:val="single" w:sz="2" w:space="0" w:color="000000"/>
              <w:right w:val="single" w:sz="2" w:space="0" w:color="000000"/>
            </w:tcBorders>
            <w:vAlign w:val="center"/>
          </w:tcPr>
          <w:p w14:paraId="109FFB8F"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49</w:t>
            </w:r>
            <w:r w:rsidRPr="005D0955">
              <w:rPr>
                <w:rFonts w:ascii="Calibri" w:hAnsi="Calibri" w:cs="Calibri"/>
                <w:b/>
                <w:sz w:val="18"/>
                <w:szCs w:val="18"/>
              </w:rPr>
              <w:t> </w:t>
            </w:r>
            <w:r w:rsidRPr="00634E4C">
              <w:rPr>
                <w:rFonts w:asciiTheme="majorHAnsi" w:hAnsiTheme="majorHAnsi"/>
                <w:b/>
                <w:sz w:val="18"/>
              </w:rPr>
              <w:t>093</w:t>
            </w:r>
          </w:p>
        </w:tc>
        <w:tc>
          <w:tcPr>
            <w:tcW w:w="773" w:type="dxa"/>
            <w:tcBorders>
              <w:top w:val="single" w:sz="2" w:space="0" w:color="000000"/>
              <w:left w:val="single" w:sz="2" w:space="0" w:color="000000"/>
              <w:bottom w:val="single" w:sz="2" w:space="0" w:color="000000"/>
              <w:right w:val="single" w:sz="2" w:space="0" w:color="000000"/>
            </w:tcBorders>
            <w:vAlign w:val="center"/>
          </w:tcPr>
          <w:p w14:paraId="6482675A"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45</w:t>
            </w:r>
            <w:r w:rsidRPr="005D0955">
              <w:rPr>
                <w:rFonts w:ascii="Calibri" w:hAnsi="Calibri" w:cs="Calibri"/>
                <w:b/>
                <w:sz w:val="18"/>
                <w:szCs w:val="18"/>
              </w:rPr>
              <w:t> </w:t>
            </w:r>
            <w:r w:rsidRPr="00634E4C">
              <w:rPr>
                <w:rFonts w:asciiTheme="majorHAnsi" w:hAnsiTheme="majorHAnsi"/>
                <w:b/>
                <w:sz w:val="18"/>
              </w:rPr>
              <w:t>641</w:t>
            </w:r>
          </w:p>
        </w:tc>
        <w:tc>
          <w:tcPr>
            <w:tcW w:w="773" w:type="dxa"/>
            <w:tcBorders>
              <w:top w:val="single" w:sz="2" w:space="0" w:color="000000"/>
              <w:left w:val="single" w:sz="2" w:space="0" w:color="000000"/>
              <w:bottom w:val="single" w:sz="2" w:space="0" w:color="000000"/>
              <w:right w:val="single" w:sz="2" w:space="0" w:color="000000"/>
            </w:tcBorders>
            <w:vAlign w:val="center"/>
          </w:tcPr>
          <w:p w14:paraId="79C3E6B2"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42</w:t>
            </w:r>
            <w:r w:rsidRPr="005D0955">
              <w:rPr>
                <w:rFonts w:ascii="Calibri" w:hAnsi="Calibri" w:cs="Calibri"/>
                <w:b/>
                <w:sz w:val="18"/>
                <w:szCs w:val="18"/>
              </w:rPr>
              <w:t> </w:t>
            </w:r>
            <w:r w:rsidRPr="00634E4C">
              <w:rPr>
                <w:rFonts w:asciiTheme="majorHAnsi" w:hAnsiTheme="majorHAnsi"/>
                <w:b/>
                <w:sz w:val="18"/>
              </w:rPr>
              <w:t>610</w:t>
            </w:r>
          </w:p>
        </w:tc>
        <w:tc>
          <w:tcPr>
            <w:tcW w:w="774" w:type="dxa"/>
            <w:tcBorders>
              <w:top w:val="single" w:sz="2" w:space="0" w:color="000000"/>
              <w:left w:val="single" w:sz="2" w:space="0" w:color="000000"/>
              <w:bottom w:val="single" w:sz="2" w:space="0" w:color="000000"/>
              <w:right w:val="single" w:sz="2" w:space="0" w:color="000000"/>
            </w:tcBorders>
            <w:vAlign w:val="center"/>
          </w:tcPr>
          <w:p w14:paraId="6B76364B"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33</w:t>
            </w:r>
            <w:r w:rsidRPr="005D0955">
              <w:rPr>
                <w:rFonts w:ascii="Calibri" w:hAnsi="Calibri" w:cs="Calibri"/>
                <w:b/>
                <w:sz w:val="18"/>
                <w:szCs w:val="18"/>
              </w:rPr>
              <w:t> </w:t>
            </w:r>
            <w:r w:rsidRPr="00634E4C">
              <w:rPr>
                <w:rFonts w:asciiTheme="majorHAnsi" w:hAnsiTheme="majorHAnsi"/>
                <w:b/>
                <w:sz w:val="18"/>
              </w:rPr>
              <w:t>519</w:t>
            </w:r>
          </w:p>
        </w:tc>
      </w:tr>
    </w:tbl>
    <w:p w14:paraId="79FF2FA9" w14:textId="77777777" w:rsidR="004D4A28" w:rsidRDefault="004D4A28" w:rsidP="004D4A28"/>
    <w:p w14:paraId="4DD46938" w14:textId="77777777" w:rsidR="004D4A28" w:rsidRDefault="004D4A28" w:rsidP="004D4A28">
      <w:pPr>
        <w:pStyle w:val="Caption"/>
      </w:pPr>
      <w:bookmarkStart w:id="168" w:name="_Toc123916519"/>
      <w:r>
        <w:t xml:space="preserve">Tableau </w:t>
      </w:r>
      <w:r w:rsidR="00757301">
        <w:fldChar w:fldCharType="begin"/>
      </w:r>
      <w:r w:rsidR="00757301">
        <w:instrText xml:space="preserve"> SEQ Tableau \* ARABIC </w:instrText>
      </w:r>
      <w:r w:rsidR="00757301">
        <w:fldChar w:fldCharType="separate"/>
      </w:r>
      <w:r>
        <w:rPr>
          <w:noProof/>
        </w:rPr>
        <w:t>27</w:t>
      </w:r>
      <w:r w:rsidR="00757301">
        <w:rPr>
          <w:noProof/>
        </w:rPr>
        <w:fldChar w:fldCharType="end"/>
      </w:r>
      <w:r>
        <w:t xml:space="preserve"> : </w:t>
      </w:r>
      <w:r w:rsidRPr="00F66E1F">
        <w:t xml:space="preserve">Projections d’émissions de </w:t>
      </w:r>
      <w:r w:rsidRPr="00141043">
        <w:t>CH</w:t>
      </w:r>
      <w:r w:rsidRPr="004F1EC8">
        <w:rPr>
          <w:vertAlign w:val="subscript"/>
        </w:rPr>
        <w:t>4</w:t>
      </w:r>
      <w:r>
        <w:t xml:space="preserve"> </w:t>
      </w:r>
      <w:r w:rsidRPr="00F66E1F">
        <w:t xml:space="preserve">(en </w:t>
      </w:r>
      <w:r w:rsidRPr="00590551">
        <w:t>kt</w:t>
      </w:r>
      <w:r>
        <w:t>CO</w:t>
      </w:r>
      <w:r w:rsidRPr="007F09F7">
        <w:rPr>
          <w:vertAlign w:val="subscript"/>
        </w:rPr>
        <w:t>2</w:t>
      </w:r>
      <w:r w:rsidRPr="00F66E1F">
        <w:rPr>
          <w:vertAlign w:val="subscript"/>
        </w:rPr>
        <w:t>e</w:t>
      </w:r>
      <w:r w:rsidRPr="00F66E1F">
        <w:t xml:space="preserve">) au périmètre Kyoto dans le scénario </w:t>
      </w:r>
      <w:r>
        <w:t xml:space="preserve">AMS 2018 </w:t>
      </w:r>
      <w:r w:rsidRPr="00F66E1F">
        <w:t xml:space="preserve">(avec mesures </w:t>
      </w:r>
      <w:r>
        <w:t>supplémentaires</w:t>
      </w:r>
      <w:r w:rsidRPr="00F66E1F">
        <w:t>)</w:t>
      </w:r>
      <w:bookmarkEnd w:id="168"/>
    </w:p>
    <w:p w14:paraId="68D568E0" w14:textId="77777777" w:rsidR="004D4A28" w:rsidRPr="006E15FD" w:rsidRDefault="004D4A28" w:rsidP="004D4A28">
      <w:pPr>
        <w:pStyle w:val="Caption"/>
      </w:pPr>
      <w:r w:rsidRPr="006E15FD">
        <w:t>Source : Inventaire CCNUCC, Citepa/MTE, soumission 20</w:t>
      </w:r>
      <w:r>
        <w:t>22</w:t>
      </w:r>
      <w:r w:rsidRPr="006E15FD">
        <w:t xml:space="preserve"> et projections d’émissions MTE, 20</w:t>
      </w:r>
      <w:r>
        <w:t>18</w:t>
      </w:r>
    </w:p>
    <w:p w14:paraId="5E2549EA" w14:textId="77777777" w:rsidR="004D4A28" w:rsidRPr="00364545" w:rsidRDefault="004D4A28" w:rsidP="004D4A28"/>
    <w:tbl>
      <w:tblPr>
        <w:tblStyle w:val="TableGrid0"/>
        <w:tblW w:w="9934" w:type="dxa"/>
        <w:tblInd w:w="10" w:type="dxa"/>
        <w:tblCellMar>
          <w:top w:w="39" w:type="dxa"/>
          <w:left w:w="28" w:type="dxa"/>
          <w:bottom w:w="2" w:type="dxa"/>
        </w:tblCellMar>
        <w:tblLook w:val="04A0" w:firstRow="1" w:lastRow="0" w:firstColumn="1" w:lastColumn="0" w:noHBand="0" w:noVBand="1"/>
      </w:tblPr>
      <w:tblGrid>
        <w:gridCol w:w="1398"/>
        <w:gridCol w:w="722"/>
        <w:gridCol w:w="722"/>
        <w:gridCol w:w="723"/>
        <w:gridCol w:w="724"/>
        <w:gridCol w:w="723"/>
        <w:gridCol w:w="723"/>
        <w:gridCol w:w="582"/>
        <w:gridCol w:w="723"/>
        <w:gridCol w:w="724"/>
        <w:gridCol w:w="723"/>
        <w:gridCol w:w="723"/>
        <w:gridCol w:w="724"/>
      </w:tblGrid>
      <w:tr w:rsidR="004D4A28" w:rsidRPr="00364545" w14:paraId="1A98E990" w14:textId="77777777" w:rsidTr="00361368">
        <w:trPr>
          <w:trHeight w:val="460"/>
        </w:trPr>
        <w:tc>
          <w:tcPr>
            <w:tcW w:w="139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7918F77" w14:textId="77777777" w:rsidR="004D4A28" w:rsidRPr="00364545" w:rsidRDefault="004D4A28" w:rsidP="00361368">
            <w:pPr>
              <w:spacing w:line="259" w:lineRule="auto"/>
            </w:pPr>
            <w:r w:rsidRPr="00364545">
              <w:t>AMS 18 – N</w:t>
            </w:r>
            <w:r w:rsidRPr="00364545">
              <w:rPr>
                <w:vertAlign w:val="subscript"/>
              </w:rPr>
              <w:t>2</w:t>
            </w:r>
            <w:r w:rsidRPr="00364545">
              <w:t xml:space="preserve">O </w:t>
            </w:r>
          </w:p>
        </w:tc>
        <w:tc>
          <w:tcPr>
            <w:tcW w:w="722"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639B2EF" w14:textId="77777777" w:rsidR="004D4A28" w:rsidRPr="00364545" w:rsidRDefault="004D4A28" w:rsidP="00361368">
            <w:pPr>
              <w:spacing w:line="259" w:lineRule="auto"/>
              <w:ind w:right="30"/>
              <w:jc w:val="center"/>
            </w:pPr>
            <w:r w:rsidRPr="00364545">
              <w:rPr>
                <w:b/>
                <w:color w:val="FFFFFF"/>
                <w:sz w:val="18"/>
              </w:rPr>
              <w:t>1990</w:t>
            </w:r>
          </w:p>
        </w:tc>
        <w:tc>
          <w:tcPr>
            <w:tcW w:w="722"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E92211C" w14:textId="77777777" w:rsidR="004D4A28" w:rsidRPr="00364545" w:rsidRDefault="004D4A28" w:rsidP="00361368">
            <w:pPr>
              <w:spacing w:line="259" w:lineRule="auto"/>
              <w:ind w:right="30"/>
              <w:jc w:val="center"/>
              <w:rPr>
                <w:b/>
                <w:color w:val="FFFFFF"/>
                <w:sz w:val="18"/>
              </w:rPr>
            </w:pPr>
            <w:r w:rsidRPr="00364545">
              <w:rPr>
                <w:b/>
                <w:color w:val="FFFFFF"/>
                <w:sz w:val="18"/>
              </w:rPr>
              <w:t>1995</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70D2867" w14:textId="77777777" w:rsidR="004D4A28" w:rsidRPr="00364545" w:rsidRDefault="004D4A28" w:rsidP="00361368">
            <w:pPr>
              <w:spacing w:line="259" w:lineRule="auto"/>
              <w:ind w:right="30"/>
              <w:jc w:val="center"/>
              <w:rPr>
                <w:b/>
                <w:color w:val="FFFFFF"/>
                <w:sz w:val="18"/>
              </w:rPr>
            </w:pPr>
            <w:r w:rsidRPr="00364545">
              <w:rPr>
                <w:b/>
                <w:color w:val="FFFFFF"/>
                <w:sz w:val="18"/>
              </w:rPr>
              <w:t>2000</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ED3F3B9" w14:textId="77777777" w:rsidR="004D4A28" w:rsidRPr="00364545" w:rsidRDefault="004D4A28" w:rsidP="00361368">
            <w:pPr>
              <w:spacing w:line="259" w:lineRule="auto"/>
              <w:ind w:right="30"/>
              <w:jc w:val="center"/>
              <w:rPr>
                <w:b/>
                <w:color w:val="FFFFFF"/>
                <w:sz w:val="18"/>
              </w:rPr>
            </w:pPr>
            <w:r w:rsidRPr="00364545">
              <w:rPr>
                <w:b/>
                <w:color w:val="FFFFFF"/>
                <w:sz w:val="18"/>
              </w:rPr>
              <w:t>2005</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439E73C" w14:textId="77777777" w:rsidR="004D4A28" w:rsidRPr="00364545" w:rsidRDefault="004D4A28" w:rsidP="00361368">
            <w:pPr>
              <w:spacing w:line="259" w:lineRule="auto"/>
              <w:ind w:right="30"/>
              <w:jc w:val="center"/>
              <w:rPr>
                <w:b/>
                <w:color w:val="FFFFFF"/>
                <w:sz w:val="18"/>
              </w:rPr>
            </w:pPr>
            <w:r w:rsidRPr="00364545">
              <w:rPr>
                <w:b/>
                <w:color w:val="FFFFFF"/>
                <w:sz w:val="18"/>
              </w:rPr>
              <w:t>2010</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C68B945" w14:textId="77777777" w:rsidR="004D4A28" w:rsidRPr="00364545" w:rsidRDefault="004D4A28" w:rsidP="00361368">
            <w:pPr>
              <w:spacing w:line="259" w:lineRule="auto"/>
              <w:ind w:right="30"/>
              <w:jc w:val="center"/>
              <w:rPr>
                <w:b/>
                <w:color w:val="FFFFFF"/>
                <w:sz w:val="18"/>
              </w:rPr>
            </w:pPr>
            <w:r w:rsidRPr="00364545">
              <w:rPr>
                <w:b/>
                <w:color w:val="FFFFFF"/>
                <w:sz w:val="18"/>
              </w:rPr>
              <w:t>2015</w:t>
            </w:r>
          </w:p>
        </w:tc>
        <w:tc>
          <w:tcPr>
            <w:tcW w:w="582"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898690D" w14:textId="77777777" w:rsidR="004D4A28" w:rsidRPr="00364545" w:rsidRDefault="004D4A28" w:rsidP="00361368">
            <w:pPr>
              <w:spacing w:line="259" w:lineRule="auto"/>
              <w:ind w:right="30"/>
              <w:jc w:val="center"/>
              <w:rPr>
                <w:b/>
                <w:color w:val="FFFFFF"/>
                <w:sz w:val="18"/>
              </w:rPr>
            </w:pPr>
            <w:r>
              <w:rPr>
                <w:b/>
                <w:color w:val="FFFFFF"/>
                <w:sz w:val="18"/>
              </w:rPr>
              <w:t>2019</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A030186" w14:textId="77777777" w:rsidR="004D4A28" w:rsidRPr="00364545" w:rsidRDefault="004D4A28" w:rsidP="00361368">
            <w:pPr>
              <w:spacing w:line="259" w:lineRule="auto"/>
              <w:ind w:right="30"/>
              <w:jc w:val="center"/>
              <w:rPr>
                <w:b/>
                <w:color w:val="FFFFFF"/>
                <w:sz w:val="18"/>
              </w:rPr>
            </w:pPr>
            <w:r w:rsidRPr="00364545">
              <w:rPr>
                <w:b/>
                <w:color w:val="FFFFFF"/>
                <w:sz w:val="18"/>
              </w:rPr>
              <w:t>2020</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05E3771" w14:textId="77777777" w:rsidR="004D4A28" w:rsidRPr="00364545" w:rsidRDefault="004D4A28" w:rsidP="00361368">
            <w:pPr>
              <w:spacing w:line="259" w:lineRule="auto"/>
              <w:ind w:right="30"/>
              <w:jc w:val="center"/>
              <w:rPr>
                <w:b/>
                <w:color w:val="FFFFFF"/>
                <w:sz w:val="18"/>
              </w:rPr>
            </w:pPr>
            <w:r w:rsidRPr="00364545">
              <w:rPr>
                <w:b/>
                <w:color w:val="FFFFFF"/>
                <w:sz w:val="18"/>
              </w:rPr>
              <w:t>2025</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981A1A6" w14:textId="77777777" w:rsidR="004D4A28" w:rsidRPr="00364545" w:rsidRDefault="004D4A28" w:rsidP="00361368">
            <w:pPr>
              <w:spacing w:line="259" w:lineRule="auto"/>
              <w:ind w:right="30"/>
              <w:jc w:val="center"/>
              <w:rPr>
                <w:b/>
                <w:color w:val="FFFFFF"/>
                <w:sz w:val="18"/>
              </w:rPr>
            </w:pPr>
            <w:r w:rsidRPr="00364545">
              <w:rPr>
                <w:b/>
                <w:color w:val="FFFFFF"/>
                <w:sz w:val="18"/>
              </w:rPr>
              <w:t>2030</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D232E9B" w14:textId="77777777" w:rsidR="004D4A28" w:rsidRPr="00364545" w:rsidRDefault="004D4A28" w:rsidP="00361368">
            <w:pPr>
              <w:spacing w:line="259" w:lineRule="auto"/>
              <w:ind w:right="30"/>
              <w:jc w:val="center"/>
              <w:rPr>
                <w:b/>
                <w:color w:val="FFFFFF"/>
                <w:sz w:val="18"/>
              </w:rPr>
            </w:pPr>
            <w:r w:rsidRPr="00364545">
              <w:rPr>
                <w:b/>
                <w:color w:val="FFFFFF"/>
                <w:sz w:val="18"/>
              </w:rPr>
              <w:t>2035</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9BFB53F" w14:textId="77777777" w:rsidR="004D4A28" w:rsidRPr="00364545" w:rsidRDefault="004D4A28" w:rsidP="00361368">
            <w:pPr>
              <w:spacing w:line="259" w:lineRule="auto"/>
              <w:ind w:right="30"/>
              <w:jc w:val="center"/>
              <w:rPr>
                <w:b/>
                <w:color w:val="FFFFFF"/>
                <w:sz w:val="18"/>
              </w:rPr>
            </w:pPr>
            <w:r w:rsidRPr="00364545">
              <w:rPr>
                <w:b/>
                <w:color w:val="FFFFFF"/>
                <w:sz w:val="18"/>
              </w:rPr>
              <w:t>2050</w:t>
            </w:r>
          </w:p>
        </w:tc>
      </w:tr>
      <w:tr w:rsidR="004D4A28" w:rsidRPr="00364545" w14:paraId="339A6A40" w14:textId="77777777" w:rsidTr="00361368">
        <w:trPr>
          <w:trHeight w:val="344"/>
        </w:trPr>
        <w:tc>
          <w:tcPr>
            <w:tcW w:w="1398" w:type="dxa"/>
            <w:tcBorders>
              <w:top w:val="single" w:sz="2" w:space="0" w:color="000000"/>
              <w:left w:val="single" w:sz="2" w:space="0" w:color="000000"/>
              <w:bottom w:val="single" w:sz="2" w:space="0" w:color="000000"/>
              <w:right w:val="single" w:sz="2" w:space="0" w:color="000000"/>
            </w:tcBorders>
          </w:tcPr>
          <w:p w14:paraId="7744EB36" w14:textId="77777777" w:rsidR="004D4A28" w:rsidRPr="00364545" w:rsidRDefault="004D4A28" w:rsidP="00361368">
            <w:pPr>
              <w:spacing w:line="259" w:lineRule="auto"/>
            </w:pPr>
            <w:r>
              <w:rPr>
                <w:sz w:val="18"/>
              </w:rPr>
              <w:t xml:space="preserve">Energie </w:t>
            </w:r>
          </w:p>
        </w:tc>
        <w:tc>
          <w:tcPr>
            <w:tcW w:w="722" w:type="dxa"/>
            <w:tcBorders>
              <w:top w:val="single" w:sz="2" w:space="0" w:color="000000"/>
              <w:left w:val="single" w:sz="2" w:space="0" w:color="000000"/>
              <w:bottom w:val="single" w:sz="2" w:space="0" w:color="000000"/>
              <w:right w:val="single" w:sz="2" w:space="0" w:color="000000"/>
            </w:tcBorders>
            <w:vAlign w:val="center"/>
          </w:tcPr>
          <w:p w14:paraId="2A0075C6"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3433</w:t>
            </w:r>
          </w:p>
        </w:tc>
        <w:tc>
          <w:tcPr>
            <w:tcW w:w="722" w:type="dxa"/>
            <w:tcBorders>
              <w:top w:val="single" w:sz="2" w:space="0" w:color="000000"/>
              <w:left w:val="single" w:sz="2" w:space="0" w:color="000000"/>
              <w:bottom w:val="single" w:sz="2" w:space="0" w:color="000000"/>
              <w:right w:val="single" w:sz="2" w:space="0" w:color="000000"/>
            </w:tcBorders>
            <w:vAlign w:val="center"/>
          </w:tcPr>
          <w:p w14:paraId="6EB2E9D8"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4046</w:t>
            </w:r>
          </w:p>
        </w:tc>
        <w:tc>
          <w:tcPr>
            <w:tcW w:w="723" w:type="dxa"/>
            <w:tcBorders>
              <w:top w:val="single" w:sz="2" w:space="0" w:color="000000"/>
              <w:left w:val="single" w:sz="2" w:space="0" w:color="000000"/>
              <w:bottom w:val="single" w:sz="2" w:space="0" w:color="000000"/>
              <w:right w:val="single" w:sz="2" w:space="0" w:color="000000"/>
            </w:tcBorders>
            <w:vAlign w:val="center"/>
          </w:tcPr>
          <w:p w14:paraId="60C1F728"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3900</w:t>
            </w:r>
          </w:p>
        </w:tc>
        <w:tc>
          <w:tcPr>
            <w:tcW w:w="724" w:type="dxa"/>
            <w:tcBorders>
              <w:top w:val="single" w:sz="2" w:space="0" w:color="000000"/>
              <w:left w:val="single" w:sz="2" w:space="0" w:color="000000"/>
              <w:bottom w:val="single" w:sz="2" w:space="0" w:color="000000"/>
              <w:right w:val="single" w:sz="2" w:space="0" w:color="000000"/>
            </w:tcBorders>
            <w:vAlign w:val="center"/>
          </w:tcPr>
          <w:p w14:paraId="0C33A4C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4183</w:t>
            </w:r>
          </w:p>
        </w:tc>
        <w:tc>
          <w:tcPr>
            <w:tcW w:w="723" w:type="dxa"/>
            <w:tcBorders>
              <w:top w:val="single" w:sz="2" w:space="0" w:color="000000"/>
              <w:left w:val="single" w:sz="2" w:space="0" w:color="000000"/>
              <w:bottom w:val="single" w:sz="2" w:space="0" w:color="000000"/>
              <w:right w:val="single" w:sz="2" w:space="0" w:color="000000"/>
            </w:tcBorders>
            <w:vAlign w:val="center"/>
          </w:tcPr>
          <w:p w14:paraId="3444572E"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3638</w:t>
            </w:r>
          </w:p>
        </w:tc>
        <w:tc>
          <w:tcPr>
            <w:tcW w:w="723" w:type="dxa"/>
            <w:tcBorders>
              <w:top w:val="single" w:sz="2" w:space="0" w:color="000000"/>
              <w:left w:val="single" w:sz="2" w:space="0" w:color="000000"/>
              <w:bottom w:val="single" w:sz="2" w:space="0" w:color="000000"/>
              <w:right w:val="single" w:sz="2" w:space="0" w:color="000000"/>
            </w:tcBorders>
            <w:vAlign w:val="center"/>
          </w:tcPr>
          <w:p w14:paraId="3CD15C19"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3731</w:t>
            </w:r>
          </w:p>
        </w:tc>
        <w:tc>
          <w:tcPr>
            <w:tcW w:w="582" w:type="dxa"/>
            <w:tcBorders>
              <w:top w:val="single" w:sz="2" w:space="0" w:color="000000"/>
              <w:left w:val="single" w:sz="2" w:space="0" w:color="000000"/>
              <w:bottom w:val="single" w:sz="2" w:space="0" w:color="000000"/>
              <w:right w:val="single" w:sz="2" w:space="0" w:color="000000"/>
            </w:tcBorders>
            <w:vAlign w:val="center"/>
          </w:tcPr>
          <w:p w14:paraId="46C7037F"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3537</w:t>
            </w:r>
          </w:p>
        </w:tc>
        <w:tc>
          <w:tcPr>
            <w:tcW w:w="723" w:type="dxa"/>
            <w:tcBorders>
              <w:top w:val="single" w:sz="2" w:space="0" w:color="000000"/>
              <w:left w:val="single" w:sz="2" w:space="0" w:color="000000"/>
              <w:bottom w:val="single" w:sz="2" w:space="0" w:color="000000"/>
              <w:right w:val="single" w:sz="2" w:space="0" w:color="000000"/>
            </w:tcBorders>
            <w:vAlign w:val="center"/>
          </w:tcPr>
          <w:p w14:paraId="5BDE05DD"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932</w:t>
            </w:r>
          </w:p>
        </w:tc>
        <w:tc>
          <w:tcPr>
            <w:tcW w:w="724" w:type="dxa"/>
            <w:tcBorders>
              <w:top w:val="single" w:sz="2" w:space="0" w:color="000000"/>
              <w:left w:val="single" w:sz="2" w:space="0" w:color="000000"/>
              <w:bottom w:val="single" w:sz="2" w:space="0" w:color="000000"/>
              <w:right w:val="single" w:sz="2" w:space="0" w:color="000000"/>
            </w:tcBorders>
            <w:vAlign w:val="center"/>
          </w:tcPr>
          <w:p w14:paraId="6F93CA3F"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501</w:t>
            </w:r>
          </w:p>
        </w:tc>
        <w:tc>
          <w:tcPr>
            <w:tcW w:w="723" w:type="dxa"/>
            <w:tcBorders>
              <w:top w:val="single" w:sz="2" w:space="0" w:color="000000"/>
              <w:left w:val="single" w:sz="2" w:space="0" w:color="000000"/>
              <w:bottom w:val="single" w:sz="2" w:space="0" w:color="000000"/>
              <w:right w:val="single" w:sz="2" w:space="0" w:color="000000"/>
            </w:tcBorders>
            <w:vAlign w:val="center"/>
          </w:tcPr>
          <w:p w14:paraId="13C2C05C"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118</w:t>
            </w:r>
          </w:p>
        </w:tc>
        <w:tc>
          <w:tcPr>
            <w:tcW w:w="723" w:type="dxa"/>
            <w:tcBorders>
              <w:top w:val="single" w:sz="2" w:space="0" w:color="000000"/>
              <w:left w:val="single" w:sz="2" w:space="0" w:color="000000"/>
              <w:bottom w:val="single" w:sz="2" w:space="0" w:color="000000"/>
              <w:right w:val="single" w:sz="2" w:space="0" w:color="000000"/>
            </w:tcBorders>
            <w:vAlign w:val="center"/>
          </w:tcPr>
          <w:p w14:paraId="315A4B6F"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613</w:t>
            </w:r>
          </w:p>
        </w:tc>
        <w:tc>
          <w:tcPr>
            <w:tcW w:w="724" w:type="dxa"/>
            <w:tcBorders>
              <w:top w:val="single" w:sz="2" w:space="0" w:color="000000"/>
              <w:left w:val="single" w:sz="2" w:space="0" w:color="000000"/>
              <w:bottom w:val="single" w:sz="2" w:space="0" w:color="000000"/>
              <w:right w:val="single" w:sz="2" w:space="0" w:color="000000"/>
            </w:tcBorders>
            <w:vAlign w:val="center"/>
          </w:tcPr>
          <w:p w14:paraId="700CBC2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100</w:t>
            </w:r>
          </w:p>
        </w:tc>
      </w:tr>
      <w:tr w:rsidR="004D4A28" w:rsidRPr="00364545" w14:paraId="2E65640A" w14:textId="77777777" w:rsidTr="00361368">
        <w:trPr>
          <w:trHeight w:val="419"/>
        </w:trPr>
        <w:tc>
          <w:tcPr>
            <w:tcW w:w="1398" w:type="dxa"/>
            <w:tcBorders>
              <w:top w:val="single" w:sz="2" w:space="0" w:color="000000"/>
              <w:left w:val="single" w:sz="2" w:space="0" w:color="000000"/>
              <w:bottom w:val="single" w:sz="2" w:space="0" w:color="000000"/>
              <w:right w:val="single" w:sz="2" w:space="0" w:color="000000"/>
            </w:tcBorders>
            <w:shd w:val="clear" w:color="auto" w:fill="ECE6E2"/>
          </w:tcPr>
          <w:p w14:paraId="45EAE381" w14:textId="77777777" w:rsidR="004D4A28" w:rsidRPr="00364545" w:rsidRDefault="004D4A28" w:rsidP="00361368">
            <w:pPr>
              <w:spacing w:line="259" w:lineRule="auto"/>
            </w:pPr>
            <w:r>
              <w:rPr>
                <w:sz w:val="18"/>
              </w:rPr>
              <w:t xml:space="preserve">Procédés industriels, solvants et autres produits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26A5ED"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23831</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B85BAC"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25932</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A1C8E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11924</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A408B9"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6760</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EF88C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2287</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5E5585"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1291</w:t>
            </w:r>
          </w:p>
        </w:tc>
        <w:tc>
          <w:tcPr>
            <w:tcW w:w="5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037707"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918</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FA2BBA"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984</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6C2C6E"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893</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F131BC"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778</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0DBA00"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761</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A552C7"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712</w:t>
            </w:r>
          </w:p>
        </w:tc>
      </w:tr>
      <w:tr w:rsidR="004D4A28" w:rsidRPr="00364545" w14:paraId="0E51095A" w14:textId="77777777" w:rsidTr="00361368">
        <w:trPr>
          <w:trHeight w:val="347"/>
        </w:trPr>
        <w:tc>
          <w:tcPr>
            <w:tcW w:w="1398" w:type="dxa"/>
            <w:tcBorders>
              <w:top w:val="single" w:sz="2" w:space="0" w:color="000000"/>
              <w:left w:val="single" w:sz="2" w:space="0" w:color="000000"/>
              <w:bottom w:val="single" w:sz="2" w:space="0" w:color="000000"/>
              <w:right w:val="single" w:sz="2" w:space="0" w:color="000000"/>
            </w:tcBorders>
          </w:tcPr>
          <w:p w14:paraId="02BB9742" w14:textId="77777777" w:rsidR="004D4A28" w:rsidRPr="00364545" w:rsidRDefault="004D4A28" w:rsidP="00361368">
            <w:pPr>
              <w:spacing w:line="259" w:lineRule="auto"/>
            </w:pPr>
            <w:r>
              <w:rPr>
                <w:sz w:val="18"/>
              </w:rPr>
              <w:t xml:space="preserve">Agriculture (hors énergie) </w:t>
            </w:r>
          </w:p>
        </w:tc>
        <w:tc>
          <w:tcPr>
            <w:tcW w:w="722" w:type="dxa"/>
            <w:tcBorders>
              <w:top w:val="single" w:sz="2" w:space="0" w:color="000000"/>
              <w:left w:val="single" w:sz="2" w:space="0" w:color="000000"/>
              <w:bottom w:val="single" w:sz="2" w:space="0" w:color="000000"/>
              <w:right w:val="single" w:sz="2" w:space="0" w:color="000000"/>
            </w:tcBorders>
            <w:vAlign w:val="center"/>
          </w:tcPr>
          <w:p w14:paraId="71A682F9"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36691</w:t>
            </w:r>
          </w:p>
        </w:tc>
        <w:tc>
          <w:tcPr>
            <w:tcW w:w="722" w:type="dxa"/>
            <w:tcBorders>
              <w:top w:val="single" w:sz="2" w:space="0" w:color="000000"/>
              <w:left w:val="single" w:sz="2" w:space="0" w:color="000000"/>
              <w:bottom w:val="single" w:sz="2" w:space="0" w:color="000000"/>
              <w:right w:val="single" w:sz="2" w:space="0" w:color="000000"/>
            </w:tcBorders>
            <w:vAlign w:val="center"/>
          </w:tcPr>
          <w:p w14:paraId="1BFB714D"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35162</w:t>
            </w:r>
          </w:p>
        </w:tc>
        <w:tc>
          <w:tcPr>
            <w:tcW w:w="723" w:type="dxa"/>
            <w:tcBorders>
              <w:top w:val="single" w:sz="2" w:space="0" w:color="000000"/>
              <w:left w:val="single" w:sz="2" w:space="0" w:color="000000"/>
              <w:bottom w:val="single" w:sz="2" w:space="0" w:color="000000"/>
              <w:right w:val="single" w:sz="2" w:space="0" w:color="000000"/>
            </w:tcBorders>
            <w:vAlign w:val="center"/>
          </w:tcPr>
          <w:p w14:paraId="183659E3"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37106</w:t>
            </w:r>
          </w:p>
        </w:tc>
        <w:tc>
          <w:tcPr>
            <w:tcW w:w="724" w:type="dxa"/>
            <w:tcBorders>
              <w:top w:val="single" w:sz="2" w:space="0" w:color="000000"/>
              <w:left w:val="single" w:sz="2" w:space="0" w:color="000000"/>
              <w:bottom w:val="single" w:sz="2" w:space="0" w:color="000000"/>
              <w:right w:val="single" w:sz="2" w:space="0" w:color="000000"/>
            </w:tcBorders>
            <w:vAlign w:val="center"/>
          </w:tcPr>
          <w:p w14:paraId="782314CE"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34680</w:t>
            </w:r>
          </w:p>
        </w:tc>
        <w:tc>
          <w:tcPr>
            <w:tcW w:w="723" w:type="dxa"/>
            <w:tcBorders>
              <w:top w:val="single" w:sz="2" w:space="0" w:color="000000"/>
              <w:left w:val="single" w:sz="2" w:space="0" w:color="000000"/>
              <w:bottom w:val="single" w:sz="2" w:space="0" w:color="000000"/>
              <w:right w:val="single" w:sz="2" w:space="0" w:color="000000"/>
            </w:tcBorders>
            <w:vAlign w:val="center"/>
          </w:tcPr>
          <w:p w14:paraId="74E21DA4"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33892</w:t>
            </w:r>
          </w:p>
        </w:tc>
        <w:tc>
          <w:tcPr>
            <w:tcW w:w="723" w:type="dxa"/>
            <w:tcBorders>
              <w:top w:val="single" w:sz="2" w:space="0" w:color="000000"/>
              <w:left w:val="single" w:sz="2" w:space="0" w:color="000000"/>
              <w:bottom w:val="single" w:sz="2" w:space="0" w:color="000000"/>
              <w:right w:val="single" w:sz="2" w:space="0" w:color="000000"/>
            </w:tcBorders>
            <w:vAlign w:val="center"/>
          </w:tcPr>
          <w:p w14:paraId="219811B1"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34263</w:t>
            </w:r>
          </w:p>
        </w:tc>
        <w:tc>
          <w:tcPr>
            <w:tcW w:w="582" w:type="dxa"/>
            <w:tcBorders>
              <w:top w:val="single" w:sz="2" w:space="0" w:color="000000"/>
              <w:left w:val="single" w:sz="2" w:space="0" w:color="000000"/>
              <w:bottom w:val="single" w:sz="2" w:space="0" w:color="000000"/>
              <w:right w:val="single" w:sz="2" w:space="0" w:color="000000"/>
            </w:tcBorders>
            <w:vAlign w:val="center"/>
          </w:tcPr>
          <w:p w14:paraId="61EB898B"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33020</w:t>
            </w:r>
          </w:p>
        </w:tc>
        <w:tc>
          <w:tcPr>
            <w:tcW w:w="723" w:type="dxa"/>
            <w:tcBorders>
              <w:top w:val="single" w:sz="2" w:space="0" w:color="000000"/>
              <w:left w:val="single" w:sz="2" w:space="0" w:color="000000"/>
              <w:bottom w:val="single" w:sz="2" w:space="0" w:color="000000"/>
              <w:right w:val="single" w:sz="2" w:space="0" w:color="000000"/>
            </w:tcBorders>
            <w:vAlign w:val="center"/>
          </w:tcPr>
          <w:p w14:paraId="240875F6"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34</w:t>
            </w:r>
            <w:r w:rsidRPr="005D0955">
              <w:rPr>
                <w:rFonts w:ascii="Calibri" w:hAnsi="Calibri" w:cs="Calibri"/>
                <w:sz w:val="18"/>
                <w:szCs w:val="18"/>
              </w:rPr>
              <w:t> </w:t>
            </w:r>
            <w:r w:rsidRPr="00634E4C">
              <w:rPr>
                <w:rFonts w:asciiTheme="majorHAnsi" w:hAnsiTheme="majorHAnsi"/>
                <w:sz w:val="18"/>
              </w:rPr>
              <w:t>579</w:t>
            </w:r>
          </w:p>
        </w:tc>
        <w:tc>
          <w:tcPr>
            <w:tcW w:w="724" w:type="dxa"/>
            <w:tcBorders>
              <w:top w:val="single" w:sz="2" w:space="0" w:color="000000"/>
              <w:left w:val="single" w:sz="2" w:space="0" w:color="000000"/>
              <w:bottom w:val="single" w:sz="2" w:space="0" w:color="000000"/>
              <w:right w:val="single" w:sz="2" w:space="0" w:color="000000"/>
            </w:tcBorders>
            <w:vAlign w:val="center"/>
          </w:tcPr>
          <w:p w14:paraId="73A21763"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32</w:t>
            </w:r>
            <w:r w:rsidRPr="005D0955">
              <w:rPr>
                <w:rFonts w:ascii="Calibri" w:hAnsi="Calibri" w:cs="Calibri"/>
                <w:sz w:val="18"/>
                <w:szCs w:val="18"/>
              </w:rPr>
              <w:t> </w:t>
            </w:r>
            <w:r w:rsidRPr="00634E4C">
              <w:rPr>
                <w:rFonts w:asciiTheme="majorHAnsi" w:hAnsiTheme="majorHAnsi"/>
                <w:sz w:val="18"/>
              </w:rPr>
              <w:t>471</w:t>
            </w:r>
          </w:p>
        </w:tc>
        <w:tc>
          <w:tcPr>
            <w:tcW w:w="723" w:type="dxa"/>
            <w:tcBorders>
              <w:top w:val="single" w:sz="2" w:space="0" w:color="000000"/>
              <w:left w:val="single" w:sz="2" w:space="0" w:color="000000"/>
              <w:bottom w:val="single" w:sz="2" w:space="0" w:color="000000"/>
              <w:right w:val="single" w:sz="2" w:space="0" w:color="000000"/>
            </w:tcBorders>
            <w:vAlign w:val="center"/>
          </w:tcPr>
          <w:p w14:paraId="2C68139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30</w:t>
            </w:r>
            <w:r w:rsidRPr="005D0955">
              <w:rPr>
                <w:rFonts w:ascii="Calibri" w:hAnsi="Calibri" w:cs="Calibri"/>
                <w:sz w:val="18"/>
                <w:szCs w:val="18"/>
              </w:rPr>
              <w:t> </w:t>
            </w:r>
            <w:r w:rsidRPr="00634E4C">
              <w:rPr>
                <w:rFonts w:asciiTheme="majorHAnsi" w:hAnsiTheme="majorHAnsi"/>
                <w:sz w:val="18"/>
              </w:rPr>
              <w:t>826</w:t>
            </w:r>
          </w:p>
        </w:tc>
        <w:tc>
          <w:tcPr>
            <w:tcW w:w="723" w:type="dxa"/>
            <w:tcBorders>
              <w:top w:val="single" w:sz="2" w:space="0" w:color="000000"/>
              <w:left w:val="single" w:sz="2" w:space="0" w:color="000000"/>
              <w:bottom w:val="single" w:sz="2" w:space="0" w:color="000000"/>
              <w:right w:val="single" w:sz="2" w:space="0" w:color="000000"/>
            </w:tcBorders>
            <w:vAlign w:val="center"/>
          </w:tcPr>
          <w:p w14:paraId="2FC3A361"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29</w:t>
            </w:r>
            <w:r w:rsidRPr="005D0955">
              <w:rPr>
                <w:rFonts w:ascii="Calibri" w:hAnsi="Calibri" w:cs="Calibri"/>
                <w:sz w:val="18"/>
                <w:szCs w:val="18"/>
              </w:rPr>
              <w:t> </w:t>
            </w:r>
            <w:r w:rsidRPr="00634E4C">
              <w:rPr>
                <w:rFonts w:asciiTheme="majorHAnsi" w:hAnsiTheme="majorHAnsi"/>
                <w:sz w:val="18"/>
              </w:rPr>
              <w:t>519</w:t>
            </w:r>
          </w:p>
        </w:tc>
        <w:tc>
          <w:tcPr>
            <w:tcW w:w="724" w:type="dxa"/>
            <w:tcBorders>
              <w:top w:val="single" w:sz="2" w:space="0" w:color="000000"/>
              <w:left w:val="single" w:sz="2" w:space="0" w:color="000000"/>
              <w:bottom w:val="single" w:sz="2" w:space="0" w:color="000000"/>
              <w:right w:val="single" w:sz="2" w:space="0" w:color="000000"/>
            </w:tcBorders>
            <w:vAlign w:val="center"/>
          </w:tcPr>
          <w:p w14:paraId="7F5F83D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20</w:t>
            </w:r>
            <w:r w:rsidRPr="005D0955">
              <w:rPr>
                <w:rFonts w:ascii="Calibri" w:hAnsi="Calibri" w:cs="Calibri"/>
                <w:sz w:val="18"/>
                <w:szCs w:val="18"/>
              </w:rPr>
              <w:t> </w:t>
            </w:r>
            <w:r w:rsidRPr="00634E4C">
              <w:rPr>
                <w:rFonts w:asciiTheme="majorHAnsi" w:hAnsiTheme="majorHAnsi"/>
                <w:sz w:val="18"/>
              </w:rPr>
              <w:t>246</w:t>
            </w:r>
          </w:p>
        </w:tc>
      </w:tr>
      <w:tr w:rsidR="004D4A28" w:rsidRPr="00364545" w14:paraId="589EF459" w14:textId="77777777" w:rsidTr="00361368">
        <w:trPr>
          <w:trHeight w:val="342"/>
        </w:trPr>
        <w:tc>
          <w:tcPr>
            <w:tcW w:w="1398" w:type="dxa"/>
            <w:tcBorders>
              <w:top w:val="single" w:sz="2" w:space="0" w:color="000000"/>
              <w:left w:val="single" w:sz="2" w:space="0" w:color="000000"/>
              <w:bottom w:val="single" w:sz="2" w:space="0" w:color="000000"/>
              <w:right w:val="single" w:sz="2" w:space="0" w:color="000000"/>
            </w:tcBorders>
            <w:shd w:val="clear" w:color="auto" w:fill="ECE6E2"/>
          </w:tcPr>
          <w:p w14:paraId="55E07120" w14:textId="77777777" w:rsidR="004D4A28" w:rsidRPr="00364545" w:rsidRDefault="004D4A28" w:rsidP="00361368">
            <w:pPr>
              <w:spacing w:line="259" w:lineRule="auto"/>
            </w:pPr>
            <w:r>
              <w:rPr>
                <w:sz w:val="18"/>
              </w:rPr>
              <w:t xml:space="preserve">UTCF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60B1A4"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3226</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8BB25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3246</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44FA8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3193</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4B3DD9"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2971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906188"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3216</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FA84FC"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2944</w:t>
            </w:r>
          </w:p>
        </w:tc>
        <w:tc>
          <w:tcPr>
            <w:tcW w:w="5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CC9009"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2867</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BE96F7"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083</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B25894"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085</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FCC6E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082</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66B0E3"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076</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9C98CD"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059</w:t>
            </w:r>
          </w:p>
        </w:tc>
      </w:tr>
      <w:tr w:rsidR="004D4A28" w:rsidRPr="00364545" w14:paraId="00D35D03" w14:textId="77777777" w:rsidTr="00361368">
        <w:trPr>
          <w:trHeight w:val="347"/>
        </w:trPr>
        <w:tc>
          <w:tcPr>
            <w:tcW w:w="1398" w:type="dxa"/>
            <w:tcBorders>
              <w:top w:val="single" w:sz="2" w:space="0" w:color="000000"/>
              <w:left w:val="single" w:sz="2" w:space="0" w:color="000000"/>
              <w:bottom w:val="single" w:sz="2" w:space="0" w:color="000000"/>
              <w:right w:val="single" w:sz="2" w:space="0" w:color="000000"/>
            </w:tcBorders>
          </w:tcPr>
          <w:p w14:paraId="6510D691" w14:textId="77777777" w:rsidR="004D4A28" w:rsidRPr="00364545" w:rsidRDefault="004D4A28" w:rsidP="00361368">
            <w:pPr>
              <w:spacing w:line="259" w:lineRule="auto"/>
            </w:pPr>
            <w:r>
              <w:rPr>
                <w:sz w:val="18"/>
              </w:rPr>
              <w:t xml:space="preserve">Déchets </w:t>
            </w:r>
          </w:p>
        </w:tc>
        <w:tc>
          <w:tcPr>
            <w:tcW w:w="722" w:type="dxa"/>
            <w:tcBorders>
              <w:top w:val="single" w:sz="2" w:space="0" w:color="000000"/>
              <w:left w:val="single" w:sz="2" w:space="0" w:color="000000"/>
              <w:bottom w:val="single" w:sz="2" w:space="0" w:color="000000"/>
              <w:right w:val="single" w:sz="2" w:space="0" w:color="000000"/>
            </w:tcBorders>
            <w:vAlign w:val="center"/>
          </w:tcPr>
          <w:p w14:paraId="52046984"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771</w:t>
            </w:r>
          </w:p>
        </w:tc>
        <w:tc>
          <w:tcPr>
            <w:tcW w:w="722" w:type="dxa"/>
            <w:tcBorders>
              <w:top w:val="single" w:sz="2" w:space="0" w:color="000000"/>
              <w:left w:val="single" w:sz="2" w:space="0" w:color="000000"/>
              <w:bottom w:val="single" w:sz="2" w:space="0" w:color="000000"/>
              <w:right w:val="single" w:sz="2" w:space="0" w:color="000000"/>
            </w:tcBorders>
            <w:vAlign w:val="center"/>
          </w:tcPr>
          <w:p w14:paraId="0E50DBED"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796</w:t>
            </w:r>
          </w:p>
        </w:tc>
        <w:tc>
          <w:tcPr>
            <w:tcW w:w="723" w:type="dxa"/>
            <w:tcBorders>
              <w:top w:val="single" w:sz="2" w:space="0" w:color="000000"/>
              <w:left w:val="single" w:sz="2" w:space="0" w:color="000000"/>
              <w:bottom w:val="single" w:sz="2" w:space="0" w:color="000000"/>
              <w:right w:val="single" w:sz="2" w:space="0" w:color="000000"/>
            </w:tcBorders>
            <w:vAlign w:val="center"/>
          </w:tcPr>
          <w:p w14:paraId="4F11C6F3"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750</w:t>
            </w:r>
          </w:p>
        </w:tc>
        <w:tc>
          <w:tcPr>
            <w:tcW w:w="724" w:type="dxa"/>
            <w:tcBorders>
              <w:top w:val="single" w:sz="2" w:space="0" w:color="000000"/>
              <w:left w:val="single" w:sz="2" w:space="0" w:color="000000"/>
              <w:bottom w:val="single" w:sz="2" w:space="0" w:color="000000"/>
              <w:right w:val="single" w:sz="2" w:space="0" w:color="000000"/>
            </w:tcBorders>
            <w:vAlign w:val="center"/>
          </w:tcPr>
          <w:p w14:paraId="780A266D"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684</w:t>
            </w:r>
          </w:p>
        </w:tc>
        <w:tc>
          <w:tcPr>
            <w:tcW w:w="723" w:type="dxa"/>
            <w:tcBorders>
              <w:top w:val="single" w:sz="2" w:space="0" w:color="000000"/>
              <w:left w:val="single" w:sz="2" w:space="0" w:color="000000"/>
              <w:bottom w:val="single" w:sz="2" w:space="0" w:color="000000"/>
              <w:right w:val="single" w:sz="2" w:space="0" w:color="000000"/>
            </w:tcBorders>
            <w:vAlign w:val="center"/>
          </w:tcPr>
          <w:p w14:paraId="38710EBF"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661</w:t>
            </w:r>
          </w:p>
        </w:tc>
        <w:tc>
          <w:tcPr>
            <w:tcW w:w="723" w:type="dxa"/>
            <w:tcBorders>
              <w:top w:val="single" w:sz="2" w:space="0" w:color="000000"/>
              <w:left w:val="single" w:sz="2" w:space="0" w:color="000000"/>
              <w:bottom w:val="single" w:sz="2" w:space="0" w:color="000000"/>
              <w:right w:val="single" w:sz="2" w:space="0" w:color="000000"/>
            </w:tcBorders>
            <w:vAlign w:val="center"/>
          </w:tcPr>
          <w:p w14:paraId="644F85A2" w14:textId="77777777" w:rsidR="004D4A28" w:rsidRPr="00634E4C" w:rsidRDefault="004D4A28" w:rsidP="00361368">
            <w:pPr>
              <w:spacing w:line="259" w:lineRule="auto"/>
              <w:ind w:left="14"/>
              <w:jc w:val="center"/>
              <w:rPr>
                <w:rFonts w:asciiTheme="majorHAnsi" w:hAnsiTheme="majorHAnsi"/>
                <w:sz w:val="18"/>
              </w:rPr>
            </w:pPr>
            <w:r w:rsidRPr="005D0955">
              <w:rPr>
                <w:rFonts w:asciiTheme="majorHAnsi" w:hAnsiTheme="majorHAnsi"/>
                <w:sz w:val="18"/>
                <w:szCs w:val="18"/>
              </w:rPr>
              <w:t>610</w:t>
            </w:r>
          </w:p>
        </w:tc>
        <w:tc>
          <w:tcPr>
            <w:tcW w:w="582" w:type="dxa"/>
            <w:tcBorders>
              <w:top w:val="single" w:sz="2" w:space="0" w:color="000000"/>
              <w:left w:val="single" w:sz="2" w:space="0" w:color="000000"/>
              <w:bottom w:val="single" w:sz="2" w:space="0" w:color="000000"/>
              <w:right w:val="single" w:sz="2" w:space="0" w:color="000000"/>
            </w:tcBorders>
            <w:vAlign w:val="center"/>
          </w:tcPr>
          <w:p w14:paraId="59C6864B" w14:textId="77777777" w:rsidR="004D4A28" w:rsidRPr="005D0955" w:rsidRDefault="004D4A28" w:rsidP="00361368">
            <w:pPr>
              <w:spacing w:line="259" w:lineRule="auto"/>
              <w:ind w:left="14"/>
              <w:jc w:val="center"/>
              <w:rPr>
                <w:rFonts w:asciiTheme="majorHAnsi" w:hAnsiTheme="majorHAnsi"/>
                <w:sz w:val="18"/>
                <w:szCs w:val="18"/>
              </w:rPr>
            </w:pPr>
            <w:r w:rsidRPr="005D0955">
              <w:rPr>
                <w:rFonts w:asciiTheme="majorHAnsi" w:hAnsiTheme="majorHAnsi"/>
                <w:sz w:val="18"/>
                <w:szCs w:val="18"/>
              </w:rPr>
              <w:t>597</w:t>
            </w:r>
          </w:p>
        </w:tc>
        <w:tc>
          <w:tcPr>
            <w:tcW w:w="723" w:type="dxa"/>
            <w:tcBorders>
              <w:top w:val="single" w:sz="2" w:space="0" w:color="000000"/>
              <w:left w:val="single" w:sz="2" w:space="0" w:color="000000"/>
              <w:bottom w:val="single" w:sz="2" w:space="0" w:color="000000"/>
              <w:right w:val="single" w:sz="2" w:space="0" w:color="000000"/>
            </w:tcBorders>
            <w:vAlign w:val="center"/>
          </w:tcPr>
          <w:p w14:paraId="301AE169"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773</w:t>
            </w:r>
          </w:p>
        </w:tc>
        <w:tc>
          <w:tcPr>
            <w:tcW w:w="724" w:type="dxa"/>
            <w:tcBorders>
              <w:top w:val="single" w:sz="2" w:space="0" w:color="000000"/>
              <w:left w:val="single" w:sz="2" w:space="0" w:color="000000"/>
              <w:bottom w:val="single" w:sz="2" w:space="0" w:color="000000"/>
              <w:right w:val="single" w:sz="2" w:space="0" w:color="000000"/>
            </w:tcBorders>
            <w:vAlign w:val="center"/>
          </w:tcPr>
          <w:p w14:paraId="12463DC8"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828</w:t>
            </w:r>
          </w:p>
        </w:tc>
        <w:tc>
          <w:tcPr>
            <w:tcW w:w="723" w:type="dxa"/>
            <w:tcBorders>
              <w:top w:val="single" w:sz="2" w:space="0" w:color="000000"/>
              <w:left w:val="single" w:sz="2" w:space="0" w:color="000000"/>
              <w:bottom w:val="single" w:sz="2" w:space="0" w:color="000000"/>
              <w:right w:val="single" w:sz="2" w:space="0" w:color="000000"/>
            </w:tcBorders>
            <w:vAlign w:val="center"/>
          </w:tcPr>
          <w:p w14:paraId="2BBCE3D2"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837</w:t>
            </w:r>
          </w:p>
        </w:tc>
        <w:tc>
          <w:tcPr>
            <w:tcW w:w="723" w:type="dxa"/>
            <w:tcBorders>
              <w:top w:val="single" w:sz="2" w:space="0" w:color="000000"/>
              <w:left w:val="single" w:sz="2" w:space="0" w:color="000000"/>
              <w:bottom w:val="single" w:sz="2" w:space="0" w:color="000000"/>
              <w:right w:val="single" w:sz="2" w:space="0" w:color="000000"/>
            </w:tcBorders>
            <w:vAlign w:val="center"/>
          </w:tcPr>
          <w:p w14:paraId="087CB1AE"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827</w:t>
            </w:r>
          </w:p>
        </w:tc>
        <w:tc>
          <w:tcPr>
            <w:tcW w:w="724" w:type="dxa"/>
            <w:tcBorders>
              <w:top w:val="single" w:sz="2" w:space="0" w:color="000000"/>
              <w:left w:val="single" w:sz="2" w:space="0" w:color="000000"/>
              <w:bottom w:val="single" w:sz="2" w:space="0" w:color="000000"/>
              <w:right w:val="single" w:sz="2" w:space="0" w:color="000000"/>
            </w:tcBorders>
            <w:vAlign w:val="center"/>
          </w:tcPr>
          <w:p w14:paraId="32B91124" w14:textId="77777777" w:rsidR="004D4A28" w:rsidRPr="00634E4C" w:rsidRDefault="004D4A28" w:rsidP="00361368">
            <w:pPr>
              <w:spacing w:line="259" w:lineRule="auto"/>
              <w:ind w:left="14"/>
              <w:jc w:val="center"/>
              <w:rPr>
                <w:rFonts w:asciiTheme="majorHAnsi" w:hAnsiTheme="majorHAnsi"/>
                <w:sz w:val="18"/>
              </w:rPr>
            </w:pPr>
            <w:r w:rsidRPr="00634E4C">
              <w:rPr>
                <w:rFonts w:asciiTheme="majorHAnsi" w:hAnsiTheme="majorHAnsi"/>
                <w:sz w:val="18"/>
              </w:rPr>
              <w:t>798</w:t>
            </w:r>
          </w:p>
        </w:tc>
      </w:tr>
      <w:tr w:rsidR="004D4A28" w:rsidRPr="00364545" w14:paraId="158FA7D0" w14:textId="77777777" w:rsidTr="00361368">
        <w:trPr>
          <w:trHeight w:val="344"/>
        </w:trPr>
        <w:tc>
          <w:tcPr>
            <w:tcW w:w="1398" w:type="dxa"/>
            <w:tcBorders>
              <w:top w:val="single" w:sz="2" w:space="0" w:color="000000"/>
              <w:left w:val="single" w:sz="2" w:space="0" w:color="000000"/>
              <w:bottom w:val="single" w:sz="2" w:space="0" w:color="000000"/>
              <w:right w:val="single" w:sz="2" w:space="0" w:color="000000"/>
            </w:tcBorders>
            <w:shd w:val="clear" w:color="auto" w:fill="ECE6E2"/>
          </w:tcPr>
          <w:p w14:paraId="47A3E1C7" w14:textId="77777777" w:rsidR="004D4A28" w:rsidRPr="00364545" w:rsidRDefault="004D4A28" w:rsidP="00361368">
            <w:pPr>
              <w:spacing w:line="259" w:lineRule="auto"/>
            </w:pPr>
            <w:r>
              <w:rPr>
                <w:b/>
                <w:sz w:val="18"/>
              </w:rPr>
              <w:t xml:space="preserve">Ensemble (hors UTCF)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5197724"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64725</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FCA24D"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65937</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2EB587D"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53681</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AE7846"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46307</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48C623"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40478</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E5E2BD"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39895</w:t>
            </w:r>
          </w:p>
        </w:tc>
        <w:tc>
          <w:tcPr>
            <w:tcW w:w="58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5384514" w14:textId="77777777" w:rsidR="004D4A28" w:rsidRPr="005D0955" w:rsidRDefault="004D4A28" w:rsidP="00361368">
            <w:pPr>
              <w:spacing w:line="259" w:lineRule="auto"/>
              <w:ind w:left="14"/>
              <w:jc w:val="center"/>
              <w:rPr>
                <w:rFonts w:asciiTheme="majorHAnsi" w:hAnsiTheme="majorHAnsi"/>
                <w:b/>
                <w:sz w:val="18"/>
                <w:szCs w:val="18"/>
              </w:rPr>
            </w:pPr>
            <w:r w:rsidRPr="005D0955">
              <w:rPr>
                <w:rFonts w:asciiTheme="majorHAnsi" w:hAnsiTheme="majorHAnsi"/>
                <w:sz w:val="18"/>
                <w:szCs w:val="18"/>
              </w:rPr>
              <w:t>38071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BED0A1"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40</w:t>
            </w:r>
            <w:r w:rsidRPr="005D0955">
              <w:rPr>
                <w:rFonts w:ascii="Calibri" w:hAnsi="Calibri" w:cs="Calibri"/>
                <w:b/>
                <w:sz w:val="18"/>
                <w:szCs w:val="18"/>
              </w:rPr>
              <w:t> </w:t>
            </w:r>
            <w:r w:rsidRPr="00634E4C">
              <w:rPr>
                <w:rFonts w:asciiTheme="majorHAnsi" w:hAnsiTheme="majorHAnsi"/>
                <w:b/>
                <w:sz w:val="18"/>
              </w:rPr>
              <w:t>268</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568B74"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37</w:t>
            </w:r>
            <w:r w:rsidRPr="005D0955">
              <w:rPr>
                <w:rFonts w:ascii="Calibri" w:hAnsi="Calibri" w:cs="Calibri"/>
                <w:b/>
                <w:sz w:val="18"/>
                <w:szCs w:val="18"/>
              </w:rPr>
              <w:t> </w:t>
            </w:r>
            <w:r w:rsidRPr="00634E4C">
              <w:rPr>
                <w:rFonts w:asciiTheme="majorHAnsi" w:hAnsiTheme="majorHAnsi"/>
                <w:b/>
                <w:sz w:val="18"/>
              </w:rPr>
              <w:t>693</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30A840"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35</w:t>
            </w:r>
            <w:r w:rsidRPr="005D0955">
              <w:rPr>
                <w:rFonts w:ascii="Calibri" w:hAnsi="Calibri" w:cs="Calibri"/>
                <w:b/>
                <w:sz w:val="18"/>
                <w:szCs w:val="18"/>
              </w:rPr>
              <w:t> </w:t>
            </w:r>
            <w:r w:rsidRPr="00634E4C">
              <w:rPr>
                <w:rFonts w:asciiTheme="majorHAnsi" w:hAnsiTheme="majorHAnsi"/>
                <w:b/>
                <w:sz w:val="18"/>
              </w:rPr>
              <w:t>559</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B36130"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33</w:t>
            </w:r>
            <w:r w:rsidRPr="005D0955">
              <w:rPr>
                <w:rFonts w:ascii="Calibri" w:hAnsi="Calibri" w:cs="Calibri"/>
                <w:b/>
                <w:sz w:val="18"/>
                <w:szCs w:val="18"/>
              </w:rPr>
              <w:t> </w:t>
            </w:r>
            <w:r w:rsidRPr="00634E4C">
              <w:rPr>
                <w:rFonts w:asciiTheme="majorHAnsi" w:hAnsiTheme="majorHAnsi"/>
                <w:b/>
                <w:sz w:val="18"/>
              </w:rPr>
              <w:t>721</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A44249"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22</w:t>
            </w:r>
            <w:r w:rsidRPr="005D0955">
              <w:rPr>
                <w:rFonts w:ascii="Calibri" w:hAnsi="Calibri" w:cs="Calibri"/>
                <w:b/>
                <w:sz w:val="18"/>
                <w:szCs w:val="18"/>
              </w:rPr>
              <w:t> </w:t>
            </w:r>
            <w:r w:rsidRPr="00634E4C">
              <w:rPr>
                <w:rFonts w:asciiTheme="majorHAnsi" w:hAnsiTheme="majorHAnsi"/>
                <w:b/>
                <w:sz w:val="18"/>
              </w:rPr>
              <w:t>856</w:t>
            </w:r>
          </w:p>
        </w:tc>
      </w:tr>
      <w:tr w:rsidR="004D4A28" w:rsidRPr="00364545" w14:paraId="197CE095" w14:textId="77777777" w:rsidTr="00361368">
        <w:trPr>
          <w:trHeight w:val="346"/>
        </w:trPr>
        <w:tc>
          <w:tcPr>
            <w:tcW w:w="1398" w:type="dxa"/>
            <w:tcBorders>
              <w:top w:val="single" w:sz="2" w:space="0" w:color="000000"/>
              <w:left w:val="single" w:sz="2" w:space="0" w:color="000000"/>
              <w:bottom w:val="single" w:sz="2" w:space="0" w:color="000000"/>
              <w:right w:val="single" w:sz="2" w:space="0" w:color="000000"/>
            </w:tcBorders>
          </w:tcPr>
          <w:p w14:paraId="4325A05E" w14:textId="77777777" w:rsidR="004D4A28" w:rsidRPr="00364545" w:rsidRDefault="004D4A28" w:rsidP="00361368">
            <w:pPr>
              <w:spacing w:line="259" w:lineRule="auto"/>
            </w:pPr>
            <w:r>
              <w:rPr>
                <w:b/>
                <w:sz w:val="18"/>
              </w:rPr>
              <w:t xml:space="preserve">Ensemble (avec UTCF) </w:t>
            </w:r>
          </w:p>
        </w:tc>
        <w:tc>
          <w:tcPr>
            <w:tcW w:w="722" w:type="dxa"/>
            <w:tcBorders>
              <w:top w:val="single" w:sz="2" w:space="0" w:color="000000"/>
              <w:left w:val="single" w:sz="2" w:space="0" w:color="000000"/>
              <w:bottom w:val="single" w:sz="2" w:space="0" w:color="000000"/>
              <w:right w:val="single" w:sz="2" w:space="0" w:color="000000"/>
            </w:tcBorders>
            <w:vAlign w:val="center"/>
          </w:tcPr>
          <w:p w14:paraId="15861845"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67951</w:t>
            </w:r>
          </w:p>
        </w:tc>
        <w:tc>
          <w:tcPr>
            <w:tcW w:w="722" w:type="dxa"/>
            <w:tcBorders>
              <w:top w:val="single" w:sz="2" w:space="0" w:color="000000"/>
              <w:left w:val="single" w:sz="2" w:space="0" w:color="000000"/>
              <w:bottom w:val="single" w:sz="2" w:space="0" w:color="000000"/>
              <w:right w:val="single" w:sz="2" w:space="0" w:color="000000"/>
            </w:tcBorders>
            <w:vAlign w:val="center"/>
          </w:tcPr>
          <w:p w14:paraId="545DD041"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69183</w:t>
            </w:r>
          </w:p>
        </w:tc>
        <w:tc>
          <w:tcPr>
            <w:tcW w:w="723" w:type="dxa"/>
            <w:tcBorders>
              <w:top w:val="single" w:sz="2" w:space="0" w:color="000000"/>
              <w:left w:val="single" w:sz="2" w:space="0" w:color="000000"/>
              <w:bottom w:val="single" w:sz="2" w:space="0" w:color="000000"/>
              <w:right w:val="single" w:sz="2" w:space="0" w:color="000000"/>
            </w:tcBorders>
            <w:vAlign w:val="center"/>
          </w:tcPr>
          <w:p w14:paraId="2E0B2881"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56873</w:t>
            </w:r>
          </w:p>
        </w:tc>
        <w:tc>
          <w:tcPr>
            <w:tcW w:w="724" w:type="dxa"/>
            <w:tcBorders>
              <w:top w:val="single" w:sz="2" w:space="0" w:color="000000"/>
              <w:left w:val="single" w:sz="2" w:space="0" w:color="000000"/>
              <w:bottom w:val="single" w:sz="2" w:space="0" w:color="000000"/>
              <w:right w:val="single" w:sz="2" w:space="0" w:color="000000"/>
            </w:tcBorders>
            <w:vAlign w:val="center"/>
          </w:tcPr>
          <w:p w14:paraId="7D1D9D00"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49279</w:t>
            </w:r>
          </w:p>
        </w:tc>
        <w:tc>
          <w:tcPr>
            <w:tcW w:w="723" w:type="dxa"/>
            <w:tcBorders>
              <w:top w:val="single" w:sz="2" w:space="0" w:color="000000"/>
              <w:left w:val="single" w:sz="2" w:space="0" w:color="000000"/>
              <w:bottom w:val="single" w:sz="2" w:space="0" w:color="000000"/>
              <w:right w:val="single" w:sz="2" w:space="0" w:color="000000"/>
            </w:tcBorders>
            <w:vAlign w:val="center"/>
          </w:tcPr>
          <w:p w14:paraId="741CF56B"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43694</w:t>
            </w:r>
          </w:p>
        </w:tc>
        <w:tc>
          <w:tcPr>
            <w:tcW w:w="723" w:type="dxa"/>
            <w:tcBorders>
              <w:top w:val="single" w:sz="2" w:space="0" w:color="000000"/>
              <w:left w:val="single" w:sz="2" w:space="0" w:color="000000"/>
              <w:bottom w:val="single" w:sz="2" w:space="0" w:color="000000"/>
              <w:right w:val="single" w:sz="2" w:space="0" w:color="000000"/>
            </w:tcBorders>
            <w:vAlign w:val="center"/>
          </w:tcPr>
          <w:p w14:paraId="160003C8" w14:textId="77777777" w:rsidR="004D4A28" w:rsidRPr="00634E4C" w:rsidRDefault="004D4A28" w:rsidP="00361368">
            <w:pPr>
              <w:spacing w:line="259" w:lineRule="auto"/>
              <w:ind w:left="14"/>
              <w:jc w:val="center"/>
              <w:rPr>
                <w:rFonts w:asciiTheme="majorHAnsi" w:hAnsiTheme="majorHAnsi"/>
                <w:b/>
                <w:sz w:val="18"/>
              </w:rPr>
            </w:pPr>
            <w:r w:rsidRPr="005D0955">
              <w:rPr>
                <w:rFonts w:asciiTheme="majorHAnsi" w:hAnsiTheme="majorHAnsi"/>
                <w:sz w:val="18"/>
                <w:szCs w:val="18"/>
              </w:rPr>
              <w:t>42840</w:t>
            </w:r>
          </w:p>
        </w:tc>
        <w:tc>
          <w:tcPr>
            <w:tcW w:w="582" w:type="dxa"/>
            <w:tcBorders>
              <w:top w:val="single" w:sz="2" w:space="0" w:color="000000"/>
              <w:left w:val="single" w:sz="2" w:space="0" w:color="000000"/>
              <w:bottom w:val="single" w:sz="2" w:space="0" w:color="000000"/>
              <w:right w:val="single" w:sz="2" w:space="0" w:color="000000"/>
            </w:tcBorders>
            <w:vAlign w:val="center"/>
          </w:tcPr>
          <w:p w14:paraId="199DD784" w14:textId="77777777" w:rsidR="004D4A28" w:rsidRPr="005D0955" w:rsidRDefault="004D4A28" w:rsidP="00361368">
            <w:pPr>
              <w:spacing w:line="259" w:lineRule="auto"/>
              <w:ind w:left="14"/>
              <w:jc w:val="center"/>
              <w:rPr>
                <w:rFonts w:asciiTheme="majorHAnsi" w:hAnsiTheme="majorHAnsi"/>
                <w:b/>
                <w:sz w:val="18"/>
                <w:szCs w:val="18"/>
              </w:rPr>
            </w:pPr>
            <w:r w:rsidRPr="005D0955">
              <w:rPr>
                <w:rFonts w:asciiTheme="majorHAnsi" w:hAnsiTheme="majorHAnsi"/>
                <w:sz w:val="18"/>
                <w:szCs w:val="18"/>
              </w:rPr>
              <w:t>40939</w:t>
            </w:r>
          </w:p>
        </w:tc>
        <w:tc>
          <w:tcPr>
            <w:tcW w:w="723" w:type="dxa"/>
            <w:tcBorders>
              <w:top w:val="single" w:sz="2" w:space="0" w:color="000000"/>
              <w:left w:val="single" w:sz="2" w:space="0" w:color="000000"/>
              <w:bottom w:val="single" w:sz="2" w:space="0" w:color="000000"/>
              <w:right w:val="single" w:sz="2" w:space="0" w:color="000000"/>
            </w:tcBorders>
            <w:vAlign w:val="center"/>
          </w:tcPr>
          <w:p w14:paraId="57619DD8"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43</w:t>
            </w:r>
            <w:r w:rsidRPr="005D0955">
              <w:rPr>
                <w:rFonts w:ascii="Calibri" w:hAnsi="Calibri" w:cs="Calibri"/>
                <w:b/>
                <w:sz w:val="18"/>
                <w:szCs w:val="18"/>
              </w:rPr>
              <w:t> </w:t>
            </w:r>
            <w:r w:rsidRPr="00634E4C">
              <w:rPr>
                <w:rFonts w:asciiTheme="majorHAnsi" w:hAnsiTheme="majorHAnsi"/>
                <w:b/>
                <w:sz w:val="18"/>
              </w:rPr>
              <w:t>352</w:t>
            </w:r>
          </w:p>
        </w:tc>
        <w:tc>
          <w:tcPr>
            <w:tcW w:w="724" w:type="dxa"/>
            <w:tcBorders>
              <w:top w:val="single" w:sz="2" w:space="0" w:color="000000"/>
              <w:left w:val="single" w:sz="2" w:space="0" w:color="000000"/>
              <w:bottom w:val="single" w:sz="2" w:space="0" w:color="000000"/>
              <w:right w:val="single" w:sz="2" w:space="0" w:color="000000"/>
            </w:tcBorders>
            <w:vAlign w:val="center"/>
          </w:tcPr>
          <w:p w14:paraId="56F15ED4"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40</w:t>
            </w:r>
            <w:r w:rsidRPr="005D0955">
              <w:rPr>
                <w:rFonts w:ascii="Calibri" w:hAnsi="Calibri" w:cs="Calibri"/>
                <w:b/>
                <w:sz w:val="18"/>
                <w:szCs w:val="18"/>
              </w:rPr>
              <w:t> </w:t>
            </w:r>
            <w:r w:rsidRPr="00634E4C">
              <w:rPr>
                <w:rFonts w:asciiTheme="majorHAnsi" w:hAnsiTheme="majorHAnsi"/>
                <w:b/>
                <w:sz w:val="18"/>
              </w:rPr>
              <w:t>778</w:t>
            </w:r>
          </w:p>
        </w:tc>
        <w:tc>
          <w:tcPr>
            <w:tcW w:w="723" w:type="dxa"/>
            <w:tcBorders>
              <w:top w:val="single" w:sz="2" w:space="0" w:color="000000"/>
              <w:left w:val="single" w:sz="2" w:space="0" w:color="000000"/>
              <w:bottom w:val="single" w:sz="2" w:space="0" w:color="000000"/>
              <w:right w:val="single" w:sz="2" w:space="0" w:color="000000"/>
            </w:tcBorders>
            <w:vAlign w:val="center"/>
          </w:tcPr>
          <w:p w14:paraId="04CFD26C"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38</w:t>
            </w:r>
            <w:r w:rsidRPr="005D0955">
              <w:rPr>
                <w:rFonts w:ascii="Calibri" w:hAnsi="Calibri" w:cs="Calibri"/>
                <w:b/>
                <w:sz w:val="18"/>
                <w:szCs w:val="18"/>
              </w:rPr>
              <w:t> </w:t>
            </w:r>
            <w:r w:rsidRPr="00634E4C">
              <w:rPr>
                <w:rFonts w:asciiTheme="majorHAnsi" w:hAnsiTheme="majorHAnsi"/>
                <w:b/>
                <w:sz w:val="18"/>
              </w:rPr>
              <w:t>641</w:t>
            </w:r>
          </w:p>
        </w:tc>
        <w:tc>
          <w:tcPr>
            <w:tcW w:w="723" w:type="dxa"/>
            <w:tcBorders>
              <w:top w:val="single" w:sz="2" w:space="0" w:color="000000"/>
              <w:left w:val="single" w:sz="2" w:space="0" w:color="000000"/>
              <w:bottom w:val="single" w:sz="2" w:space="0" w:color="000000"/>
              <w:right w:val="single" w:sz="2" w:space="0" w:color="000000"/>
            </w:tcBorders>
            <w:vAlign w:val="center"/>
          </w:tcPr>
          <w:p w14:paraId="33C81FD3"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36</w:t>
            </w:r>
            <w:r w:rsidRPr="005D0955">
              <w:rPr>
                <w:rFonts w:ascii="Calibri" w:hAnsi="Calibri" w:cs="Calibri"/>
                <w:b/>
                <w:sz w:val="18"/>
                <w:szCs w:val="18"/>
              </w:rPr>
              <w:t> </w:t>
            </w:r>
            <w:r w:rsidRPr="00634E4C">
              <w:rPr>
                <w:rFonts w:asciiTheme="majorHAnsi" w:hAnsiTheme="majorHAnsi"/>
                <w:b/>
                <w:sz w:val="18"/>
              </w:rPr>
              <w:t>797</w:t>
            </w:r>
          </w:p>
        </w:tc>
        <w:tc>
          <w:tcPr>
            <w:tcW w:w="724" w:type="dxa"/>
            <w:tcBorders>
              <w:top w:val="single" w:sz="2" w:space="0" w:color="000000"/>
              <w:left w:val="single" w:sz="2" w:space="0" w:color="000000"/>
              <w:bottom w:val="single" w:sz="2" w:space="0" w:color="000000"/>
              <w:right w:val="single" w:sz="2" w:space="0" w:color="000000"/>
            </w:tcBorders>
            <w:vAlign w:val="center"/>
          </w:tcPr>
          <w:p w14:paraId="1F79AA09" w14:textId="77777777" w:rsidR="004D4A28" w:rsidRPr="00634E4C" w:rsidRDefault="004D4A28" w:rsidP="00361368">
            <w:pPr>
              <w:spacing w:line="259" w:lineRule="auto"/>
              <w:ind w:left="14"/>
              <w:jc w:val="center"/>
              <w:rPr>
                <w:rFonts w:asciiTheme="majorHAnsi" w:hAnsiTheme="majorHAnsi"/>
                <w:b/>
                <w:sz w:val="18"/>
              </w:rPr>
            </w:pPr>
            <w:r w:rsidRPr="00634E4C">
              <w:rPr>
                <w:rFonts w:asciiTheme="majorHAnsi" w:hAnsiTheme="majorHAnsi"/>
                <w:b/>
                <w:sz w:val="18"/>
              </w:rPr>
              <w:t>25</w:t>
            </w:r>
            <w:r w:rsidRPr="005D0955">
              <w:rPr>
                <w:rFonts w:ascii="Calibri" w:hAnsi="Calibri" w:cs="Calibri"/>
                <w:b/>
                <w:sz w:val="18"/>
                <w:szCs w:val="18"/>
              </w:rPr>
              <w:t> </w:t>
            </w:r>
            <w:r w:rsidRPr="00634E4C">
              <w:rPr>
                <w:rFonts w:asciiTheme="majorHAnsi" w:hAnsiTheme="majorHAnsi"/>
                <w:b/>
                <w:sz w:val="18"/>
              </w:rPr>
              <w:t>914</w:t>
            </w:r>
          </w:p>
        </w:tc>
      </w:tr>
    </w:tbl>
    <w:p w14:paraId="66C06847" w14:textId="77777777" w:rsidR="004D4A28" w:rsidRDefault="004D4A28" w:rsidP="004D4A28"/>
    <w:p w14:paraId="7E6D55D0" w14:textId="77777777" w:rsidR="004D4A28" w:rsidRDefault="004D4A28" w:rsidP="004D4A28">
      <w:pPr>
        <w:pStyle w:val="Caption"/>
      </w:pPr>
      <w:bookmarkStart w:id="169" w:name="_Toc123916520"/>
      <w:r>
        <w:t xml:space="preserve">Tableau </w:t>
      </w:r>
      <w:r w:rsidR="00757301">
        <w:fldChar w:fldCharType="begin"/>
      </w:r>
      <w:r w:rsidR="00757301">
        <w:instrText xml:space="preserve"> SEQ Tableau \* ARABIC </w:instrText>
      </w:r>
      <w:r w:rsidR="00757301">
        <w:fldChar w:fldCharType="separate"/>
      </w:r>
      <w:r>
        <w:rPr>
          <w:noProof/>
        </w:rPr>
        <w:t>28</w:t>
      </w:r>
      <w:r w:rsidR="00757301">
        <w:rPr>
          <w:noProof/>
        </w:rPr>
        <w:fldChar w:fldCharType="end"/>
      </w:r>
      <w:r>
        <w:t xml:space="preserve"> : </w:t>
      </w:r>
      <w:r w:rsidRPr="00637624">
        <w:t xml:space="preserve">Projections d’émissions de </w:t>
      </w:r>
      <w:r w:rsidRPr="00141043">
        <w:t>N</w:t>
      </w:r>
      <w:r w:rsidRPr="004F1EC8">
        <w:rPr>
          <w:vertAlign w:val="subscript"/>
        </w:rPr>
        <w:t>2</w:t>
      </w:r>
      <w:r w:rsidRPr="00141043">
        <w:t>O</w:t>
      </w:r>
      <w:r>
        <w:t xml:space="preserve"> </w:t>
      </w:r>
      <w:r w:rsidRPr="00637624">
        <w:t xml:space="preserve">(en </w:t>
      </w:r>
      <w:r w:rsidRPr="00590551">
        <w:t>kt</w:t>
      </w:r>
      <w:r>
        <w:t>CO</w:t>
      </w:r>
      <w:r w:rsidRPr="007F09F7">
        <w:rPr>
          <w:vertAlign w:val="subscript"/>
        </w:rPr>
        <w:t>2</w:t>
      </w:r>
      <w:r w:rsidRPr="00637624">
        <w:rPr>
          <w:vertAlign w:val="subscript"/>
        </w:rPr>
        <w:t>e</w:t>
      </w:r>
      <w:r w:rsidRPr="00637624">
        <w:t xml:space="preserve">) au périmètre Kyoto dans le scénario </w:t>
      </w:r>
      <w:r>
        <w:t xml:space="preserve">AMS 2018 </w:t>
      </w:r>
      <w:r w:rsidRPr="00637624">
        <w:t xml:space="preserve">(avec mesures </w:t>
      </w:r>
      <w:r>
        <w:t>supplémentaires</w:t>
      </w:r>
      <w:r w:rsidRPr="00637624">
        <w:t>)</w:t>
      </w:r>
      <w:bookmarkEnd w:id="169"/>
    </w:p>
    <w:p w14:paraId="43820D97" w14:textId="77777777" w:rsidR="004D4A28" w:rsidRPr="006E15FD" w:rsidRDefault="004D4A28" w:rsidP="004D4A28">
      <w:pPr>
        <w:pStyle w:val="Caption"/>
      </w:pPr>
      <w:r w:rsidRPr="006E15FD">
        <w:t xml:space="preserve">Source : Inventaire CCNUCC, Citepa/MTE, soumission </w:t>
      </w:r>
      <w:r>
        <w:t>2022</w:t>
      </w:r>
      <w:r w:rsidRPr="006E15FD">
        <w:t xml:space="preserve"> et projections d’émissions MTE, 20</w:t>
      </w:r>
      <w:r>
        <w:t>18</w:t>
      </w:r>
    </w:p>
    <w:p w14:paraId="6F502B9A" w14:textId="77777777" w:rsidR="004D4A28" w:rsidRPr="00364545" w:rsidRDefault="004D4A28" w:rsidP="004D4A28"/>
    <w:tbl>
      <w:tblPr>
        <w:tblStyle w:val="TableGrid0"/>
        <w:tblW w:w="9934" w:type="dxa"/>
        <w:tblInd w:w="10" w:type="dxa"/>
        <w:tblCellMar>
          <w:top w:w="39" w:type="dxa"/>
          <w:left w:w="28" w:type="dxa"/>
          <w:bottom w:w="2" w:type="dxa"/>
        </w:tblCellMar>
        <w:tblLook w:val="04A0" w:firstRow="1" w:lastRow="0" w:firstColumn="1" w:lastColumn="0" w:noHBand="0" w:noVBand="1"/>
      </w:tblPr>
      <w:tblGrid>
        <w:gridCol w:w="1323"/>
        <w:gridCol w:w="724"/>
        <w:gridCol w:w="713"/>
        <w:gridCol w:w="718"/>
        <w:gridCol w:w="740"/>
        <w:gridCol w:w="740"/>
        <w:gridCol w:w="736"/>
        <w:gridCol w:w="622"/>
        <w:gridCol w:w="735"/>
        <w:gridCol w:w="723"/>
        <w:gridCol w:w="718"/>
        <w:gridCol w:w="723"/>
        <w:gridCol w:w="719"/>
      </w:tblGrid>
      <w:tr w:rsidR="004D4A28" w:rsidRPr="00364545" w14:paraId="430D5D01" w14:textId="77777777" w:rsidTr="00361368">
        <w:trPr>
          <w:trHeight w:val="402"/>
        </w:trPr>
        <w:tc>
          <w:tcPr>
            <w:tcW w:w="1323" w:type="dxa"/>
            <w:tcBorders>
              <w:top w:val="single" w:sz="2" w:space="0" w:color="000000"/>
              <w:left w:val="single" w:sz="2" w:space="0" w:color="000000"/>
              <w:bottom w:val="single" w:sz="2" w:space="0" w:color="000000"/>
              <w:right w:val="single" w:sz="2" w:space="0" w:color="000000"/>
            </w:tcBorders>
            <w:shd w:val="clear" w:color="auto" w:fill="6D2A78"/>
          </w:tcPr>
          <w:p w14:paraId="71A5934D" w14:textId="77777777" w:rsidR="004D4A28" w:rsidRPr="00364545" w:rsidRDefault="004D4A28" w:rsidP="00361368">
            <w:pPr>
              <w:spacing w:line="259" w:lineRule="auto"/>
            </w:pPr>
            <w:r w:rsidRPr="00364545">
              <w:t>AMS 18 - HFC</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810E196" w14:textId="77777777" w:rsidR="004D4A28" w:rsidRPr="00364545" w:rsidRDefault="004D4A28" w:rsidP="00361368">
            <w:pPr>
              <w:spacing w:line="259" w:lineRule="auto"/>
              <w:ind w:right="30"/>
              <w:jc w:val="center"/>
            </w:pPr>
            <w:r w:rsidRPr="00364545">
              <w:rPr>
                <w:b/>
                <w:color w:val="FFFFFF"/>
                <w:sz w:val="18"/>
              </w:rPr>
              <w:t>1990</w:t>
            </w:r>
          </w:p>
        </w:tc>
        <w:tc>
          <w:tcPr>
            <w:tcW w:w="71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AAB37FF" w14:textId="77777777" w:rsidR="004D4A28" w:rsidRPr="00364545" w:rsidRDefault="004D4A28" w:rsidP="00361368">
            <w:pPr>
              <w:spacing w:line="259" w:lineRule="auto"/>
              <w:ind w:right="27"/>
              <w:jc w:val="center"/>
              <w:rPr>
                <w:b/>
                <w:color w:val="FFFFFF"/>
                <w:sz w:val="18"/>
              </w:rPr>
            </w:pPr>
            <w:r w:rsidRPr="00364545">
              <w:rPr>
                <w:b/>
                <w:color w:val="FFFFFF"/>
                <w:sz w:val="18"/>
              </w:rPr>
              <w:t>1995</w:t>
            </w:r>
          </w:p>
        </w:tc>
        <w:tc>
          <w:tcPr>
            <w:tcW w:w="71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58FF8E4" w14:textId="77777777" w:rsidR="004D4A28" w:rsidRPr="00364545" w:rsidRDefault="004D4A28" w:rsidP="00361368">
            <w:pPr>
              <w:spacing w:line="259" w:lineRule="auto"/>
              <w:ind w:right="27"/>
              <w:jc w:val="center"/>
            </w:pPr>
            <w:r w:rsidRPr="00364545">
              <w:rPr>
                <w:b/>
                <w:color w:val="FFFFFF"/>
                <w:sz w:val="18"/>
              </w:rPr>
              <w:t>2000</w:t>
            </w:r>
          </w:p>
        </w:tc>
        <w:tc>
          <w:tcPr>
            <w:tcW w:w="74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F4C3911" w14:textId="77777777" w:rsidR="004D4A28" w:rsidRPr="00364545" w:rsidRDefault="004D4A28" w:rsidP="00361368">
            <w:pPr>
              <w:spacing w:line="259" w:lineRule="auto"/>
              <w:ind w:right="30"/>
              <w:jc w:val="center"/>
            </w:pPr>
            <w:r w:rsidRPr="00364545">
              <w:rPr>
                <w:b/>
                <w:color w:val="FFFFFF"/>
                <w:sz w:val="18"/>
              </w:rPr>
              <w:t>2005</w:t>
            </w:r>
          </w:p>
        </w:tc>
        <w:tc>
          <w:tcPr>
            <w:tcW w:w="74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A360CC6" w14:textId="77777777" w:rsidR="004D4A28" w:rsidRPr="00364545" w:rsidRDefault="004D4A28" w:rsidP="00361368">
            <w:pPr>
              <w:spacing w:line="259" w:lineRule="auto"/>
              <w:ind w:right="27"/>
              <w:jc w:val="center"/>
            </w:pPr>
            <w:r w:rsidRPr="00364545">
              <w:rPr>
                <w:b/>
                <w:color w:val="FFFFFF"/>
                <w:sz w:val="18"/>
              </w:rPr>
              <w:t>2010</w:t>
            </w:r>
          </w:p>
        </w:tc>
        <w:tc>
          <w:tcPr>
            <w:tcW w:w="73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69512B3" w14:textId="77777777" w:rsidR="004D4A28" w:rsidRPr="00364545" w:rsidRDefault="004D4A28" w:rsidP="00361368">
            <w:pPr>
              <w:spacing w:line="259" w:lineRule="auto"/>
              <w:ind w:right="30"/>
              <w:jc w:val="center"/>
            </w:pPr>
            <w:r w:rsidRPr="00364545">
              <w:rPr>
                <w:b/>
                <w:color w:val="FFFFFF"/>
                <w:sz w:val="18"/>
              </w:rPr>
              <w:t>2015</w:t>
            </w:r>
          </w:p>
        </w:tc>
        <w:tc>
          <w:tcPr>
            <w:tcW w:w="622"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FFB1FCA" w14:textId="77777777" w:rsidR="004D4A28" w:rsidRPr="00364545" w:rsidRDefault="004D4A28" w:rsidP="00361368">
            <w:pPr>
              <w:spacing w:line="259" w:lineRule="auto"/>
              <w:ind w:right="27"/>
              <w:jc w:val="center"/>
              <w:rPr>
                <w:b/>
                <w:color w:val="FFFFFF"/>
                <w:sz w:val="18"/>
              </w:rPr>
            </w:pPr>
            <w:r>
              <w:rPr>
                <w:b/>
                <w:color w:val="FFFFFF"/>
                <w:sz w:val="18"/>
              </w:rPr>
              <w:t>2019</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FFF5C26" w14:textId="77777777" w:rsidR="004D4A28" w:rsidRPr="00364545" w:rsidRDefault="004D4A28" w:rsidP="00361368">
            <w:pPr>
              <w:spacing w:line="259" w:lineRule="auto"/>
              <w:ind w:right="27"/>
              <w:jc w:val="center"/>
            </w:pPr>
            <w:r w:rsidRPr="00364545">
              <w:rPr>
                <w:b/>
                <w:color w:val="FFFFFF"/>
                <w:sz w:val="18"/>
              </w:rPr>
              <w:t>2020</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27F20DC" w14:textId="77777777" w:rsidR="004D4A28" w:rsidRPr="00364545" w:rsidRDefault="004D4A28" w:rsidP="00361368">
            <w:pPr>
              <w:spacing w:line="259" w:lineRule="auto"/>
              <w:ind w:right="30"/>
              <w:jc w:val="center"/>
            </w:pPr>
            <w:r w:rsidRPr="00364545">
              <w:rPr>
                <w:b/>
                <w:color w:val="FFFFFF"/>
                <w:sz w:val="18"/>
              </w:rPr>
              <w:t>2025</w:t>
            </w:r>
          </w:p>
        </w:tc>
        <w:tc>
          <w:tcPr>
            <w:tcW w:w="71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21C3F8F" w14:textId="77777777" w:rsidR="004D4A28" w:rsidRPr="00364545" w:rsidRDefault="004D4A28" w:rsidP="00361368">
            <w:pPr>
              <w:spacing w:line="259" w:lineRule="auto"/>
              <w:ind w:right="27"/>
              <w:jc w:val="center"/>
            </w:pPr>
            <w:r w:rsidRPr="00364545">
              <w:rPr>
                <w:b/>
                <w:color w:val="FFFFFF"/>
                <w:sz w:val="18"/>
              </w:rPr>
              <w:t>2030</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0BF2E29" w14:textId="77777777" w:rsidR="004D4A28" w:rsidRPr="00364545" w:rsidRDefault="004D4A28" w:rsidP="00361368">
            <w:pPr>
              <w:spacing w:line="259" w:lineRule="auto"/>
              <w:ind w:right="28"/>
              <w:jc w:val="center"/>
            </w:pPr>
            <w:r w:rsidRPr="00364545">
              <w:rPr>
                <w:b/>
                <w:color w:val="FFFFFF"/>
                <w:sz w:val="18"/>
              </w:rPr>
              <w:t>2035</w:t>
            </w:r>
          </w:p>
        </w:tc>
        <w:tc>
          <w:tcPr>
            <w:tcW w:w="71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15ACA3C" w14:textId="77777777" w:rsidR="004D4A28" w:rsidRPr="00364545" w:rsidRDefault="004D4A28" w:rsidP="00361368">
            <w:pPr>
              <w:spacing w:line="259" w:lineRule="auto"/>
              <w:ind w:right="28"/>
              <w:jc w:val="center"/>
              <w:rPr>
                <w:b/>
                <w:color w:val="FFFFFF"/>
                <w:sz w:val="18"/>
              </w:rPr>
            </w:pPr>
            <w:r w:rsidRPr="00364545">
              <w:rPr>
                <w:b/>
                <w:color w:val="FFFFFF"/>
                <w:sz w:val="18"/>
              </w:rPr>
              <w:t>2050</w:t>
            </w:r>
          </w:p>
        </w:tc>
      </w:tr>
      <w:tr w:rsidR="004D4A28" w:rsidRPr="00364545" w14:paraId="49FF5767" w14:textId="77777777" w:rsidTr="00361368">
        <w:trPr>
          <w:trHeight w:val="344"/>
        </w:trPr>
        <w:tc>
          <w:tcPr>
            <w:tcW w:w="1323" w:type="dxa"/>
            <w:tcBorders>
              <w:top w:val="single" w:sz="2" w:space="0" w:color="000000"/>
              <w:left w:val="single" w:sz="2" w:space="0" w:color="000000"/>
              <w:bottom w:val="single" w:sz="2" w:space="0" w:color="000000"/>
              <w:right w:val="single" w:sz="2" w:space="0" w:color="000000"/>
            </w:tcBorders>
          </w:tcPr>
          <w:p w14:paraId="72B5B6EB" w14:textId="77777777" w:rsidR="004D4A28" w:rsidRPr="00364545" w:rsidRDefault="004D4A28" w:rsidP="00361368">
            <w:pPr>
              <w:spacing w:line="259" w:lineRule="auto"/>
            </w:pPr>
            <w:r>
              <w:rPr>
                <w:sz w:val="18"/>
              </w:rPr>
              <w:t xml:space="preserve">Energie </w:t>
            </w:r>
          </w:p>
        </w:tc>
        <w:tc>
          <w:tcPr>
            <w:tcW w:w="724" w:type="dxa"/>
            <w:tcBorders>
              <w:top w:val="single" w:sz="2" w:space="0" w:color="000000"/>
              <w:left w:val="single" w:sz="2" w:space="0" w:color="000000"/>
              <w:bottom w:val="single" w:sz="2" w:space="0" w:color="000000"/>
              <w:right w:val="single" w:sz="2" w:space="0" w:color="000000"/>
            </w:tcBorders>
            <w:vAlign w:val="center"/>
          </w:tcPr>
          <w:p w14:paraId="4037411E"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vAlign w:val="center"/>
          </w:tcPr>
          <w:p w14:paraId="22C9FD88"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3A1017E2"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16710BE6"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09E24562"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vAlign w:val="center"/>
          </w:tcPr>
          <w:p w14:paraId="488C7760"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4FCC6F3F"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vAlign w:val="center"/>
          </w:tcPr>
          <w:p w14:paraId="70D4A7C3"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2934E8E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6DD82342"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17CD9B68"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vAlign w:val="center"/>
          </w:tcPr>
          <w:p w14:paraId="45CFA525" w14:textId="77777777" w:rsidR="004D4A28" w:rsidRPr="005D0955" w:rsidRDefault="004D4A28" w:rsidP="003613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4D4A28" w:rsidRPr="00364545" w14:paraId="64921982" w14:textId="77777777" w:rsidTr="00361368">
        <w:trPr>
          <w:trHeight w:val="419"/>
        </w:trPr>
        <w:tc>
          <w:tcPr>
            <w:tcW w:w="1323" w:type="dxa"/>
            <w:tcBorders>
              <w:top w:val="single" w:sz="2" w:space="0" w:color="000000"/>
              <w:left w:val="single" w:sz="2" w:space="0" w:color="000000"/>
              <w:bottom w:val="single" w:sz="2" w:space="0" w:color="000000"/>
              <w:right w:val="single" w:sz="2" w:space="0" w:color="000000"/>
            </w:tcBorders>
            <w:shd w:val="clear" w:color="auto" w:fill="ECE6E2"/>
          </w:tcPr>
          <w:p w14:paraId="63C8F7E3" w14:textId="77777777" w:rsidR="004D4A28" w:rsidRPr="00364545" w:rsidRDefault="004D4A28" w:rsidP="00361368">
            <w:pPr>
              <w:spacing w:line="259" w:lineRule="auto"/>
            </w:pPr>
            <w:r>
              <w:rPr>
                <w:sz w:val="18"/>
              </w:rPr>
              <w:t xml:space="preserve">Procédés industriels, solvants et autres produits </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DAA7C4" w14:textId="77777777" w:rsidR="004D4A28" w:rsidRPr="00634E4C" w:rsidRDefault="004D4A28" w:rsidP="00361368">
            <w:pPr>
              <w:spacing w:line="259" w:lineRule="auto"/>
              <w:ind w:right="29"/>
              <w:jc w:val="center"/>
              <w:rPr>
                <w:rFonts w:asciiTheme="majorHAnsi" w:hAnsiTheme="majorHAnsi"/>
                <w:sz w:val="18"/>
              </w:rPr>
            </w:pPr>
            <w:r w:rsidRPr="005D0955">
              <w:rPr>
                <w:rFonts w:asciiTheme="majorHAnsi" w:hAnsiTheme="majorHAnsi"/>
                <w:sz w:val="18"/>
                <w:szCs w:val="18"/>
              </w:rPr>
              <w:t>4402</w:t>
            </w:r>
          </w:p>
        </w:tc>
        <w:tc>
          <w:tcPr>
            <w:tcW w:w="71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62DE0C" w14:textId="77777777" w:rsidR="004D4A28" w:rsidRPr="00634E4C" w:rsidRDefault="004D4A28" w:rsidP="00361368">
            <w:pPr>
              <w:spacing w:line="259" w:lineRule="auto"/>
              <w:ind w:right="29"/>
              <w:jc w:val="center"/>
              <w:rPr>
                <w:rFonts w:asciiTheme="majorHAnsi" w:hAnsiTheme="majorHAnsi"/>
                <w:sz w:val="18"/>
              </w:rPr>
            </w:pPr>
            <w:r w:rsidRPr="005D0955">
              <w:rPr>
                <w:rFonts w:asciiTheme="majorHAnsi" w:hAnsiTheme="majorHAnsi"/>
                <w:sz w:val="18"/>
                <w:szCs w:val="18"/>
              </w:rPr>
              <w:t>1702</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ED5603" w14:textId="77777777" w:rsidR="004D4A28" w:rsidRPr="00634E4C" w:rsidRDefault="004D4A28" w:rsidP="00361368">
            <w:pPr>
              <w:spacing w:line="259" w:lineRule="auto"/>
              <w:ind w:right="29"/>
              <w:jc w:val="center"/>
              <w:rPr>
                <w:rFonts w:asciiTheme="majorHAnsi" w:hAnsiTheme="majorHAnsi"/>
                <w:sz w:val="18"/>
              </w:rPr>
            </w:pPr>
            <w:r w:rsidRPr="005D0955">
              <w:rPr>
                <w:rFonts w:asciiTheme="majorHAnsi" w:hAnsiTheme="majorHAnsi"/>
                <w:sz w:val="18"/>
                <w:szCs w:val="18"/>
              </w:rPr>
              <w:t>6736</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09A169" w14:textId="77777777" w:rsidR="004D4A28" w:rsidRPr="00634E4C" w:rsidRDefault="004D4A28" w:rsidP="00361368">
            <w:pPr>
              <w:spacing w:line="259" w:lineRule="auto"/>
              <w:ind w:right="29"/>
              <w:jc w:val="center"/>
              <w:rPr>
                <w:rFonts w:asciiTheme="majorHAnsi" w:hAnsiTheme="majorHAnsi"/>
                <w:sz w:val="18"/>
              </w:rPr>
            </w:pPr>
            <w:r w:rsidRPr="005D0955">
              <w:rPr>
                <w:rFonts w:asciiTheme="majorHAnsi" w:hAnsiTheme="majorHAnsi"/>
                <w:sz w:val="18"/>
                <w:szCs w:val="18"/>
              </w:rPr>
              <w:t>12862</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81F756" w14:textId="77777777" w:rsidR="004D4A28" w:rsidRPr="00634E4C" w:rsidRDefault="004D4A28" w:rsidP="00361368">
            <w:pPr>
              <w:spacing w:line="259" w:lineRule="auto"/>
              <w:ind w:right="29"/>
              <w:jc w:val="center"/>
              <w:rPr>
                <w:rFonts w:asciiTheme="majorHAnsi" w:hAnsiTheme="majorHAnsi"/>
                <w:sz w:val="18"/>
              </w:rPr>
            </w:pPr>
            <w:r w:rsidRPr="005D0955">
              <w:rPr>
                <w:rFonts w:asciiTheme="majorHAnsi" w:hAnsiTheme="majorHAnsi"/>
                <w:sz w:val="18"/>
                <w:szCs w:val="18"/>
              </w:rPr>
              <w:t>16930</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FA6EF1" w14:textId="77777777" w:rsidR="004D4A28" w:rsidRPr="00634E4C" w:rsidRDefault="004D4A28" w:rsidP="00361368">
            <w:pPr>
              <w:spacing w:line="259" w:lineRule="auto"/>
              <w:ind w:right="29"/>
              <w:jc w:val="center"/>
              <w:rPr>
                <w:rFonts w:asciiTheme="majorHAnsi" w:hAnsiTheme="majorHAnsi"/>
                <w:sz w:val="18"/>
              </w:rPr>
            </w:pPr>
            <w:r w:rsidRPr="005D0955">
              <w:rPr>
                <w:rFonts w:asciiTheme="majorHAnsi" w:hAnsiTheme="majorHAnsi"/>
                <w:sz w:val="18"/>
                <w:szCs w:val="18"/>
              </w:rPr>
              <w:t>17494</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7EDF15" w14:textId="77777777" w:rsidR="004D4A28" w:rsidRPr="005D0955" w:rsidRDefault="004D4A28" w:rsidP="00361368">
            <w:pPr>
              <w:spacing w:line="259" w:lineRule="auto"/>
              <w:ind w:right="29"/>
              <w:jc w:val="center"/>
              <w:rPr>
                <w:rFonts w:asciiTheme="majorHAnsi" w:hAnsiTheme="majorHAnsi"/>
                <w:sz w:val="18"/>
                <w:szCs w:val="18"/>
              </w:rPr>
            </w:pPr>
            <w:r w:rsidRPr="005D0955">
              <w:rPr>
                <w:rFonts w:asciiTheme="majorHAnsi" w:hAnsiTheme="majorHAnsi"/>
                <w:sz w:val="18"/>
                <w:szCs w:val="18"/>
              </w:rPr>
              <w:t>12992</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40DFB5"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14</w:t>
            </w:r>
            <w:r w:rsidRPr="005D0955">
              <w:rPr>
                <w:rFonts w:ascii="Calibri" w:hAnsi="Calibri" w:cs="Calibri"/>
                <w:sz w:val="18"/>
                <w:szCs w:val="18"/>
              </w:rPr>
              <w:t> </w:t>
            </w:r>
            <w:r w:rsidRPr="00634E4C">
              <w:rPr>
                <w:rFonts w:asciiTheme="majorHAnsi" w:hAnsiTheme="majorHAnsi"/>
                <w:sz w:val="18"/>
              </w:rPr>
              <w:t>731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D2C346"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7</w:t>
            </w:r>
            <w:r w:rsidRPr="005D0955">
              <w:rPr>
                <w:rFonts w:ascii="Calibri" w:hAnsi="Calibri" w:cs="Calibri"/>
                <w:sz w:val="18"/>
                <w:szCs w:val="18"/>
              </w:rPr>
              <w:t> </w:t>
            </w:r>
            <w:r w:rsidRPr="00634E4C">
              <w:rPr>
                <w:rFonts w:asciiTheme="majorHAnsi" w:hAnsiTheme="majorHAnsi"/>
                <w:sz w:val="18"/>
              </w:rPr>
              <w:t>995</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9A27D3"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5</w:t>
            </w:r>
            <w:r w:rsidRPr="005D0955">
              <w:rPr>
                <w:rFonts w:ascii="Calibri" w:hAnsi="Calibri" w:cs="Calibri"/>
                <w:sz w:val="18"/>
                <w:szCs w:val="18"/>
              </w:rPr>
              <w:t> </w:t>
            </w:r>
            <w:r w:rsidRPr="00634E4C">
              <w:rPr>
                <w:rFonts w:asciiTheme="majorHAnsi" w:hAnsiTheme="majorHAnsi"/>
                <w:sz w:val="18"/>
              </w:rPr>
              <w:t>241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F6A9DC"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4</w:t>
            </w:r>
            <w:r w:rsidRPr="005D0955">
              <w:rPr>
                <w:rFonts w:ascii="Calibri" w:hAnsi="Calibri" w:cs="Calibri"/>
                <w:sz w:val="18"/>
                <w:szCs w:val="18"/>
              </w:rPr>
              <w:t> </w:t>
            </w:r>
            <w:r w:rsidRPr="00634E4C">
              <w:rPr>
                <w:rFonts w:asciiTheme="majorHAnsi" w:hAnsiTheme="majorHAnsi"/>
                <w:sz w:val="18"/>
              </w:rPr>
              <w:t>458</w:t>
            </w:r>
          </w:p>
        </w:tc>
        <w:tc>
          <w:tcPr>
            <w:tcW w:w="71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DF3F74"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109</w:t>
            </w:r>
          </w:p>
        </w:tc>
      </w:tr>
      <w:tr w:rsidR="004D4A28" w:rsidRPr="00364545" w14:paraId="6B607AA5" w14:textId="77777777" w:rsidTr="00361368">
        <w:trPr>
          <w:trHeight w:val="347"/>
        </w:trPr>
        <w:tc>
          <w:tcPr>
            <w:tcW w:w="1323" w:type="dxa"/>
            <w:tcBorders>
              <w:top w:val="single" w:sz="2" w:space="0" w:color="000000"/>
              <w:left w:val="single" w:sz="2" w:space="0" w:color="000000"/>
              <w:bottom w:val="single" w:sz="2" w:space="0" w:color="000000"/>
              <w:right w:val="single" w:sz="2" w:space="0" w:color="000000"/>
            </w:tcBorders>
          </w:tcPr>
          <w:p w14:paraId="53E97E4C" w14:textId="77777777" w:rsidR="004D4A28" w:rsidRPr="00364545" w:rsidRDefault="004D4A28" w:rsidP="00361368">
            <w:pPr>
              <w:spacing w:line="259" w:lineRule="auto"/>
            </w:pPr>
            <w:r>
              <w:rPr>
                <w:sz w:val="18"/>
              </w:rPr>
              <w:t xml:space="preserve">Agriculture (hors énergie) </w:t>
            </w:r>
          </w:p>
        </w:tc>
        <w:tc>
          <w:tcPr>
            <w:tcW w:w="724" w:type="dxa"/>
            <w:tcBorders>
              <w:top w:val="single" w:sz="2" w:space="0" w:color="000000"/>
              <w:left w:val="single" w:sz="2" w:space="0" w:color="000000"/>
              <w:bottom w:val="single" w:sz="2" w:space="0" w:color="000000"/>
              <w:right w:val="single" w:sz="2" w:space="0" w:color="000000"/>
            </w:tcBorders>
            <w:vAlign w:val="center"/>
          </w:tcPr>
          <w:p w14:paraId="3F9EFCEE"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vAlign w:val="center"/>
          </w:tcPr>
          <w:p w14:paraId="515A0FB3"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07192CAF"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6BD3E334"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3AC0337C"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vAlign w:val="center"/>
          </w:tcPr>
          <w:p w14:paraId="7A83DD9B"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2FD9810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vAlign w:val="center"/>
          </w:tcPr>
          <w:p w14:paraId="46382EAE"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74639F13"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2CDAA240"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5A8F3EF3"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vAlign w:val="center"/>
          </w:tcPr>
          <w:p w14:paraId="446ED7FA" w14:textId="77777777" w:rsidR="004D4A28" w:rsidRPr="005D0955" w:rsidRDefault="004D4A28" w:rsidP="003613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4D4A28" w:rsidRPr="00364545" w14:paraId="4EB70B27" w14:textId="77777777" w:rsidTr="00361368">
        <w:trPr>
          <w:trHeight w:val="342"/>
        </w:trPr>
        <w:tc>
          <w:tcPr>
            <w:tcW w:w="1323" w:type="dxa"/>
            <w:tcBorders>
              <w:top w:val="single" w:sz="2" w:space="0" w:color="000000"/>
              <w:left w:val="single" w:sz="2" w:space="0" w:color="000000"/>
              <w:bottom w:val="single" w:sz="2" w:space="0" w:color="000000"/>
              <w:right w:val="single" w:sz="2" w:space="0" w:color="000000"/>
            </w:tcBorders>
            <w:shd w:val="clear" w:color="auto" w:fill="ECE6E2"/>
          </w:tcPr>
          <w:p w14:paraId="6F4DEA33" w14:textId="77777777" w:rsidR="004D4A28" w:rsidRPr="00364545" w:rsidRDefault="004D4A28" w:rsidP="00361368">
            <w:pPr>
              <w:spacing w:line="259" w:lineRule="auto"/>
            </w:pPr>
            <w:r>
              <w:rPr>
                <w:sz w:val="18"/>
              </w:rPr>
              <w:t xml:space="preserve">UTCF </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B1E93D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1AC644"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35281F"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510C32"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4DB952"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CB72D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01FCE6"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4FC603"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6C65B7"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86FB5E"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660F7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6C9C5A" w14:textId="77777777" w:rsidR="004D4A28" w:rsidRPr="005D0955" w:rsidRDefault="004D4A28" w:rsidP="003613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4D4A28" w:rsidRPr="00364545" w14:paraId="39B09F2D" w14:textId="77777777" w:rsidTr="00361368">
        <w:trPr>
          <w:trHeight w:val="347"/>
        </w:trPr>
        <w:tc>
          <w:tcPr>
            <w:tcW w:w="1323" w:type="dxa"/>
            <w:tcBorders>
              <w:top w:val="single" w:sz="2" w:space="0" w:color="000000"/>
              <w:left w:val="single" w:sz="2" w:space="0" w:color="000000"/>
              <w:bottom w:val="single" w:sz="2" w:space="0" w:color="000000"/>
              <w:right w:val="single" w:sz="2" w:space="0" w:color="000000"/>
            </w:tcBorders>
          </w:tcPr>
          <w:p w14:paraId="5F33A491" w14:textId="77777777" w:rsidR="004D4A28" w:rsidRPr="00364545" w:rsidRDefault="004D4A28" w:rsidP="00361368">
            <w:pPr>
              <w:spacing w:line="259" w:lineRule="auto"/>
            </w:pPr>
            <w:r>
              <w:rPr>
                <w:sz w:val="18"/>
              </w:rPr>
              <w:t xml:space="preserve">Déchets </w:t>
            </w:r>
          </w:p>
        </w:tc>
        <w:tc>
          <w:tcPr>
            <w:tcW w:w="724" w:type="dxa"/>
            <w:tcBorders>
              <w:top w:val="single" w:sz="2" w:space="0" w:color="000000"/>
              <w:left w:val="single" w:sz="2" w:space="0" w:color="000000"/>
              <w:bottom w:val="single" w:sz="2" w:space="0" w:color="000000"/>
              <w:right w:val="single" w:sz="2" w:space="0" w:color="000000"/>
            </w:tcBorders>
            <w:vAlign w:val="center"/>
          </w:tcPr>
          <w:p w14:paraId="5B3D40DD"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vAlign w:val="center"/>
          </w:tcPr>
          <w:p w14:paraId="57EE5798"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6DA33EF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2AB3F814"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5540E976"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vAlign w:val="center"/>
          </w:tcPr>
          <w:p w14:paraId="364937AC"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31E9993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vAlign w:val="center"/>
          </w:tcPr>
          <w:p w14:paraId="69A81471"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7025331A"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5E26568B"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7FD2F420" w14:textId="77777777" w:rsidR="004D4A28" w:rsidRPr="00634E4C" w:rsidRDefault="004D4A28" w:rsidP="003613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vAlign w:val="center"/>
          </w:tcPr>
          <w:p w14:paraId="5AEC6376" w14:textId="77777777" w:rsidR="004D4A28" w:rsidRPr="005D0955" w:rsidRDefault="004D4A28" w:rsidP="003613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4D4A28" w:rsidRPr="00364545" w14:paraId="5BA656EC" w14:textId="77777777" w:rsidTr="00361368">
        <w:trPr>
          <w:trHeight w:val="344"/>
        </w:trPr>
        <w:tc>
          <w:tcPr>
            <w:tcW w:w="1323" w:type="dxa"/>
            <w:tcBorders>
              <w:top w:val="single" w:sz="2" w:space="0" w:color="000000"/>
              <w:left w:val="single" w:sz="2" w:space="0" w:color="000000"/>
              <w:bottom w:val="single" w:sz="2" w:space="0" w:color="000000"/>
              <w:right w:val="single" w:sz="2" w:space="0" w:color="000000"/>
            </w:tcBorders>
            <w:shd w:val="clear" w:color="auto" w:fill="ECE6E2"/>
          </w:tcPr>
          <w:p w14:paraId="47D75E1C" w14:textId="77777777" w:rsidR="004D4A28" w:rsidRPr="00364545" w:rsidRDefault="004D4A28" w:rsidP="00361368">
            <w:pPr>
              <w:spacing w:line="259" w:lineRule="auto"/>
            </w:pPr>
            <w:r>
              <w:rPr>
                <w:b/>
                <w:sz w:val="18"/>
              </w:rPr>
              <w:t xml:space="preserve">Ensemble (hors UTCF) </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422D11"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4402</w:t>
            </w:r>
          </w:p>
        </w:tc>
        <w:tc>
          <w:tcPr>
            <w:tcW w:w="71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C7B74D"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1702</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5CFBB72"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6736</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56E047"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12862</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E6E8CC"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16930</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7DAE42"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17494</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92CCC8" w14:textId="77777777" w:rsidR="004D4A28" w:rsidRPr="005D0955" w:rsidRDefault="004D4A28" w:rsidP="00361368">
            <w:pPr>
              <w:spacing w:line="259" w:lineRule="auto"/>
              <w:ind w:right="29"/>
              <w:jc w:val="center"/>
              <w:rPr>
                <w:rFonts w:asciiTheme="majorHAnsi" w:hAnsiTheme="majorHAnsi"/>
                <w:b/>
                <w:sz w:val="18"/>
                <w:szCs w:val="18"/>
              </w:rPr>
            </w:pPr>
            <w:r w:rsidRPr="005D0955">
              <w:rPr>
                <w:rFonts w:asciiTheme="majorHAnsi" w:hAnsiTheme="majorHAnsi"/>
                <w:sz w:val="18"/>
                <w:szCs w:val="18"/>
              </w:rPr>
              <w:t>12992</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C6CDF9"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14</w:t>
            </w:r>
            <w:r w:rsidRPr="005D0955">
              <w:rPr>
                <w:rFonts w:ascii="Calibri" w:hAnsi="Calibri" w:cs="Calibri"/>
                <w:b/>
                <w:sz w:val="18"/>
                <w:szCs w:val="18"/>
              </w:rPr>
              <w:t> </w:t>
            </w:r>
            <w:r w:rsidRPr="00634E4C">
              <w:rPr>
                <w:rFonts w:asciiTheme="majorHAnsi" w:hAnsiTheme="majorHAnsi"/>
                <w:b/>
                <w:sz w:val="18"/>
              </w:rPr>
              <w:t>731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D8C7F1"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7</w:t>
            </w:r>
            <w:r w:rsidRPr="005D0955">
              <w:rPr>
                <w:rFonts w:ascii="Calibri" w:hAnsi="Calibri" w:cs="Calibri"/>
                <w:b/>
                <w:sz w:val="18"/>
                <w:szCs w:val="18"/>
              </w:rPr>
              <w:t> </w:t>
            </w:r>
            <w:r w:rsidRPr="00634E4C">
              <w:rPr>
                <w:rFonts w:asciiTheme="majorHAnsi" w:hAnsiTheme="majorHAnsi"/>
                <w:b/>
                <w:sz w:val="18"/>
              </w:rPr>
              <w:t>995</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7B0D0A"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5</w:t>
            </w:r>
            <w:r w:rsidRPr="005D0955">
              <w:rPr>
                <w:rFonts w:ascii="Calibri" w:hAnsi="Calibri" w:cs="Calibri"/>
                <w:b/>
                <w:sz w:val="18"/>
                <w:szCs w:val="18"/>
              </w:rPr>
              <w:t> </w:t>
            </w:r>
            <w:r w:rsidRPr="00634E4C">
              <w:rPr>
                <w:rFonts w:asciiTheme="majorHAnsi" w:hAnsiTheme="majorHAnsi"/>
                <w:b/>
                <w:sz w:val="18"/>
              </w:rPr>
              <w:t>241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B02415"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4</w:t>
            </w:r>
            <w:r w:rsidRPr="005D0955">
              <w:rPr>
                <w:rFonts w:ascii="Calibri" w:hAnsi="Calibri" w:cs="Calibri"/>
                <w:b/>
                <w:sz w:val="18"/>
                <w:szCs w:val="18"/>
              </w:rPr>
              <w:t> </w:t>
            </w:r>
            <w:r w:rsidRPr="00634E4C">
              <w:rPr>
                <w:rFonts w:asciiTheme="majorHAnsi" w:hAnsiTheme="majorHAnsi"/>
                <w:b/>
                <w:sz w:val="18"/>
              </w:rPr>
              <w:t>458</w:t>
            </w:r>
          </w:p>
        </w:tc>
        <w:tc>
          <w:tcPr>
            <w:tcW w:w="71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64FF63"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2</w:t>
            </w:r>
            <w:r w:rsidRPr="005D0955">
              <w:rPr>
                <w:rFonts w:ascii="Calibri" w:hAnsi="Calibri" w:cs="Calibri"/>
                <w:b/>
                <w:sz w:val="18"/>
                <w:szCs w:val="18"/>
              </w:rPr>
              <w:t> </w:t>
            </w:r>
            <w:r w:rsidRPr="00634E4C">
              <w:rPr>
                <w:rFonts w:asciiTheme="majorHAnsi" w:hAnsiTheme="majorHAnsi"/>
                <w:b/>
                <w:sz w:val="18"/>
              </w:rPr>
              <w:t>109</w:t>
            </w:r>
          </w:p>
        </w:tc>
      </w:tr>
      <w:tr w:rsidR="004D4A28" w:rsidRPr="00364545" w14:paraId="472CB079" w14:textId="77777777" w:rsidTr="00361368">
        <w:trPr>
          <w:trHeight w:val="346"/>
        </w:trPr>
        <w:tc>
          <w:tcPr>
            <w:tcW w:w="1323" w:type="dxa"/>
            <w:tcBorders>
              <w:top w:val="single" w:sz="2" w:space="0" w:color="000000"/>
              <w:left w:val="single" w:sz="2" w:space="0" w:color="000000"/>
              <w:bottom w:val="single" w:sz="2" w:space="0" w:color="000000"/>
              <w:right w:val="single" w:sz="2" w:space="0" w:color="000000"/>
            </w:tcBorders>
          </w:tcPr>
          <w:p w14:paraId="17619366" w14:textId="77777777" w:rsidR="004D4A28" w:rsidRPr="00364545" w:rsidRDefault="004D4A28" w:rsidP="00361368">
            <w:pPr>
              <w:spacing w:line="259" w:lineRule="auto"/>
            </w:pPr>
            <w:r>
              <w:rPr>
                <w:b/>
                <w:sz w:val="18"/>
              </w:rPr>
              <w:t xml:space="preserve">Ensemble (avec UTCF) </w:t>
            </w:r>
          </w:p>
        </w:tc>
        <w:tc>
          <w:tcPr>
            <w:tcW w:w="724" w:type="dxa"/>
            <w:tcBorders>
              <w:top w:val="single" w:sz="2" w:space="0" w:color="000000"/>
              <w:left w:val="single" w:sz="2" w:space="0" w:color="000000"/>
              <w:bottom w:val="single" w:sz="2" w:space="0" w:color="000000"/>
              <w:right w:val="single" w:sz="2" w:space="0" w:color="000000"/>
            </w:tcBorders>
            <w:vAlign w:val="center"/>
          </w:tcPr>
          <w:p w14:paraId="1560669B"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4402</w:t>
            </w:r>
          </w:p>
        </w:tc>
        <w:tc>
          <w:tcPr>
            <w:tcW w:w="713" w:type="dxa"/>
            <w:tcBorders>
              <w:top w:val="single" w:sz="2" w:space="0" w:color="000000"/>
              <w:left w:val="single" w:sz="2" w:space="0" w:color="000000"/>
              <w:bottom w:val="single" w:sz="2" w:space="0" w:color="000000"/>
              <w:right w:val="single" w:sz="2" w:space="0" w:color="000000"/>
            </w:tcBorders>
            <w:vAlign w:val="center"/>
          </w:tcPr>
          <w:p w14:paraId="2E4D04C7"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1702</w:t>
            </w:r>
          </w:p>
        </w:tc>
        <w:tc>
          <w:tcPr>
            <w:tcW w:w="718" w:type="dxa"/>
            <w:tcBorders>
              <w:top w:val="single" w:sz="2" w:space="0" w:color="000000"/>
              <w:left w:val="single" w:sz="2" w:space="0" w:color="000000"/>
              <w:bottom w:val="single" w:sz="2" w:space="0" w:color="000000"/>
              <w:right w:val="single" w:sz="2" w:space="0" w:color="000000"/>
            </w:tcBorders>
            <w:vAlign w:val="center"/>
          </w:tcPr>
          <w:p w14:paraId="5BBD102C"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6736</w:t>
            </w:r>
          </w:p>
        </w:tc>
        <w:tc>
          <w:tcPr>
            <w:tcW w:w="740" w:type="dxa"/>
            <w:tcBorders>
              <w:top w:val="single" w:sz="2" w:space="0" w:color="000000"/>
              <w:left w:val="single" w:sz="2" w:space="0" w:color="000000"/>
              <w:bottom w:val="single" w:sz="2" w:space="0" w:color="000000"/>
              <w:right w:val="single" w:sz="2" w:space="0" w:color="000000"/>
            </w:tcBorders>
            <w:vAlign w:val="center"/>
          </w:tcPr>
          <w:p w14:paraId="7F224591"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12862</w:t>
            </w:r>
          </w:p>
        </w:tc>
        <w:tc>
          <w:tcPr>
            <w:tcW w:w="740" w:type="dxa"/>
            <w:tcBorders>
              <w:top w:val="single" w:sz="2" w:space="0" w:color="000000"/>
              <w:left w:val="single" w:sz="2" w:space="0" w:color="000000"/>
              <w:bottom w:val="single" w:sz="2" w:space="0" w:color="000000"/>
              <w:right w:val="single" w:sz="2" w:space="0" w:color="000000"/>
            </w:tcBorders>
            <w:vAlign w:val="center"/>
          </w:tcPr>
          <w:p w14:paraId="60D3C6DB"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16930</w:t>
            </w:r>
          </w:p>
        </w:tc>
        <w:tc>
          <w:tcPr>
            <w:tcW w:w="736" w:type="dxa"/>
            <w:tcBorders>
              <w:top w:val="single" w:sz="2" w:space="0" w:color="000000"/>
              <w:left w:val="single" w:sz="2" w:space="0" w:color="000000"/>
              <w:bottom w:val="single" w:sz="2" w:space="0" w:color="000000"/>
              <w:right w:val="single" w:sz="2" w:space="0" w:color="000000"/>
            </w:tcBorders>
            <w:vAlign w:val="center"/>
          </w:tcPr>
          <w:p w14:paraId="3780B113" w14:textId="77777777" w:rsidR="004D4A28" w:rsidRPr="00634E4C" w:rsidRDefault="004D4A28" w:rsidP="00361368">
            <w:pPr>
              <w:spacing w:line="259" w:lineRule="auto"/>
              <w:ind w:right="29"/>
              <w:jc w:val="center"/>
              <w:rPr>
                <w:rFonts w:asciiTheme="majorHAnsi" w:hAnsiTheme="majorHAnsi"/>
                <w:b/>
                <w:sz w:val="18"/>
              </w:rPr>
            </w:pPr>
            <w:r w:rsidRPr="005D0955">
              <w:rPr>
                <w:rFonts w:asciiTheme="majorHAnsi" w:hAnsiTheme="majorHAnsi"/>
                <w:sz w:val="18"/>
                <w:szCs w:val="18"/>
              </w:rPr>
              <w:t>17494</w:t>
            </w:r>
          </w:p>
        </w:tc>
        <w:tc>
          <w:tcPr>
            <w:tcW w:w="622" w:type="dxa"/>
            <w:tcBorders>
              <w:top w:val="single" w:sz="2" w:space="0" w:color="000000"/>
              <w:left w:val="single" w:sz="2" w:space="0" w:color="000000"/>
              <w:bottom w:val="single" w:sz="2" w:space="0" w:color="000000"/>
              <w:right w:val="single" w:sz="2" w:space="0" w:color="000000"/>
            </w:tcBorders>
            <w:vAlign w:val="center"/>
          </w:tcPr>
          <w:p w14:paraId="5F1606DC" w14:textId="77777777" w:rsidR="004D4A28" w:rsidRPr="005D0955" w:rsidRDefault="004D4A28" w:rsidP="00361368">
            <w:pPr>
              <w:spacing w:line="259" w:lineRule="auto"/>
              <w:ind w:right="29"/>
              <w:jc w:val="center"/>
              <w:rPr>
                <w:rFonts w:asciiTheme="majorHAnsi" w:hAnsiTheme="majorHAnsi"/>
                <w:b/>
                <w:sz w:val="18"/>
                <w:szCs w:val="18"/>
              </w:rPr>
            </w:pPr>
            <w:r w:rsidRPr="005D0955">
              <w:rPr>
                <w:rFonts w:asciiTheme="majorHAnsi" w:hAnsiTheme="majorHAnsi"/>
                <w:sz w:val="18"/>
                <w:szCs w:val="18"/>
              </w:rPr>
              <w:t>12992</w:t>
            </w:r>
          </w:p>
        </w:tc>
        <w:tc>
          <w:tcPr>
            <w:tcW w:w="735" w:type="dxa"/>
            <w:tcBorders>
              <w:top w:val="single" w:sz="2" w:space="0" w:color="000000"/>
              <w:left w:val="single" w:sz="2" w:space="0" w:color="000000"/>
              <w:bottom w:val="single" w:sz="2" w:space="0" w:color="000000"/>
              <w:right w:val="single" w:sz="2" w:space="0" w:color="000000"/>
            </w:tcBorders>
            <w:vAlign w:val="center"/>
          </w:tcPr>
          <w:p w14:paraId="6B120168"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14</w:t>
            </w:r>
            <w:r w:rsidRPr="005D0955">
              <w:rPr>
                <w:rFonts w:ascii="Calibri" w:hAnsi="Calibri" w:cs="Calibri"/>
                <w:b/>
                <w:sz w:val="18"/>
                <w:szCs w:val="18"/>
              </w:rPr>
              <w:t> </w:t>
            </w:r>
            <w:r w:rsidRPr="00634E4C">
              <w:rPr>
                <w:rFonts w:asciiTheme="majorHAnsi" w:hAnsiTheme="majorHAnsi"/>
                <w:b/>
                <w:sz w:val="18"/>
              </w:rPr>
              <w:t>731</w:t>
            </w:r>
          </w:p>
        </w:tc>
        <w:tc>
          <w:tcPr>
            <w:tcW w:w="723" w:type="dxa"/>
            <w:tcBorders>
              <w:top w:val="single" w:sz="2" w:space="0" w:color="000000"/>
              <w:left w:val="single" w:sz="2" w:space="0" w:color="000000"/>
              <w:bottom w:val="single" w:sz="2" w:space="0" w:color="000000"/>
              <w:right w:val="single" w:sz="2" w:space="0" w:color="000000"/>
            </w:tcBorders>
            <w:vAlign w:val="center"/>
          </w:tcPr>
          <w:p w14:paraId="2CCCEAAB"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7</w:t>
            </w:r>
            <w:r w:rsidRPr="005D0955">
              <w:rPr>
                <w:rFonts w:ascii="Calibri" w:hAnsi="Calibri" w:cs="Calibri"/>
                <w:b/>
                <w:sz w:val="18"/>
                <w:szCs w:val="18"/>
              </w:rPr>
              <w:t> </w:t>
            </w:r>
            <w:r w:rsidRPr="00634E4C">
              <w:rPr>
                <w:rFonts w:asciiTheme="majorHAnsi" w:hAnsiTheme="majorHAnsi"/>
                <w:b/>
                <w:sz w:val="18"/>
              </w:rPr>
              <w:t>995</w:t>
            </w:r>
          </w:p>
        </w:tc>
        <w:tc>
          <w:tcPr>
            <w:tcW w:w="718" w:type="dxa"/>
            <w:tcBorders>
              <w:top w:val="single" w:sz="2" w:space="0" w:color="000000"/>
              <w:left w:val="single" w:sz="2" w:space="0" w:color="000000"/>
              <w:bottom w:val="single" w:sz="2" w:space="0" w:color="000000"/>
              <w:right w:val="single" w:sz="2" w:space="0" w:color="000000"/>
            </w:tcBorders>
            <w:vAlign w:val="center"/>
          </w:tcPr>
          <w:p w14:paraId="4C536D93"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5</w:t>
            </w:r>
            <w:r w:rsidRPr="005D0955">
              <w:rPr>
                <w:rFonts w:ascii="Calibri" w:hAnsi="Calibri" w:cs="Calibri"/>
                <w:b/>
                <w:sz w:val="18"/>
                <w:szCs w:val="18"/>
              </w:rPr>
              <w:t> </w:t>
            </w:r>
            <w:r w:rsidRPr="00634E4C">
              <w:rPr>
                <w:rFonts w:asciiTheme="majorHAnsi" w:hAnsiTheme="majorHAnsi"/>
                <w:b/>
                <w:sz w:val="18"/>
              </w:rPr>
              <w:t>241</w:t>
            </w:r>
          </w:p>
        </w:tc>
        <w:tc>
          <w:tcPr>
            <w:tcW w:w="723" w:type="dxa"/>
            <w:tcBorders>
              <w:top w:val="single" w:sz="2" w:space="0" w:color="000000"/>
              <w:left w:val="single" w:sz="2" w:space="0" w:color="000000"/>
              <w:bottom w:val="single" w:sz="2" w:space="0" w:color="000000"/>
              <w:right w:val="single" w:sz="2" w:space="0" w:color="000000"/>
            </w:tcBorders>
            <w:vAlign w:val="center"/>
          </w:tcPr>
          <w:p w14:paraId="379F76DF"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4</w:t>
            </w:r>
            <w:r w:rsidRPr="005D0955">
              <w:rPr>
                <w:rFonts w:ascii="Calibri" w:hAnsi="Calibri" w:cs="Calibri"/>
                <w:b/>
                <w:sz w:val="18"/>
                <w:szCs w:val="18"/>
              </w:rPr>
              <w:t> </w:t>
            </w:r>
            <w:r w:rsidRPr="00634E4C">
              <w:rPr>
                <w:rFonts w:asciiTheme="majorHAnsi" w:hAnsiTheme="majorHAnsi"/>
                <w:b/>
                <w:sz w:val="18"/>
              </w:rPr>
              <w:t>458</w:t>
            </w:r>
          </w:p>
        </w:tc>
        <w:tc>
          <w:tcPr>
            <w:tcW w:w="719" w:type="dxa"/>
            <w:tcBorders>
              <w:top w:val="single" w:sz="2" w:space="0" w:color="000000"/>
              <w:left w:val="single" w:sz="2" w:space="0" w:color="000000"/>
              <w:bottom w:val="single" w:sz="2" w:space="0" w:color="000000"/>
              <w:right w:val="single" w:sz="2" w:space="0" w:color="000000"/>
            </w:tcBorders>
            <w:vAlign w:val="center"/>
          </w:tcPr>
          <w:p w14:paraId="7BA01403" w14:textId="77777777" w:rsidR="004D4A28" w:rsidRPr="00634E4C" w:rsidRDefault="004D4A28" w:rsidP="00361368">
            <w:pPr>
              <w:spacing w:line="259" w:lineRule="auto"/>
              <w:ind w:right="29"/>
              <w:jc w:val="center"/>
              <w:rPr>
                <w:rFonts w:asciiTheme="majorHAnsi" w:hAnsiTheme="majorHAnsi"/>
                <w:b/>
                <w:sz w:val="18"/>
              </w:rPr>
            </w:pPr>
            <w:r w:rsidRPr="00634E4C">
              <w:rPr>
                <w:rFonts w:asciiTheme="majorHAnsi" w:hAnsiTheme="majorHAnsi"/>
                <w:b/>
                <w:sz w:val="18"/>
              </w:rPr>
              <w:t>2</w:t>
            </w:r>
            <w:r w:rsidRPr="005D0955">
              <w:rPr>
                <w:rFonts w:ascii="Calibri" w:hAnsi="Calibri" w:cs="Calibri"/>
                <w:b/>
                <w:sz w:val="18"/>
                <w:szCs w:val="18"/>
              </w:rPr>
              <w:t> </w:t>
            </w:r>
            <w:r w:rsidRPr="00634E4C">
              <w:rPr>
                <w:rFonts w:asciiTheme="majorHAnsi" w:hAnsiTheme="majorHAnsi"/>
                <w:b/>
                <w:sz w:val="18"/>
              </w:rPr>
              <w:t>109</w:t>
            </w:r>
          </w:p>
        </w:tc>
      </w:tr>
    </w:tbl>
    <w:p w14:paraId="187AF5B0" w14:textId="77777777" w:rsidR="004D4A28" w:rsidRDefault="004D4A28" w:rsidP="004D4A28"/>
    <w:p w14:paraId="403031B6" w14:textId="77777777" w:rsidR="004D4A28" w:rsidRDefault="004D4A28" w:rsidP="004D4A28">
      <w:pPr>
        <w:pStyle w:val="Caption"/>
      </w:pPr>
      <w:bookmarkStart w:id="170" w:name="_Toc123916521"/>
      <w:r>
        <w:t xml:space="preserve">Tableau </w:t>
      </w:r>
      <w:r w:rsidR="00757301">
        <w:fldChar w:fldCharType="begin"/>
      </w:r>
      <w:r w:rsidR="00757301">
        <w:instrText xml:space="preserve"> SEQ Tableau \* ARABIC </w:instrText>
      </w:r>
      <w:r w:rsidR="00757301">
        <w:fldChar w:fldCharType="separate"/>
      </w:r>
      <w:r>
        <w:rPr>
          <w:noProof/>
        </w:rPr>
        <w:t>29</w:t>
      </w:r>
      <w:r w:rsidR="00757301">
        <w:rPr>
          <w:noProof/>
        </w:rPr>
        <w:fldChar w:fldCharType="end"/>
      </w:r>
      <w:r>
        <w:t xml:space="preserve"> : </w:t>
      </w:r>
      <w:r w:rsidRPr="00160820">
        <w:t xml:space="preserve">Projections d’émissions de HFC (en </w:t>
      </w:r>
      <w:r w:rsidRPr="00590551">
        <w:t>kt</w:t>
      </w:r>
      <w:r>
        <w:t>CO</w:t>
      </w:r>
      <w:r w:rsidRPr="007F09F7">
        <w:rPr>
          <w:vertAlign w:val="subscript"/>
        </w:rPr>
        <w:t>2</w:t>
      </w:r>
      <w:r w:rsidRPr="00160820">
        <w:rPr>
          <w:vertAlign w:val="subscript"/>
        </w:rPr>
        <w:t>e</w:t>
      </w:r>
      <w:r w:rsidRPr="00160820">
        <w:t xml:space="preserve">) au périmètre Kyoto dans le scénario </w:t>
      </w:r>
      <w:r>
        <w:t xml:space="preserve">AMS 2018 </w:t>
      </w:r>
      <w:r w:rsidRPr="00160820">
        <w:t xml:space="preserve">(avec mesures </w:t>
      </w:r>
      <w:r>
        <w:t>supplémentaires</w:t>
      </w:r>
      <w:r w:rsidRPr="00160820">
        <w:t>)</w:t>
      </w:r>
      <w:bookmarkEnd w:id="170"/>
    </w:p>
    <w:p w14:paraId="13EFE59E" w14:textId="77777777" w:rsidR="004D4A28" w:rsidRPr="006E15FD" w:rsidRDefault="004D4A28" w:rsidP="004D4A28">
      <w:pPr>
        <w:pStyle w:val="Caption"/>
      </w:pPr>
      <w:r w:rsidRPr="006E15FD">
        <w:t xml:space="preserve">Source : Inventaire CCNUCC, Citepa/MTES, soumission </w:t>
      </w:r>
      <w:r>
        <w:t>2022</w:t>
      </w:r>
      <w:r w:rsidRPr="006E15FD">
        <w:t xml:space="preserve"> et projections d’émissions MTES, 20</w:t>
      </w:r>
      <w:r>
        <w:t>18</w:t>
      </w:r>
    </w:p>
    <w:p w14:paraId="75489159" w14:textId="77777777" w:rsidR="004D4A28" w:rsidRDefault="004D4A28" w:rsidP="004D4A28"/>
    <w:p w14:paraId="7BFCF0F3" w14:textId="77777777" w:rsidR="004D4A28" w:rsidRPr="00364545" w:rsidRDefault="004D4A28" w:rsidP="004D4A28"/>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426"/>
        <w:gridCol w:w="722"/>
        <w:gridCol w:w="723"/>
        <w:gridCol w:w="724"/>
        <w:gridCol w:w="717"/>
        <w:gridCol w:w="710"/>
        <w:gridCol w:w="710"/>
        <w:gridCol w:w="625"/>
        <w:gridCol w:w="715"/>
        <w:gridCol w:w="715"/>
        <w:gridCol w:w="716"/>
        <w:gridCol w:w="715"/>
        <w:gridCol w:w="716"/>
      </w:tblGrid>
      <w:tr w:rsidR="004D4A28" w:rsidRPr="00364545" w14:paraId="25BCCBAB" w14:textId="77777777" w:rsidTr="00361368">
        <w:trPr>
          <w:trHeight w:val="402"/>
        </w:trPr>
        <w:tc>
          <w:tcPr>
            <w:tcW w:w="1426" w:type="dxa"/>
            <w:tcBorders>
              <w:top w:val="single" w:sz="2" w:space="0" w:color="000000"/>
              <w:left w:val="single" w:sz="2" w:space="0" w:color="000000"/>
              <w:bottom w:val="single" w:sz="2" w:space="0" w:color="000000"/>
              <w:right w:val="single" w:sz="2" w:space="0" w:color="000000"/>
            </w:tcBorders>
            <w:shd w:val="clear" w:color="auto" w:fill="6D2A78"/>
          </w:tcPr>
          <w:p w14:paraId="31B49097" w14:textId="77777777" w:rsidR="004D4A28" w:rsidRPr="00364545" w:rsidRDefault="004D4A28" w:rsidP="00361368">
            <w:pPr>
              <w:spacing w:line="259" w:lineRule="auto"/>
            </w:pPr>
            <w:r w:rsidRPr="00364545">
              <w:t>AMS 18 - PFC</w:t>
            </w:r>
          </w:p>
        </w:tc>
        <w:tc>
          <w:tcPr>
            <w:tcW w:w="722" w:type="dxa"/>
            <w:tcBorders>
              <w:top w:val="single" w:sz="2" w:space="0" w:color="000000"/>
              <w:left w:val="single" w:sz="2" w:space="0" w:color="000000"/>
              <w:bottom w:val="single" w:sz="2" w:space="0" w:color="000000"/>
              <w:right w:val="single" w:sz="2" w:space="0" w:color="000000"/>
            </w:tcBorders>
            <w:shd w:val="clear" w:color="auto" w:fill="6D2A78"/>
          </w:tcPr>
          <w:p w14:paraId="771BC380" w14:textId="77777777" w:rsidR="004D4A28" w:rsidRPr="00364545" w:rsidRDefault="004D4A28" w:rsidP="00361368">
            <w:pPr>
              <w:spacing w:line="259" w:lineRule="auto"/>
              <w:ind w:left="19"/>
              <w:jc w:val="center"/>
            </w:pPr>
            <w:r w:rsidRPr="00364545">
              <w:rPr>
                <w:b/>
                <w:color w:val="FFFFFF"/>
                <w:sz w:val="18"/>
              </w:rPr>
              <w:t xml:space="preserve">1990 </w:t>
            </w:r>
          </w:p>
        </w:tc>
        <w:tc>
          <w:tcPr>
            <w:tcW w:w="723" w:type="dxa"/>
            <w:tcBorders>
              <w:top w:val="single" w:sz="2" w:space="0" w:color="000000"/>
              <w:left w:val="single" w:sz="2" w:space="0" w:color="000000"/>
              <w:bottom w:val="single" w:sz="2" w:space="0" w:color="000000"/>
              <w:right w:val="single" w:sz="2" w:space="0" w:color="000000"/>
            </w:tcBorders>
            <w:shd w:val="clear" w:color="auto" w:fill="6D2A78"/>
          </w:tcPr>
          <w:p w14:paraId="7F27ECBF" w14:textId="77777777" w:rsidR="004D4A28" w:rsidRPr="00364545" w:rsidRDefault="004D4A28" w:rsidP="00361368">
            <w:pPr>
              <w:spacing w:line="259" w:lineRule="auto"/>
              <w:ind w:left="21"/>
              <w:jc w:val="center"/>
              <w:rPr>
                <w:b/>
                <w:color w:val="FFFFFF"/>
                <w:sz w:val="18"/>
              </w:rPr>
            </w:pPr>
            <w:r w:rsidRPr="00364545">
              <w:rPr>
                <w:b/>
                <w:color w:val="FFFFFF"/>
                <w:sz w:val="18"/>
              </w:rPr>
              <w:t>1995</w:t>
            </w:r>
          </w:p>
        </w:tc>
        <w:tc>
          <w:tcPr>
            <w:tcW w:w="724" w:type="dxa"/>
            <w:tcBorders>
              <w:top w:val="single" w:sz="2" w:space="0" w:color="000000"/>
              <w:left w:val="single" w:sz="2" w:space="0" w:color="000000"/>
              <w:bottom w:val="single" w:sz="2" w:space="0" w:color="000000"/>
              <w:right w:val="single" w:sz="2" w:space="0" w:color="000000"/>
            </w:tcBorders>
            <w:shd w:val="clear" w:color="auto" w:fill="6D2A78"/>
          </w:tcPr>
          <w:p w14:paraId="39B26747" w14:textId="77777777" w:rsidR="004D4A28" w:rsidRPr="00364545" w:rsidRDefault="004D4A28" w:rsidP="00361368">
            <w:pPr>
              <w:spacing w:line="259" w:lineRule="auto"/>
              <w:ind w:left="21"/>
              <w:jc w:val="center"/>
            </w:pPr>
            <w:r w:rsidRPr="00364545">
              <w:rPr>
                <w:b/>
                <w:color w:val="FFFFFF"/>
                <w:sz w:val="18"/>
              </w:rPr>
              <w:t xml:space="preserve">2000 </w:t>
            </w:r>
          </w:p>
        </w:tc>
        <w:tc>
          <w:tcPr>
            <w:tcW w:w="717" w:type="dxa"/>
            <w:tcBorders>
              <w:top w:val="single" w:sz="2" w:space="0" w:color="000000"/>
              <w:left w:val="single" w:sz="2" w:space="0" w:color="000000"/>
              <w:bottom w:val="single" w:sz="2" w:space="0" w:color="000000"/>
              <w:right w:val="single" w:sz="2" w:space="0" w:color="000000"/>
            </w:tcBorders>
            <w:shd w:val="clear" w:color="auto" w:fill="6D2A78"/>
          </w:tcPr>
          <w:p w14:paraId="0C30ED6E" w14:textId="77777777" w:rsidR="004D4A28" w:rsidRPr="00364545" w:rsidRDefault="004D4A28" w:rsidP="00361368">
            <w:pPr>
              <w:spacing w:line="259" w:lineRule="auto"/>
              <w:ind w:left="19"/>
              <w:jc w:val="center"/>
            </w:pPr>
            <w:r w:rsidRPr="00364545">
              <w:rPr>
                <w:b/>
                <w:color w:val="FFFFFF"/>
                <w:sz w:val="18"/>
              </w:rPr>
              <w:t xml:space="preserve">2005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4C11583F" w14:textId="77777777" w:rsidR="004D4A28" w:rsidRPr="00364545" w:rsidRDefault="004D4A28" w:rsidP="00361368">
            <w:pPr>
              <w:spacing w:line="259" w:lineRule="auto"/>
              <w:ind w:left="21"/>
              <w:jc w:val="center"/>
            </w:pPr>
            <w:r w:rsidRPr="00364545">
              <w:rPr>
                <w:b/>
                <w:color w:val="FFFFFF"/>
                <w:sz w:val="18"/>
              </w:rPr>
              <w:t xml:space="preserve">2010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50734712" w14:textId="77777777" w:rsidR="004D4A28" w:rsidRPr="00364545" w:rsidRDefault="004D4A28" w:rsidP="00361368">
            <w:pPr>
              <w:spacing w:line="259" w:lineRule="auto"/>
              <w:ind w:left="19"/>
              <w:jc w:val="center"/>
            </w:pPr>
            <w:r w:rsidRPr="00364545">
              <w:rPr>
                <w:b/>
                <w:color w:val="FFFFFF"/>
                <w:sz w:val="18"/>
              </w:rPr>
              <w:t xml:space="preserve">2015 </w:t>
            </w:r>
          </w:p>
        </w:tc>
        <w:tc>
          <w:tcPr>
            <w:tcW w:w="625" w:type="dxa"/>
            <w:tcBorders>
              <w:top w:val="single" w:sz="2" w:space="0" w:color="000000"/>
              <w:left w:val="single" w:sz="2" w:space="0" w:color="000000"/>
              <w:bottom w:val="single" w:sz="2" w:space="0" w:color="000000"/>
              <w:right w:val="single" w:sz="2" w:space="0" w:color="000000"/>
            </w:tcBorders>
            <w:shd w:val="clear" w:color="auto" w:fill="6D2A78"/>
          </w:tcPr>
          <w:p w14:paraId="717A63BD" w14:textId="77777777" w:rsidR="004D4A28" w:rsidRPr="00364545" w:rsidRDefault="004D4A28" w:rsidP="00361368">
            <w:pPr>
              <w:spacing w:line="259" w:lineRule="auto"/>
              <w:ind w:left="21"/>
              <w:jc w:val="center"/>
              <w:rPr>
                <w:b/>
                <w:color w:val="FFFFFF"/>
                <w:sz w:val="18"/>
              </w:rPr>
            </w:pPr>
            <w:r>
              <w:rPr>
                <w:b/>
                <w:color w:val="FFFFFF"/>
                <w:sz w:val="18"/>
              </w:rPr>
              <w:t>2019</w:t>
            </w:r>
          </w:p>
        </w:tc>
        <w:tc>
          <w:tcPr>
            <w:tcW w:w="715" w:type="dxa"/>
            <w:tcBorders>
              <w:top w:val="single" w:sz="2" w:space="0" w:color="000000"/>
              <w:left w:val="single" w:sz="2" w:space="0" w:color="000000"/>
              <w:bottom w:val="single" w:sz="2" w:space="0" w:color="000000"/>
              <w:right w:val="single" w:sz="2" w:space="0" w:color="000000"/>
            </w:tcBorders>
            <w:shd w:val="clear" w:color="auto" w:fill="6D2A78"/>
          </w:tcPr>
          <w:p w14:paraId="7F514091" w14:textId="77777777" w:rsidR="004D4A28" w:rsidRPr="00364545" w:rsidRDefault="004D4A28" w:rsidP="00361368">
            <w:pPr>
              <w:spacing w:line="259" w:lineRule="auto"/>
              <w:ind w:left="21"/>
              <w:jc w:val="center"/>
            </w:pPr>
            <w:r w:rsidRPr="00364545">
              <w:rPr>
                <w:b/>
                <w:color w:val="FFFFFF"/>
                <w:sz w:val="18"/>
              </w:rPr>
              <w:t xml:space="preserve">2020 </w:t>
            </w:r>
          </w:p>
        </w:tc>
        <w:tc>
          <w:tcPr>
            <w:tcW w:w="715" w:type="dxa"/>
            <w:tcBorders>
              <w:top w:val="single" w:sz="2" w:space="0" w:color="000000"/>
              <w:left w:val="single" w:sz="2" w:space="0" w:color="000000"/>
              <w:bottom w:val="single" w:sz="2" w:space="0" w:color="000000"/>
              <w:right w:val="single" w:sz="2" w:space="0" w:color="000000"/>
            </w:tcBorders>
            <w:shd w:val="clear" w:color="auto" w:fill="6D2A78"/>
          </w:tcPr>
          <w:p w14:paraId="6B270511" w14:textId="77777777" w:rsidR="004D4A28" w:rsidRPr="00364545" w:rsidRDefault="004D4A28" w:rsidP="00361368">
            <w:pPr>
              <w:spacing w:line="259" w:lineRule="auto"/>
              <w:ind w:left="19"/>
              <w:jc w:val="center"/>
            </w:pPr>
            <w:r w:rsidRPr="00364545">
              <w:rPr>
                <w:b/>
                <w:color w:val="FFFFFF"/>
                <w:sz w:val="18"/>
              </w:rPr>
              <w:t xml:space="preserve">2025 </w:t>
            </w:r>
          </w:p>
        </w:tc>
        <w:tc>
          <w:tcPr>
            <w:tcW w:w="716" w:type="dxa"/>
            <w:tcBorders>
              <w:top w:val="single" w:sz="2" w:space="0" w:color="000000"/>
              <w:left w:val="single" w:sz="2" w:space="0" w:color="000000"/>
              <w:bottom w:val="single" w:sz="2" w:space="0" w:color="000000"/>
              <w:right w:val="single" w:sz="2" w:space="0" w:color="000000"/>
            </w:tcBorders>
            <w:shd w:val="clear" w:color="auto" w:fill="6D2A78"/>
          </w:tcPr>
          <w:p w14:paraId="52FA49E5" w14:textId="77777777" w:rsidR="004D4A28" w:rsidRPr="00364545" w:rsidRDefault="004D4A28" w:rsidP="00361368">
            <w:pPr>
              <w:spacing w:line="259" w:lineRule="auto"/>
              <w:ind w:left="21"/>
              <w:jc w:val="center"/>
            </w:pPr>
            <w:r w:rsidRPr="00364545">
              <w:rPr>
                <w:b/>
                <w:color w:val="FFFFFF"/>
                <w:sz w:val="18"/>
              </w:rPr>
              <w:t xml:space="preserve">2030 </w:t>
            </w:r>
          </w:p>
        </w:tc>
        <w:tc>
          <w:tcPr>
            <w:tcW w:w="715" w:type="dxa"/>
            <w:tcBorders>
              <w:top w:val="single" w:sz="2" w:space="0" w:color="000000"/>
              <w:left w:val="single" w:sz="2" w:space="0" w:color="000000"/>
              <w:bottom w:val="single" w:sz="2" w:space="0" w:color="000000"/>
              <w:right w:val="single" w:sz="2" w:space="0" w:color="000000"/>
            </w:tcBorders>
            <w:shd w:val="clear" w:color="auto" w:fill="6D2A78"/>
          </w:tcPr>
          <w:p w14:paraId="66F1C59C" w14:textId="77777777" w:rsidR="004D4A28" w:rsidRPr="00364545" w:rsidRDefault="004D4A28" w:rsidP="00361368">
            <w:pPr>
              <w:spacing w:line="259" w:lineRule="auto"/>
              <w:ind w:left="20"/>
              <w:jc w:val="center"/>
            </w:pPr>
            <w:r w:rsidRPr="00364545">
              <w:rPr>
                <w:b/>
                <w:color w:val="FFFFFF"/>
                <w:sz w:val="18"/>
              </w:rPr>
              <w:t xml:space="preserve">2035 </w:t>
            </w:r>
          </w:p>
        </w:tc>
        <w:tc>
          <w:tcPr>
            <w:tcW w:w="716" w:type="dxa"/>
            <w:tcBorders>
              <w:top w:val="single" w:sz="2" w:space="0" w:color="000000"/>
              <w:left w:val="single" w:sz="2" w:space="0" w:color="000000"/>
              <w:bottom w:val="single" w:sz="2" w:space="0" w:color="000000"/>
              <w:right w:val="single" w:sz="2" w:space="0" w:color="000000"/>
            </w:tcBorders>
            <w:shd w:val="clear" w:color="auto" w:fill="6D2A78"/>
          </w:tcPr>
          <w:p w14:paraId="6436CF55" w14:textId="77777777" w:rsidR="004D4A28" w:rsidRPr="00364545" w:rsidRDefault="004D4A28" w:rsidP="00361368">
            <w:pPr>
              <w:spacing w:line="259" w:lineRule="auto"/>
              <w:ind w:left="20"/>
              <w:jc w:val="center"/>
              <w:rPr>
                <w:b/>
                <w:color w:val="FFFFFF"/>
                <w:sz w:val="18"/>
              </w:rPr>
            </w:pPr>
            <w:r w:rsidRPr="00364545">
              <w:rPr>
                <w:b/>
                <w:color w:val="FFFFFF"/>
                <w:sz w:val="18"/>
              </w:rPr>
              <w:t>2050</w:t>
            </w:r>
          </w:p>
        </w:tc>
      </w:tr>
      <w:tr w:rsidR="004D4A28" w:rsidRPr="00364545" w14:paraId="298372FF" w14:textId="77777777" w:rsidTr="00361368">
        <w:trPr>
          <w:trHeight w:val="344"/>
        </w:trPr>
        <w:tc>
          <w:tcPr>
            <w:tcW w:w="1426" w:type="dxa"/>
            <w:tcBorders>
              <w:top w:val="single" w:sz="2" w:space="0" w:color="000000"/>
              <w:left w:val="single" w:sz="2" w:space="0" w:color="000000"/>
              <w:bottom w:val="single" w:sz="2" w:space="0" w:color="000000"/>
              <w:right w:val="single" w:sz="2" w:space="0" w:color="000000"/>
            </w:tcBorders>
          </w:tcPr>
          <w:p w14:paraId="56DE2627" w14:textId="77777777" w:rsidR="004D4A28" w:rsidRPr="00364545" w:rsidRDefault="004D4A28" w:rsidP="00361368">
            <w:pPr>
              <w:spacing w:line="259" w:lineRule="auto"/>
            </w:pPr>
            <w:r>
              <w:rPr>
                <w:sz w:val="18"/>
              </w:rPr>
              <w:t xml:space="preserve">Energie </w:t>
            </w:r>
          </w:p>
        </w:tc>
        <w:tc>
          <w:tcPr>
            <w:tcW w:w="722" w:type="dxa"/>
            <w:tcBorders>
              <w:top w:val="single" w:sz="2" w:space="0" w:color="000000"/>
              <w:left w:val="single" w:sz="2" w:space="0" w:color="000000"/>
              <w:bottom w:val="single" w:sz="2" w:space="0" w:color="000000"/>
              <w:right w:val="single" w:sz="2" w:space="0" w:color="000000"/>
            </w:tcBorders>
            <w:vAlign w:val="center"/>
          </w:tcPr>
          <w:p w14:paraId="236A8780"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48DD1177"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vAlign w:val="center"/>
          </w:tcPr>
          <w:p w14:paraId="63F3E582"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vAlign w:val="center"/>
          </w:tcPr>
          <w:p w14:paraId="1EB89FEB"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2BDBBF3B"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28441181"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vAlign w:val="center"/>
          </w:tcPr>
          <w:p w14:paraId="566037E3"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444CD7E1"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5302B977"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2A91E532"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3A127646"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71501D5D" w14:textId="77777777" w:rsidR="004D4A28" w:rsidRPr="00364545" w:rsidRDefault="004D4A28" w:rsidP="00361368">
            <w:pPr>
              <w:spacing w:line="259" w:lineRule="auto"/>
              <w:ind w:left="16"/>
              <w:jc w:val="center"/>
              <w:rPr>
                <w:sz w:val="18"/>
              </w:rPr>
            </w:pPr>
            <w:r w:rsidRPr="00364545">
              <w:rPr>
                <w:sz w:val="18"/>
              </w:rPr>
              <w:t>0</w:t>
            </w:r>
          </w:p>
        </w:tc>
      </w:tr>
      <w:tr w:rsidR="004D4A28" w:rsidRPr="00364545" w14:paraId="207935C9" w14:textId="77777777" w:rsidTr="00361368">
        <w:trPr>
          <w:trHeight w:val="419"/>
        </w:trPr>
        <w:tc>
          <w:tcPr>
            <w:tcW w:w="1426" w:type="dxa"/>
            <w:tcBorders>
              <w:top w:val="single" w:sz="2" w:space="0" w:color="000000"/>
              <w:left w:val="single" w:sz="2" w:space="0" w:color="000000"/>
              <w:bottom w:val="single" w:sz="2" w:space="0" w:color="000000"/>
              <w:right w:val="single" w:sz="2" w:space="0" w:color="000000"/>
            </w:tcBorders>
            <w:shd w:val="clear" w:color="auto" w:fill="ECE6E2"/>
          </w:tcPr>
          <w:p w14:paraId="32DF5E01" w14:textId="77777777" w:rsidR="004D4A28" w:rsidRPr="00364545" w:rsidRDefault="004D4A28" w:rsidP="00361368">
            <w:pPr>
              <w:spacing w:line="259" w:lineRule="auto"/>
            </w:pPr>
            <w:r>
              <w:rPr>
                <w:sz w:val="18"/>
              </w:rPr>
              <w:t xml:space="preserve">Procédés industriels, solvants et autres produits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261D23" w14:textId="77777777" w:rsidR="004D4A28" w:rsidRPr="00364545" w:rsidRDefault="004D4A28" w:rsidP="00361368">
            <w:pPr>
              <w:spacing w:line="259" w:lineRule="auto"/>
              <w:ind w:left="16"/>
              <w:jc w:val="center"/>
              <w:rPr>
                <w:sz w:val="18"/>
              </w:rPr>
            </w:pPr>
            <w:r w:rsidRPr="005D0955">
              <w:rPr>
                <w:rFonts w:asciiTheme="majorHAnsi" w:hAnsiTheme="majorHAnsi"/>
                <w:sz w:val="18"/>
                <w:szCs w:val="18"/>
              </w:rPr>
              <w:t>5202</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389A36" w14:textId="77777777" w:rsidR="004D4A28" w:rsidRPr="00364545" w:rsidRDefault="004D4A28" w:rsidP="00361368">
            <w:pPr>
              <w:spacing w:line="259" w:lineRule="auto"/>
              <w:ind w:left="16"/>
              <w:jc w:val="center"/>
              <w:rPr>
                <w:sz w:val="18"/>
              </w:rPr>
            </w:pPr>
            <w:r w:rsidRPr="005D0955">
              <w:rPr>
                <w:rFonts w:asciiTheme="majorHAnsi" w:hAnsiTheme="majorHAnsi"/>
                <w:sz w:val="18"/>
                <w:szCs w:val="18"/>
              </w:rPr>
              <w:t>3065</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80E2EF" w14:textId="77777777" w:rsidR="004D4A28" w:rsidRPr="00364545" w:rsidRDefault="004D4A28" w:rsidP="00361368">
            <w:pPr>
              <w:spacing w:line="259" w:lineRule="auto"/>
              <w:ind w:left="16"/>
              <w:jc w:val="center"/>
              <w:rPr>
                <w:sz w:val="18"/>
              </w:rPr>
            </w:pPr>
            <w:r w:rsidRPr="005D0955">
              <w:rPr>
                <w:rFonts w:asciiTheme="majorHAnsi" w:hAnsiTheme="majorHAnsi"/>
                <w:sz w:val="18"/>
                <w:szCs w:val="18"/>
              </w:rPr>
              <w:t>2997</w:t>
            </w:r>
          </w:p>
        </w:tc>
        <w:tc>
          <w:tcPr>
            <w:tcW w:w="71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8EB215" w14:textId="77777777" w:rsidR="004D4A28" w:rsidRPr="00364545" w:rsidRDefault="004D4A28" w:rsidP="00361368">
            <w:pPr>
              <w:spacing w:line="259" w:lineRule="auto"/>
              <w:ind w:left="16"/>
              <w:jc w:val="center"/>
              <w:rPr>
                <w:sz w:val="18"/>
              </w:rPr>
            </w:pPr>
            <w:r w:rsidRPr="005D0955">
              <w:rPr>
                <w:rFonts w:asciiTheme="majorHAnsi" w:hAnsiTheme="majorHAnsi"/>
                <w:sz w:val="18"/>
                <w:szCs w:val="18"/>
              </w:rPr>
              <w:t>1760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529F80" w14:textId="77777777" w:rsidR="004D4A28" w:rsidRPr="00364545" w:rsidRDefault="004D4A28" w:rsidP="00361368">
            <w:pPr>
              <w:spacing w:line="259" w:lineRule="auto"/>
              <w:ind w:left="16"/>
              <w:jc w:val="center"/>
              <w:rPr>
                <w:sz w:val="18"/>
              </w:rPr>
            </w:pPr>
            <w:r w:rsidRPr="00634E4C">
              <w:rPr>
                <w:rFonts w:asciiTheme="majorHAnsi" w:hAnsiTheme="majorHAnsi"/>
                <w:sz w:val="18"/>
              </w:rPr>
              <w:t>617</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BDE377" w14:textId="77777777" w:rsidR="004D4A28" w:rsidRPr="00364545" w:rsidRDefault="004D4A28" w:rsidP="00361368">
            <w:pPr>
              <w:spacing w:line="259" w:lineRule="auto"/>
              <w:ind w:left="16"/>
              <w:jc w:val="center"/>
              <w:rPr>
                <w:sz w:val="18"/>
              </w:rPr>
            </w:pPr>
            <w:r w:rsidRPr="00634E4C">
              <w:rPr>
                <w:rFonts w:asciiTheme="majorHAnsi" w:hAnsiTheme="majorHAnsi"/>
                <w:sz w:val="18"/>
              </w:rPr>
              <w:t>537</w:t>
            </w:r>
          </w:p>
        </w:tc>
        <w:tc>
          <w:tcPr>
            <w:tcW w:w="6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CC30A2" w14:textId="77777777" w:rsidR="004D4A28" w:rsidRPr="00364545" w:rsidRDefault="004D4A28" w:rsidP="00361368">
            <w:pPr>
              <w:spacing w:line="259" w:lineRule="auto"/>
              <w:ind w:left="16"/>
              <w:jc w:val="center"/>
              <w:rPr>
                <w:sz w:val="18"/>
              </w:rPr>
            </w:pPr>
            <w:r w:rsidRPr="005D0955">
              <w:rPr>
                <w:rFonts w:asciiTheme="majorHAnsi" w:hAnsiTheme="majorHAnsi"/>
                <w:sz w:val="18"/>
                <w:szCs w:val="18"/>
              </w:rPr>
              <w:t>615</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729FFA" w14:textId="77777777" w:rsidR="004D4A28" w:rsidRPr="00364545" w:rsidRDefault="004D4A28" w:rsidP="00361368">
            <w:pPr>
              <w:spacing w:line="259" w:lineRule="auto"/>
              <w:ind w:left="16"/>
              <w:jc w:val="center"/>
              <w:rPr>
                <w:sz w:val="18"/>
              </w:rPr>
            </w:pPr>
            <w:r w:rsidRPr="00364545">
              <w:rPr>
                <w:sz w:val="18"/>
              </w:rPr>
              <w:t>479</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700D97" w14:textId="77777777" w:rsidR="004D4A28" w:rsidRPr="00364545" w:rsidRDefault="004D4A28" w:rsidP="00361368">
            <w:pPr>
              <w:spacing w:line="259" w:lineRule="auto"/>
              <w:ind w:left="16"/>
              <w:jc w:val="center"/>
              <w:rPr>
                <w:sz w:val="18"/>
              </w:rPr>
            </w:pPr>
            <w:r w:rsidRPr="00364545">
              <w:rPr>
                <w:sz w:val="18"/>
              </w:rPr>
              <w:t>395</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C6368B" w14:textId="77777777" w:rsidR="004D4A28" w:rsidRPr="00364545" w:rsidRDefault="004D4A28" w:rsidP="00361368">
            <w:pPr>
              <w:spacing w:line="259" w:lineRule="auto"/>
              <w:ind w:left="16"/>
              <w:jc w:val="center"/>
              <w:rPr>
                <w:sz w:val="18"/>
              </w:rPr>
            </w:pPr>
            <w:r w:rsidRPr="00364545">
              <w:rPr>
                <w:sz w:val="18"/>
              </w:rPr>
              <w:t>330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27406B" w14:textId="77777777" w:rsidR="004D4A28" w:rsidRPr="00364545" w:rsidRDefault="004D4A28" w:rsidP="00361368">
            <w:pPr>
              <w:spacing w:line="259" w:lineRule="auto"/>
              <w:ind w:left="16"/>
              <w:jc w:val="center"/>
              <w:rPr>
                <w:sz w:val="18"/>
              </w:rPr>
            </w:pPr>
            <w:r w:rsidRPr="00364545">
              <w:rPr>
                <w:sz w:val="18"/>
              </w:rPr>
              <w:t>299</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DF457A" w14:textId="77777777" w:rsidR="004D4A28" w:rsidRPr="00364545" w:rsidRDefault="004D4A28" w:rsidP="00361368">
            <w:pPr>
              <w:spacing w:line="259" w:lineRule="auto"/>
              <w:ind w:left="16"/>
              <w:jc w:val="center"/>
              <w:rPr>
                <w:sz w:val="18"/>
              </w:rPr>
            </w:pPr>
            <w:r w:rsidRPr="00364545">
              <w:rPr>
                <w:sz w:val="18"/>
              </w:rPr>
              <w:t>205</w:t>
            </w:r>
          </w:p>
        </w:tc>
      </w:tr>
      <w:tr w:rsidR="004D4A28" w:rsidRPr="00364545" w14:paraId="6FCE6AB2" w14:textId="77777777" w:rsidTr="00361368">
        <w:trPr>
          <w:trHeight w:val="347"/>
        </w:trPr>
        <w:tc>
          <w:tcPr>
            <w:tcW w:w="1426" w:type="dxa"/>
            <w:tcBorders>
              <w:top w:val="single" w:sz="2" w:space="0" w:color="000000"/>
              <w:left w:val="single" w:sz="2" w:space="0" w:color="000000"/>
              <w:bottom w:val="single" w:sz="2" w:space="0" w:color="000000"/>
              <w:right w:val="single" w:sz="2" w:space="0" w:color="000000"/>
            </w:tcBorders>
          </w:tcPr>
          <w:p w14:paraId="6511190A" w14:textId="77777777" w:rsidR="004D4A28" w:rsidRPr="00364545" w:rsidRDefault="004D4A28" w:rsidP="00361368">
            <w:pPr>
              <w:spacing w:line="259" w:lineRule="auto"/>
            </w:pPr>
            <w:r>
              <w:rPr>
                <w:sz w:val="18"/>
              </w:rPr>
              <w:t xml:space="preserve">Agriculture (hors énergie) </w:t>
            </w:r>
          </w:p>
        </w:tc>
        <w:tc>
          <w:tcPr>
            <w:tcW w:w="722" w:type="dxa"/>
            <w:tcBorders>
              <w:top w:val="single" w:sz="2" w:space="0" w:color="000000"/>
              <w:left w:val="single" w:sz="2" w:space="0" w:color="000000"/>
              <w:bottom w:val="single" w:sz="2" w:space="0" w:color="000000"/>
              <w:right w:val="single" w:sz="2" w:space="0" w:color="000000"/>
            </w:tcBorders>
            <w:vAlign w:val="center"/>
          </w:tcPr>
          <w:p w14:paraId="5BFA773D"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32BD3A80"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vAlign w:val="center"/>
          </w:tcPr>
          <w:p w14:paraId="207A0416"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vAlign w:val="center"/>
          </w:tcPr>
          <w:p w14:paraId="03FB93B1"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655D9CA7"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534FAB14"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vAlign w:val="center"/>
          </w:tcPr>
          <w:p w14:paraId="3262F422"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193C9C56"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45465CDE"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37659162"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4E87232F"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315D9FF6" w14:textId="77777777" w:rsidR="004D4A28" w:rsidRPr="00364545" w:rsidRDefault="004D4A28" w:rsidP="00361368">
            <w:pPr>
              <w:spacing w:line="259" w:lineRule="auto"/>
              <w:ind w:left="16"/>
              <w:jc w:val="center"/>
              <w:rPr>
                <w:sz w:val="18"/>
              </w:rPr>
            </w:pPr>
            <w:r w:rsidRPr="00364545">
              <w:rPr>
                <w:sz w:val="18"/>
              </w:rPr>
              <w:t>0</w:t>
            </w:r>
          </w:p>
        </w:tc>
      </w:tr>
      <w:tr w:rsidR="004D4A28" w:rsidRPr="00364545" w14:paraId="22EF3313" w14:textId="77777777" w:rsidTr="00361368">
        <w:trPr>
          <w:trHeight w:val="342"/>
        </w:trPr>
        <w:tc>
          <w:tcPr>
            <w:tcW w:w="1426" w:type="dxa"/>
            <w:tcBorders>
              <w:top w:val="single" w:sz="2" w:space="0" w:color="000000"/>
              <w:left w:val="single" w:sz="2" w:space="0" w:color="000000"/>
              <w:bottom w:val="single" w:sz="2" w:space="0" w:color="000000"/>
              <w:right w:val="single" w:sz="2" w:space="0" w:color="000000"/>
            </w:tcBorders>
            <w:shd w:val="clear" w:color="auto" w:fill="ECE6E2"/>
          </w:tcPr>
          <w:p w14:paraId="5CE00FB2" w14:textId="77777777" w:rsidR="004D4A28" w:rsidRPr="00364545" w:rsidRDefault="004D4A28" w:rsidP="00361368">
            <w:pPr>
              <w:spacing w:line="259" w:lineRule="auto"/>
            </w:pPr>
            <w:r>
              <w:rPr>
                <w:sz w:val="18"/>
              </w:rPr>
              <w:t xml:space="preserve">UTCF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C70233"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AC0C88"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69AB79"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E43AA3"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AA7ED2"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CFFEA6"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6927A2"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22391C"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F5B70C"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7C12F7"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F04BC6"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97ADB1" w14:textId="77777777" w:rsidR="004D4A28" w:rsidRPr="00364545" w:rsidRDefault="004D4A28" w:rsidP="00361368">
            <w:pPr>
              <w:spacing w:line="259" w:lineRule="auto"/>
              <w:ind w:left="16"/>
              <w:jc w:val="center"/>
              <w:rPr>
                <w:sz w:val="18"/>
              </w:rPr>
            </w:pPr>
            <w:r w:rsidRPr="00364545">
              <w:rPr>
                <w:sz w:val="18"/>
              </w:rPr>
              <w:t>0</w:t>
            </w:r>
          </w:p>
        </w:tc>
      </w:tr>
      <w:tr w:rsidR="004D4A28" w:rsidRPr="00364545" w14:paraId="2EB11FC2" w14:textId="77777777" w:rsidTr="00361368">
        <w:trPr>
          <w:trHeight w:val="347"/>
        </w:trPr>
        <w:tc>
          <w:tcPr>
            <w:tcW w:w="1426" w:type="dxa"/>
            <w:tcBorders>
              <w:top w:val="single" w:sz="2" w:space="0" w:color="000000"/>
              <w:left w:val="single" w:sz="2" w:space="0" w:color="000000"/>
              <w:bottom w:val="single" w:sz="2" w:space="0" w:color="000000"/>
              <w:right w:val="single" w:sz="2" w:space="0" w:color="000000"/>
            </w:tcBorders>
          </w:tcPr>
          <w:p w14:paraId="4D87163A" w14:textId="77777777" w:rsidR="004D4A28" w:rsidRPr="00364545" w:rsidRDefault="004D4A28" w:rsidP="00361368">
            <w:pPr>
              <w:spacing w:line="259" w:lineRule="auto"/>
            </w:pPr>
            <w:r>
              <w:rPr>
                <w:sz w:val="18"/>
              </w:rPr>
              <w:t xml:space="preserve">Déchets </w:t>
            </w:r>
          </w:p>
        </w:tc>
        <w:tc>
          <w:tcPr>
            <w:tcW w:w="722" w:type="dxa"/>
            <w:tcBorders>
              <w:top w:val="single" w:sz="2" w:space="0" w:color="000000"/>
              <w:left w:val="single" w:sz="2" w:space="0" w:color="000000"/>
              <w:bottom w:val="single" w:sz="2" w:space="0" w:color="000000"/>
              <w:right w:val="single" w:sz="2" w:space="0" w:color="000000"/>
            </w:tcBorders>
            <w:vAlign w:val="center"/>
          </w:tcPr>
          <w:p w14:paraId="526C7CFF"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270418E2"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vAlign w:val="center"/>
          </w:tcPr>
          <w:p w14:paraId="633B4C33"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vAlign w:val="center"/>
          </w:tcPr>
          <w:p w14:paraId="74E71FE8"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61C01040"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203C4297"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vAlign w:val="center"/>
          </w:tcPr>
          <w:p w14:paraId="42D35E71" w14:textId="77777777" w:rsidR="004D4A28" w:rsidRPr="00364545" w:rsidRDefault="004D4A28" w:rsidP="003613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41DAE8BF"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061FBD1C"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0AA686DC" w14:textId="77777777" w:rsidR="004D4A28" w:rsidRPr="00364545" w:rsidRDefault="004D4A28" w:rsidP="003613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3190556D" w14:textId="77777777" w:rsidR="004D4A28" w:rsidRPr="00364545" w:rsidRDefault="004D4A28" w:rsidP="003613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092A1696" w14:textId="77777777" w:rsidR="004D4A28" w:rsidRPr="00364545" w:rsidRDefault="004D4A28" w:rsidP="00361368">
            <w:pPr>
              <w:spacing w:line="259" w:lineRule="auto"/>
              <w:ind w:left="16"/>
              <w:jc w:val="center"/>
              <w:rPr>
                <w:sz w:val="18"/>
              </w:rPr>
            </w:pPr>
            <w:r w:rsidRPr="00364545">
              <w:rPr>
                <w:sz w:val="18"/>
              </w:rPr>
              <w:t>0</w:t>
            </w:r>
          </w:p>
        </w:tc>
      </w:tr>
      <w:tr w:rsidR="004D4A28" w:rsidRPr="00364545" w14:paraId="0C3CF632" w14:textId="77777777" w:rsidTr="00361368">
        <w:trPr>
          <w:trHeight w:val="344"/>
        </w:trPr>
        <w:tc>
          <w:tcPr>
            <w:tcW w:w="1426" w:type="dxa"/>
            <w:tcBorders>
              <w:top w:val="single" w:sz="2" w:space="0" w:color="000000"/>
              <w:left w:val="single" w:sz="2" w:space="0" w:color="000000"/>
              <w:bottom w:val="single" w:sz="2" w:space="0" w:color="000000"/>
              <w:right w:val="single" w:sz="2" w:space="0" w:color="000000"/>
            </w:tcBorders>
            <w:shd w:val="clear" w:color="auto" w:fill="ECE6E2"/>
          </w:tcPr>
          <w:p w14:paraId="5C1C0FD8" w14:textId="77777777" w:rsidR="004D4A28" w:rsidRPr="00364545" w:rsidRDefault="004D4A28" w:rsidP="00361368">
            <w:pPr>
              <w:spacing w:line="259" w:lineRule="auto"/>
            </w:pPr>
            <w:r>
              <w:rPr>
                <w:b/>
                <w:sz w:val="18"/>
              </w:rPr>
              <w:t xml:space="preserve">Ensemble (hors UTCF)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98BE6A" w14:textId="77777777" w:rsidR="004D4A28" w:rsidRPr="00364545" w:rsidRDefault="004D4A28" w:rsidP="00361368">
            <w:pPr>
              <w:spacing w:line="259" w:lineRule="auto"/>
              <w:ind w:left="16"/>
              <w:jc w:val="center"/>
              <w:rPr>
                <w:b/>
                <w:sz w:val="18"/>
              </w:rPr>
            </w:pPr>
            <w:r w:rsidRPr="005D0955">
              <w:rPr>
                <w:rFonts w:asciiTheme="majorHAnsi" w:hAnsiTheme="majorHAnsi"/>
                <w:sz w:val="18"/>
                <w:szCs w:val="18"/>
              </w:rPr>
              <w:t>5202</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CDC664" w14:textId="77777777" w:rsidR="004D4A28" w:rsidRPr="00364545" w:rsidRDefault="004D4A28" w:rsidP="00361368">
            <w:pPr>
              <w:spacing w:line="259" w:lineRule="auto"/>
              <w:ind w:left="19"/>
              <w:jc w:val="center"/>
              <w:rPr>
                <w:b/>
                <w:sz w:val="18"/>
              </w:rPr>
            </w:pPr>
            <w:r w:rsidRPr="005D0955">
              <w:rPr>
                <w:rFonts w:asciiTheme="majorHAnsi" w:hAnsiTheme="majorHAnsi"/>
                <w:sz w:val="18"/>
                <w:szCs w:val="18"/>
              </w:rPr>
              <w:t>3065</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40DB06" w14:textId="77777777" w:rsidR="004D4A28" w:rsidRPr="00364545" w:rsidRDefault="004D4A28" w:rsidP="00361368">
            <w:pPr>
              <w:spacing w:line="259" w:lineRule="auto"/>
              <w:ind w:left="19"/>
              <w:jc w:val="center"/>
              <w:rPr>
                <w:b/>
                <w:sz w:val="18"/>
              </w:rPr>
            </w:pPr>
            <w:r w:rsidRPr="005D0955">
              <w:rPr>
                <w:rFonts w:asciiTheme="majorHAnsi" w:hAnsiTheme="majorHAnsi"/>
                <w:sz w:val="18"/>
                <w:szCs w:val="18"/>
              </w:rPr>
              <w:t>2997</w:t>
            </w:r>
          </w:p>
        </w:tc>
        <w:tc>
          <w:tcPr>
            <w:tcW w:w="71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51F2FD8" w14:textId="77777777" w:rsidR="004D4A28" w:rsidRPr="00364545" w:rsidRDefault="004D4A28" w:rsidP="00361368">
            <w:pPr>
              <w:spacing w:line="259" w:lineRule="auto"/>
              <w:ind w:left="16"/>
              <w:jc w:val="center"/>
              <w:rPr>
                <w:b/>
                <w:sz w:val="18"/>
              </w:rPr>
            </w:pPr>
            <w:r w:rsidRPr="005D0955">
              <w:rPr>
                <w:rFonts w:asciiTheme="majorHAnsi" w:hAnsiTheme="majorHAnsi"/>
                <w:sz w:val="18"/>
                <w:szCs w:val="18"/>
              </w:rPr>
              <w:t>1760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7B7A4A" w14:textId="77777777" w:rsidR="004D4A28" w:rsidRPr="00364545" w:rsidRDefault="004D4A28" w:rsidP="00361368">
            <w:pPr>
              <w:spacing w:line="259" w:lineRule="auto"/>
              <w:ind w:left="21"/>
              <w:jc w:val="center"/>
              <w:rPr>
                <w:b/>
                <w:sz w:val="18"/>
              </w:rPr>
            </w:pPr>
            <w:r w:rsidRPr="00634E4C">
              <w:rPr>
                <w:rFonts w:asciiTheme="majorHAnsi" w:hAnsiTheme="majorHAnsi"/>
                <w:sz w:val="18"/>
              </w:rPr>
              <w:t>617</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0F366F" w14:textId="77777777" w:rsidR="004D4A28" w:rsidRPr="00364545" w:rsidRDefault="004D4A28" w:rsidP="00361368">
            <w:pPr>
              <w:spacing w:line="259" w:lineRule="auto"/>
              <w:ind w:left="19"/>
              <w:jc w:val="center"/>
              <w:rPr>
                <w:b/>
                <w:sz w:val="18"/>
              </w:rPr>
            </w:pPr>
            <w:r w:rsidRPr="00634E4C">
              <w:rPr>
                <w:rFonts w:asciiTheme="majorHAnsi" w:hAnsiTheme="majorHAnsi"/>
                <w:sz w:val="18"/>
              </w:rPr>
              <w:t>537</w:t>
            </w:r>
          </w:p>
        </w:tc>
        <w:tc>
          <w:tcPr>
            <w:tcW w:w="6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A81A17" w14:textId="77777777" w:rsidR="004D4A28" w:rsidRPr="00364545" w:rsidRDefault="004D4A28" w:rsidP="00361368">
            <w:pPr>
              <w:spacing w:line="259" w:lineRule="auto"/>
              <w:ind w:left="21"/>
              <w:jc w:val="center"/>
              <w:rPr>
                <w:b/>
                <w:sz w:val="18"/>
              </w:rPr>
            </w:pPr>
            <w:r w:rsidRPr="005D0955">
              <w:rPr>
                <w:rFonts w:asciiTheme="majorHAnsi" w:hAnsiTheme="majorHAnsi"/>
                <w:sz w:val="18"/>
                <w:szCs w:val="18"/>
              </w:rPr>
              <w:t>615</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FDAF0F" w14:textId="77777777" w:rsidR="004D4A28" w:rsidRPr="00364545" w:rsidRDefault="004D4A28" w:rsidP="00361368">
            <w:pPr>
              <w:spacing w:line="259" w:lineRule="auto"/>
              <w:ind w:left="21"/>
              <w:jc w:val="center"/>
              <w:rPr>
                <w:b/>
                <w:sz w:val="18"/>
              </w:rPr>
            </w:pPr>
            <w:r w:rsidRPr="00364545">
              <w:rPr>
                <w:b/>
                <w:sz w:val="18"/>
              </w:rPr>
              <w:t>479</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31AFF6" w14:textId="77777777" w:rsidR="004D4A28" w:rsidRPr="00364545" w:rsidRDefault="004D4A28" w:rsidP="00361368">
            <w:pPr>
              <w:spacing w:line="259" w:lineRule="auto"/>
              <w:ind w:left="19"/>
              <w:jc w:val="center"/>
              <w:rPr>
                <w:b/>
                <w:sz w:val="18"/>
              </w:rPr>
            </w:pPr>
            <w:r w:rsidRPr="00364545">
              <w:rPr>
                <w:b/>
                <w:sz w:val="18"/>
              </w:rPr>
              <w:t>395</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383E38" w14:textId="77777777" w:rsidR="004D4A28" w:rsidRPr="00364545" w:rsidRDefault="004D4A28" w:rsidP="00361368">
            <w:pPr>
              <w:spacing w:line="259" w:lineRule="auto"/>
              <w:ind w:left="21"/>
              <w:jc w:val="center"/>
              <w:rPr>
                <w:b/>
                <w:sz w:val="18"/>
              </w:rPr>
            </w:pPr>
            <w:r w:rsidRPr="00364545">
              <w:rPr>
                <w:b/>
                <w:sz w:val="18"/>
              </w:rPr>
              <w:t>330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B7B99F" w14:textId="77777777" w:rsidR="004D4A28" w:rsidRPr="00364545" w:rsidRDefault="004D4A28" w:rsidP="00361368">
            <w:pPr>
              <w:spacing w:line="259" w:lineRule="auto"/>
              <w:ind w:left="20"/>
              <w:jc w:val="center"/>
              <w:rPr>
                <w:b/>
                <w:sz w:val="18"/>
              </w:rPr>
            </w:pPr>
            <w:r w:rsidRPr="00364545">
              <w:rPr>
                <w:b/>
                <w:sz w:val="18"/>
              </w:rPr>
              <w:t>299</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458C2FA" w14:textId="77777777" w:rsidR="004D4A28" w:rsidRPr="00364545" w:rsidRDefault="004D4A28" w:rsidP="00361368">
            <w:pPr>
              <w:spacing w:line="259" w:lineRule="auto"/>
              <w:ind w:left="20"/>
              <w:jc w:val="center"/>
              <w:rPr>
                <w:b/>
                <w:sz w:val="18"/>
              </w:rPr>
            </w:pPr>
            <w:r w:rsidRPr="00364545">
              <w:rPr>
                <w:b/>
                <w:sz w:val="18"/>
              </w:rPr>
              <w:t>205</w:t>
            </w:r>
          </w:p>
        </w:tc>
      </w:tr>
      <w:tr w:rsidR="004D4A28" w:rsidRPr="00364545" w14:paraId="1100FE42" w14:textId="77777777" w:rsidTr="00361368">
        <w:trPr>
          <w:trHeight w:val="346"/>
        </w:trPr>
        <w:tc>
          <w:tcPr>
            <w:tcW w:w="1426" w:type="dxa"/>
            <w:tcBorders>
              <w:top w:val="single" w:sz="2" w:space="0" w:color="000000"/>
              <w:left w:val="single" w:sz="2" w:space="0" w:color="000000"/>
              <w:bottom w:val="single" w:sz="2" w:space="0" w:color="000000"/>
              <w:right w:val="single" w:sz="2" w:space="0" w:color="000000"/>
            </w:tcBorders>
          </w:tcPr>
          <w:p w14:paraId="19BD9BEE" w14:textId="77777777" w:rsidR="004D4A28" w:rsidRPr="00364545" w:rsidRDefault="004D4A28" w:rsidP="00361368">
            <w:pPr>
              <w:spacing w:line="259" w:lineRule="auto"/>
            </w:pPr>
            <w:r>
              <w:rPr>
                <w:b/>
                <w:sz w:val="18"/>
              </w:rPr>
              <w:t xml:space="preserve">Ensemble (avec UTCF) </w:t>
            </w:r>
          </w:p>
        </w:tc>
        <w:tc>
          <w:tcPr>
            <w:tcW w:w="722" w:type="dxa"/>
            <w:tcBorders>
              <w:top w:val="single" w:sz="2" w:space="0" w:color="000000"/>
              <w:left w:val="single" w:sz="2" w:space="0" w:color="000000"/>
              <w:bottom w:val="single" w:sz="2" w:space="0" w:color="000000"/>
              <w:right w:val="single" w:sz="2" w:space="0" w:color="000000"/>
            </w:tcBorders>
            <w:vAlign w:val="center"/>
          </w:tcPr>
          <w:p w14:paraId="1A13C30B" w14:textId="77777777" w:rsidR="004D4A28" w:rsidRPr="00364545" w:rsidRDefault="004D4A28" w:rsidP="00361368">
            <w:pPr>
              <w:spacing w:line="259" w:lineRule="auto"/>
              <w:ind w:left="16"/>
              <w:jc w:val="center"/>
              <w:rPr>
                <w:b/>
                <w:sz w:val="18"/>
              </w:rPr>
            </w:pPr>
            <w:r w:rsidRPr="005D0955">
              <w:rPr>
                <w:rFonts w:asciiTheme="majorHAnsi" w:hAnsiTheme="majorHAnsi"/>
                <w:sz w:val="18"/>
                <w:szCs w:val="18"/>
              </w:rPr>
              <w:t>5202</w:t>
            </w:r>
          </w:p>
        </w:tc>
        <w:tc>
          <w:tcPr>
            <w:tcW w:w="723" w:type="dxa"/>
            <w:tcBorders>
              <w:top w:val="single" w:sz="2" w:space="0" w:color="000000"/>
              <w:left w:val="single" w:sz="2" w:space="0" w:color="000000"/>
              <w:bottom w:val="single" w:sz="2" w:space="0" w:color="000000"/>
              <w:right w:val="single" w:sz="2" w:space="0" w:color="000000"/>
            </w:tcBorders>
            <w:vAlign w:val="center"/>
          </w:tcPr>
          <w:p w14:paraId="032E3EB6" w14:textId="77777777" w:rsidR="004D4A28" w:rsidRPr="00364545" w:rsidRDefault="004D4A28" w:rsidP="00361368">
            <w:pPr>
              <w:spacing w:line="259" w:lineRule="auto"/>
              <w:ind w:left="19"/>
              <w:jc w:val="center"/>
              <w:rPr>
                <w:b/>
                <w:sz w:val="18"/>
              </w:rPr>
            </w:pPr>
            <w:r w:rsidRPr="005D0955">
              <w:rPr>
                <w:rFonts w:asciiTheme="majorHAnsi" w:hAnsiTheme="majorHAnsi"/>
                <w:sz w:val="18"/>
                <w:szCs w:val="18"/>
              </w:rPr>
              <w:t>3065</w:t>
            </w:r>
          </w:p>
        </w:tc>
        <w:tc>
          <w:tcPr>
            <w:tcW w:w="724" w:type="dxa"/>
            <w:tcBorders>
              <w:top w:val="single" w:sz="2" w:space="0" w:color="000000"/>
              <w:left w:val="single" w:sz="2" w:space="0" w:color="000000"/>
              <w:bottom w:val="single" w:sz="2" w:space="0" w:color="000000"/>
              <w:right w:val="single" w:sz="2" w:space="0" w:color="000000"/>
            </w:tcBorders>
            <w:vAlign w:val="center"/>
          </w:tcPr>
          <w:p w14:paraId="20288B0F" w14:textId="77777777" w:rsidR="004D4A28" w:rsidRPr="00364545" w:rsidRDefault="004D4A28" w:rsidP="00361368">
            <w:pPr>
              <w:spacing w:line="259" w:lineRule="auto"/>
              <w:ind w:left="19"/>
              <w:jc w:val="center"/>
              <w:rPr>
                <w:b/>
                <w:sz w:val="18"/>
              </w:rPr>
            </w:pPr>
            <w:r w:rsidRPr="005D0955">
              <w:rPr>
                <w:rFonts w:asciiTheme="majorHAnsi" w:hAnsiTheme="majorHAnsi"/>
                <w:sz w:val="18"/>
                <w:szCs w:val="18"/>
              </w:rPr>
              <w:t>2997</w:t>
            </w:r>
          </w:p>
        </w:tc>
        <w:tc>
          <w:tcPr>
            <w:tcW w:w="717" w:type="dxa"/>
            <w:tcBorders>
              <w:top w:val="single" w:sz="2" w:space="0" w:color="000000"/>
              <w:left w:val="single" w:sz="2" w:space="0" w:color="000000"/>
              <w:bottom w:val="single" w:sz="2" w:space="0" w:color="000000"/>
              <w:right w:val="single" w:sz="2" w:space="0" w:color="000000"/>
            </w:tcBorders>
            <w:vAlign w:val="center"/>
          </w:tcPr>
          <w:p w14:paraId="4E6B881B" w14:textId="77777777" w:rsidR="004D4A28" w:rsidRPr="00364545" w:rsidRDefault="004D4A28" w:rsidP="00361368">
            <w:pPr>
              <w:spacing w:line="259" w:lineRule="auto"/>
              <w:ind w:left="16"/>
              <w:jc w:val="center"/>
              <w:rPr>
                <w:b/>
                <w:sz w:val="18"/>
              </w:rPr>
            </w:pPr>
            <w:r w:rsidRPr="005D0955">
              <w:rPr>
                <w:rFonts w:asciiTheme="majorHAnsi" w:hAnsiTheme="majorHAnsi"/>
                <w:sz w:val="18"/>
                <w:szCs w:val="18"/>
              </w:rPr>
              <w:t>1760</w:t>
            </w:r>
          </w:p>
        </w:tc>
        <w:tc>
          <w:tcPr>
            <w:tcW w:w="710" w:type="dxa"/>
            <w:tcBorders>
              <w:top w:val="single" w:sz="2" w:space="0" w:color="000000"/>
              <w:left w:val="single" w:sz="2" w:space="0" w:color="000000"/>
              <w:bottom w:val="single" w:sz="2" w:space="0" w:color="000000"/>
              <w:right w:val="single" w:sz="2" w:space="0" w:color="000000"/>
            </w:tcBorders>
            <w:vAlign w:val="center"/>
          </w:tcPr>
          <w:p w14:paraId="0E51537F" w14:textId="77777777" w:rsidR="004D4A28" w:rsidRPr="00364545" w:rsidRDefault="004D4A28" w:rsidP="00361368">
            <w:pPr>
              <w:spacing w:line="259" w:lineRule="auto"/>
              <w:ind w:left="21"/>
              <w:jc w:val="center"/>
              <w:rPr>
                <w:b/>
                <w:sz w:val="18"/>
              </w:rPr>
            </w:pPr>
            <w:r w:rsidRPr="00634E4C">
              <w:rPr>
                <w:rFonts w:asciiTheme="majorHAnsi" w:hAnsiTheme="majorHAnsi"/>
                <w:sz w:val="18"/>
              </w:rPr>
              <w:t>617</w:t>
            </w:r>
          </w:p>
        </w:tc>
        <w:tc>
          <w:tcPr>
            <w:tcW w:w="710" w:type="dxa"/>
            <w:tcBorders>
              <w:top w:val="single" w:sz="2" w:space="0" w:color="000000"/>
              <w:left w:val="single" w:sz="2" w:space="0" w:color="000000"/>
              <w:bottom w:val="single" w:sz="2" w:space="0" w:color="000000"/>
              <w:right w:val="single" w:sz="2" w:space="0" w:color="000000"/>
            </w:tcBorders>
            <w:vAlign w:val="center"/>
          </w:tcPr>
          <w:p w14:paraId="60FCE0E3" w14:textId="77777777" w:rsidR="004D4A28" w:rsidRPr="00364545" w:rsidRDefault="004D4A28" w:rsidP="00361368">
            <w:pPr>
              <w:spacing w:line="259" w:lineRule="auto"/>
              <w:ind w:left="19"/>
              <w:jc w:val="center"/>
              <w:rPr>
                <w:b/>
                <w:sz w:val="18"/>
              </w:rPr>
            </w:pPr>
            <w:r w:rsidRPr="00634E4C">
              <w:rPr>
                <w:rFonts w:asciiTheme="majorHAnsi" w:hAnsiTheme="majorHAnsi"/>
                <w:sz w:val="18"/>
              </w:rPr>
              <w:t>537</w:t>
            </w:r>
          </w:p>
        </w:tc>
        <w:tc>
          <w:tcPr>
            <w:tcW w:w="625" w:type="dxa"/>
            <w:tcBorders>
              <w:top w:val="single" w:sz="2" w:space="0" w:color="000000"/>
              <w:left w:val="single" w:sz="2" w:space="0" w:color="000000"/>
              <w:bottom w:val="single" w:sz="2" w:space="0" w:color="000000"/>
              <w:right w:val="single" w:sz="2" w:space="0" w:color="000000"/>
            </w:tcBorders>
            <w:vAlign w:val="center"/>
          </w:tcPr>
          <w:p w14:paraId="604C55AE" w14:textId="77777777" w:rsidR="004D4A28" w:rsidRPr="00364545" w:rsidRDefault="004D4A28" w:rsidP="00361368">
            <w:pPr>
              <w:spacing w:line="259" w:lineRule="auto"/>
              <w:ind w:left="21"/>
              <w:jc w:val="center"/>
              <w:rPr>
                <w:b/>
                <w:sz w:val="18"/>
              </w:rPr>
            </w:pPr>
            <w:r w:rsidRPr="005D0955">
              <w:rPr>
                <w:rFonts w:asciiTheme="majorHAnsi" w:hAnsiTheme="majorHAnsi"/>
                <w:sz w:val="18"/>
                <w:szCs w:val="18"/>
              </w:rPr>
              <w:t>615</w:t>
            </w:r>
          </w:p>
        </w:tc>
        <w:tc>
          <w:tcPr>
            <w:tcW w:w="715" w:type="dxa"/>
            <w:tcBorders>
              <w:top w:val="single" w:sz="2" w:space="0" w:color="000000"/>
              <w:left w:val="single" w:sz="2" w:space="0" w:color="000000"/>
              <w:bottom w:val="single" w:sz="2" w:space="0" w:color="000000"/>
              <w:right w:val="single" w:sz="2" w:space="0" w:color="000000"/>
            </w:tcBorders>
            <w:vAlign w:val="center"/>
          </w:tcPr>
          <w:p w14:paraId="6B7FDFA8" w14:textId="77777777" w:rsidR="004D4A28" w:rsidRPr="00364545" w:rsidRDefault="004D4A28" w:rsidP="00361368">
            <w:pPr>
              <w:spacing w:line="259" w:lineRule="auto"/>
              <w:ind w:left="21"/>
              <w:jc w:val="center"/>
              <w:rPr>
                <w:b/>
                <w:sz w:val="18"/>
              </w:rPr>
            </w:pPr>
            <w:r w:rsidRPr="00364545">
              <w:rPr>
                <w:b/>
                <w:sz w:val="18"/>
              </w:rPr>
              <w:t>479</w:t>
            </w:r>
          </w:p>
        </w:tc>
        <w:tc>
          <w:tcPr>
            <w:tcW w:w="715" w:type="dxa"/>
            <w:tcBorders>
              <w:top w:val="single" w:sz="2" w:space="0" w:color="000000"/>
              <w:left w:val="single" w:sz="2" w:space="0" w:color="000000"/>
              <w:bottom w:val="single" w:sz="2" w:space="0" w:color="000000"/>
              <w:right w:val="single" w:sz="2" w:space="0" w:color="000000"/>
            </w:tcBorders>
            <w:vAlign w:val="center"/>
          </w:tcPr>
          <w:p w14:paraId="23B41C01" w14:textId="77777777" w:rsidR="004D4A28" w:rsidRPr="00364545" w:rsidRDefault="004D4A28" w:rsidP="00361368">
            <w:pPr>
              <w:spacing w:line="259" w:lineRule="auto"/>
              <w:ind w:left="19"/>
              <w:jc w:val="center"/>
              <w:rPr>
                <w:b/>
                <w:sz w:val="18"/>
              </w:rPr>
            </w:pPr>
            <w:r w:rsidRPr="00364545">
              <w:rPr>
                <w:b/>
                <w:sz w:val="18"/>
              </w:rPr>
              <w:t>395</w:t>
            </w:r>
          </w:p>
        </w:tc>
        <w:tc>
          <w:tcPr>
            <w:tcW w:w="716" w:type="dxa"/>
            <w:tcBorders>
              <w:top w:val="single" w:sz="2" w:space="0" w:color="000000"/>
              <w:left w:val="single" w:sz="2" w:space="0" w:color="000000"/>
              <w:bottom w:val="single" w:sz="2" w:space="0" w:color="000000"/>
              <w:right w:val="single" w:sz="2" w:space="0" w:color="000000"/>
            </w:tcBorders>
            <w:vAlign w:val="center"/>
          </w:tcPr>
          <w:p w14:paraId="4FA32276" w14:textId="77777777" w:rsidR="004D4A28" w:rsidRPr="00364545" w:rsidRDefault="004D4A28" w:rsidP="00361368">
            <w:pPr>
              <w:spacing w:line="259" w:lineRule="auto"/>
              <w:ind w:left="21"/>
              <w:jc w:val="center"/>
              <w:rPr>
                <w:b/>
                <w:sz w:val="18"/>
              </w:rPr>
            </w:pPr>
            <w:r w:rsidRPr="00364545">
              <w:rPr>
                <w:b/>
                <w:sz w:val="18"/>
              </w:rPr>
              <w:t>330</w:t>
            </w:r>
          </w:p>
        </w:tc>
        <w:tc>
          <w:tcPr>
            <w:tcW w:w="715" w:type="dxa"/>
            <w:tcBorders>
              <w:top w:val="single" w:sz="2" w:space="0" w:color="000000"/>
              <w:left w:val="single" w:sz="2" w:space="0" w:color="000000"/>
              <w:bottom w:val="single" w:sz="2" w:space="0" w:color="000000"/>
              <w:right w:val="single" w:sz="2" w:space="0" w:color="000000"/>
            </w:tcBorders>
            <w:vAlign w:val="center"/>
          </w:tcPr>
          <w:p w14:paraId="406DE960" w14:textId="77777777" w:rsidR="004D4A28" w:rsidRPr="00364545" w:rsidRDefault="004D4A28" w:rsidP="00361368">
            <w:pPr>
              <w:spacing w:line="259" w:lineRule="auto"/>
              <w:ind w:left="20"/>
              <w:jc w:val="center"/>
              <w:rPr>
                <w:b/>
                <w:sz w:val="18"/>
              </w:rPr>
            </w:pPr>
            <w:r w:rsidRPr="00364545">
              <w:rPr>
                <w:b/>
                <w:sz w:val="18"/>
              </w:rPr>
              <w:t>299</w:t>
            </w:r>
          </w:p>
        </w:tc>
        <w:tc>
          <w:tcPr>
            <w:tcW w:w="716" w:type="dxa"/>
            <w:tcBorders>
              <w:top w:val="single" w:sz="2" w:space="0" w:color="000000"/>
              <w:left w:val="single" w:sz="2" w:space="0" w:color="000000"/>
              <w:bottom w:val="single" w:sz="2" w:space="0" w:color="000000"/>
              <w:right w:val="single" w:sz="2" w:space="0" w:color="000000"/>
            </w:tcBorders>
            <w:vAlign w:val="center"/>
          </w:tcPr>
          <w:p w14:paraId="539EDFEA" w14:textId="77777777" w:rsidR="004D4A28" w:rsidRPr="00364545" w:rsidRDefault="004D4A28" w:rsidP="00361368">
            <w:pPr>
              <w:spacing w:line="259" w:lineRule="auto"/>
              <w:ind w:left="20"/>
              <w:jc w:val="center"/>
              <w:rPr>
                <w:b/>
                <w:sz w:val="18"/>
              </w:rPr>
            </w:pPr>
            <w:r w:rsidRPr="00364545">
              <w:rPr>
                <w:b/>
                <w:sz w:val="18"/>
              </w:rPr>
              <w:t>205</w:t>
            </w:r>
          </w:p>
        </w:tc>
      </w:tr>
    </w:tbl>
    <w:p w14:paraId="6E26F32E" w14:textId="77777777" w:rsidR="004D4A28" w:rsidRDefault="004D4A28" w:rsidP="004D4A28"/>
    <w:p w14:paraId="674C174E" w14:textId="77777777" w:rsidR="004D4A28" w:rsidRDefault="004D4A28" w:rsidP="004D4A28">
      <w:pPr>
        <w:pStyle w:val="Caption"/>
      </w:pPr>
      <w:bookmarkStart w:id="171" w:name="_Toc123916522"/>
      <w:r>
        <w:t xml:space="preserve">Tableau </w:t>
      </w:r>
      <w:r w:rsidR="00757301">
        <w:fldChar w:fldCharType="begin"/>
      </w:r>
      <w:r w:rsidR="00757301">
        <w:instrText xml:space="preserve"> SEQ Tableau \* ARABIC </w:instrText>
      </w:r>
      <w:r w:rsidR="00757301">
        <w:fldChar w:fldCharType="separate"/>
      </w:r>
      <w:r>
        <w:rPr>
          <w:noProof/>
        </w:rPr>
        <w:t>30</w:t>
      </w:r>
      <w:r w:rsidR="00757301">
        <w:rPr>
          <w:noProof/>
        </w:rPr>
        <w:fldChar w:fldCharType="end"/>
      </w:r>
      <w:r>
        <w:t xml:space="preserve"> : </w:t>
      </w:r>
      <w:r w:rsidRPr="00160820">
        <w:t xml:space="preserve">Projections d’émissions de PFC (en </w:t>
      </w:r>
      <w:r w:rsidRPr="00590551">
        <w:t>kt</w:t>
      </w:r>
      <w:r>
        <w:t>CO</w:t>
      </w:r>
      <w:r w:rsidRPr="007F09F7">
        <w:rPr>
          <w:vertAlign w:val="subscript"/>
        </w:rPr>
        <w:t>2</w:t>
      </w:r>
      <w:r w:rsidRPr="00160820">
        <w:rPr>
          <w:vertAlign w:val="subscript"/>
        </w:rPr>
        <w:t>e</w:t>
      </w:r>
      <w:r w:rsidRPr="00160820">
        <w:t xml:space="preserve">) au périmètre Kyoto dans le scénario </w:t>
      </w:r>
      <w:r>
        <w:t xml:space="preserve">AMS 2018 </w:t>
      </w:r>
      <w:r w:rsidRPr="00160820">
        <w:t xml:space="preserve">(avec mesures </w:t>
      </w:r>
      <w:r>
        <w:t>supplémentaires</w:t>
      </w:r>
      <w:r w:rsidRPr="00160820">
        <w:t>)</w:t>
      </w:r>
      <w:bookmarkEnd w:id="171"/>
    </w:p>
    <w:p w14:paraId="6D27053E" w14:textId="77777777" w:rsidR="004D4A28" w:rsidRDefault="004D4A28" w:rsidP="004D4A28">
      <w:pPr>
        <w:pStyle w:val="Caption"/>
      </w:pPr>
      <w:r w:rsidRPr="006E15FD">
        <w:t xml:space="preserve">Source : Inventaire CCNUCC, Citepa/MTES, soumission </w:t>
      </w:r>
      <w:r>
        <w:t>2022</w:t>
      </w:r>
      <w:r w:rsidRPr="006E15FD">
        <w:t xml:space="preserve"> et projections d’émissions MTES, 20</w:t>
      </w:r>
      <w:r>
        <w:t>18</w:t>
      </w:r>
    </w:p>
    <w:p w14:paraId="0D0109AC" w14:textId="77777777" w:rsidR="004D4A28" w:rsidRPr="00364545" w:rsidRDefault="004D4A28" w:rsidP="004D4A2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602"/>
        <w:gridCol w:w="727"/>
        <w:gridCol w:w="793"/>
        <w:gridCol w:w="765"/>
        <w:gridCol w:w="762"/>
        <w:gridCol w:w="666"/>
        <w:gridCol w:w="664"/>
        <w:gridCol w:w="620"/>
        <w:gridCol w:w="675"/>
        <w:gridCol w:w="673"/>
        <w:gridCol w:w="675"/>
        <w:gridCol w:w="674"/>
        <w:gridCol w:w="638"/>
      </w:tblGrid>
      <w:tr w:rsidR="004D4A28" w:rsidRPr="00364545" w14:paraId="3EE0AC03" w14:textId="77777777" w:rsidTr="00361368">
        <w:trPr>
          <w:trHeight w:val="402"/>
        </w:trPr>
        <w:tc>
          <w:tcPr>
            <w:tcW w:w="1602" w:type="dxa"/>
            <w:tcBorders>
              <w:top w:val="single" w:sz="2" w:space="0" w:color="000000"/>
              <w:left w:val="single" w:sz="2" w:space="0" w:color="000000"/>
              <w:bottom w:val="single" w:sz="2" w:space="0" w:color="000000"/>
              <w:right w:val="single" w:sz="2" w:space="0" w:color="000000"/>
            </w:tcBorders>
            <w:shd w:val="clear" w:color="auto" w:fill="6D2A78"/>
          </w:tcPr>
          <w:p w14:paraId="7BDCBF8E" w14:textId="77777777" w:rsidR="004D4A28" w:rsidRPr="00364545" w:rsidRDefault="004D4A28" w:rsidP="00361368">
            <w:pPr>
              <w:spacing w:line="259" w:lineRule="auto"/>
            </w:pPr>
            <w:r w:rsidRPr="00364545">
              <w:t>AMS 18 – SF</w:t>
            </w:r>
            <w:r w:rsidRPr="00364545">
              <w:rPr>
                <w:vertAlign w:val="subscript"/>
              </w:rPr>
              <w:t>6</w:t>
            </w:r>
          </w:p>
        </w:tc>
        <w:tc>
          <w:tcPr>
            <w:tcW w:w="727" w:type="dxa"/>
            <w:tcBorders>
              <w:top w:val="single" w:sz="2" w:space="0" w:color="000000"/>
              <w:left w:val="single" w:sz="2" w:space="0" w:color="000000"/>
              <w:bottom w:val="single" w:sz="2" w:space="0" w:color="000000"/>
              <w:right w:val="single" w:sz="2" w:space="0" w:color="000000"/>
            </w:tcBorders>
            <w:shd w:val="clear" w:color="auto" w:fill="6D2A78"/>
          </w:tcPr>
          <w:p w14:paraId="5EADB401" w14:textId="77777777" w:rsidR="004D4A28" w:rsidRPr="00364545" w:rsidRDefault="004D4A28" w:rsidP="00361368">
            <w:pPr>
              <w:spacing w:line="259" w:lineRule="auto"/>
              <w:ind w:left="19"/>
              <w:jc w:val="center"/>
            </w:pPr>
            <w:r w:rsidRPr="00364545">
              <w:rPr>
                <w:b/>
                <w:color w:val="FFFFFF"/>
                <w:sz w:val="18"/>
              </w:rPr>
              <w:t xml:space="preserve">1990 </w:t>
            </w:r>
          </w:p>
        </w:tc>
        <w:tc>
          <w:tcPr>
            <w:tcW w:w="793" w:type="dxa"/>
            <w:tcBorders>
              <w:top w:val="single" w:sz="2" w:space="0" w:color="000000"/>
              <w:left w:val="single" w:sz="2" w:space="0" w:color="000000"/>
              <w:bottom w:val="single" w:sz="2" w:space="0" w:color="000000"/>
              <w:right w:val="single" w:sz="2" w:space="0" w:color="000000"/>
            </w:tcBorders>
            <w:shd w:val="clear" w:color="auto" w:fill="6D2A78"/>
          </w:tcPr>
          <w:p w14:paraId="48DF694C" w14:textId="77777777" w:rsidR="004D4A28" w:rsidRPr="00364545" w:rsidRDefault="004D4A28" w:rsidP="00361368">
            <w:pPr>
              <w:spacing w:line="259" w:lineRule="auto"/>
              <w:ind w:left="21"/>
              <w:jc w:val="center"/>
              <w:rPr>
                <w:b/>
                <w:color w:val="FFFFFF"/>
                <w:sz w:val="18"/>
              </w:rPr>
            </w:pPr>
            <w:r w:rsidRPr="00364545">
              <w:rPr>
                <w:b/>
                <w:color w:val="FFFFFF"/>
                <w:sz w:val="18"/>
              </w:rPr>
              <w:t>1995</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3DD767C5" w14:textId="77777777" w:rsidR="004D4A28" w:rsidRPr="00364545" w:rsidRDefault="004D4A28" w:rsidP="00361368">
            <w:pPr>
              <w:spacing w:line="259" w:lineRule="auto"/>
              <w:ind w:left="21"/>
              <w:jc w:val="center"/>
            </w:pPr>
            <w:r w:rsidRPr="00364545">
              <w:rPr>
                <w:b/>
                <w:color w:val="FFFFFF"/>
                <w:sz w:val="18"/>
              </w:rPr>
              <w:t xml:space="preserve">2000 </w:t>
            </w:r>
          </w:p>
        </w:tc>
        <w:tc>
          <w:tcPr>
            <w:tcW w:w="762" w:type="dxa"/>
            <w:tcBorders>
              <w:top w:val="single" w:sz="2" w:space="0" w:color="000000"/>
              <w:left w:val="single" w:sz="2" w:space="0" w:color="000000"/>
              <w:bottom w:val="single" w:sz="2" w:space="0" w:color="000000"/>
              <w:right w:val="single" w:sz="2" w:space="0" w:color="000000"/>
            </w:tcBorders>
            <w:shd w:val="clear" w:color="auto" w:fill="6D2A78"/>
          </w:tcPr>
          <w:p w14:paraId="0BB4BE45" w14:textId="77777777" w:rsidR="004D4A28" w:rsidRPr="00364545" w:rsidRDefault="004D4A28" w:rsidP="00361368">
            <w:pPr>
              <w:spacing w:line="259" w:lineRule="auto"/>
              <w:ind w:left="19"/>
              <w:jc w:val="center"/>
            </w:pPr>
            <w:r w:rsidRPr="00364545">
              <w:rPr>
                <w:b/>
                <w:color w:val="FFFFFF"/>
                <w:sz w:val="18"/>
              </w:rPr>
              <w:t xml:space="preserve">2005 </w:t>
            </w:r>
          </w:p>
        </w:tc>
        <w:tc>
          <w:tcPr>
            <w:tcW w:w="666" w:type="dxa"/>
            <w:tcBorders>
              <w:top w:val="single" w:sz="2" w:space="0" w:color="000000"/>
              <w:left w:val="single" w:sz="2" w:space="0" w:color="000000"/>
              <w:bottom w:val="single" w:sz="2" w:space="0" w:color="000000"/>
              <w:right w:val="single" w:sz="2" w:space="0" w:color="000000"/>
            </w:tcBorders>
            <w:shd w:val="clear" w:color="auto" w:fill="6D2A78"/>
          </w:tcPr>
          <w:p w14:paraId="2FF41E68" w14:textId="77777777" w:rsidR="004D4A28" w:rsidRPr="00364545" w:rsidRDefault="004D4A28" w:rsidP="00361368">
            <w:pPr>
              <w:spacing w:line="259" w:lineRule="auto"/>
              <w:ind w:left="21"/>
              <w:jc w:val="center"/>
            </w:pPr>
            <w:r w:rsidRPr="00364545">
              <w:rPr>
                <w:b/>
                <w:color w:val="FFFFFF"/>
                <w:sz w:val="18"/>
              </w:rPr>
              <w:t xml:space="preserve">2010 </w:t>
            </w:r>
          </w:p>
        </w:tc>
        <w:tc>
          <w:tcPr>
            <w:tcW w:w="664" w:type="dxa"/>
            <w:tcBorders>
              <w:top w:val="single" w:sz="2" w:space="0" w:color="000000"/>
              <w:left w:val="single" w:sz="2" w:space="0" w:color="000000"/>
              <w:bottom w:val="single" w:sz="2" w:space="0" w:color="000000"/>
              <w:right w:val="single" w:sz="2" w:space="0" w:color="000000"/>
            </w:tcBorders>
            <w:shd w:val="clear" w:color="auto" w:fill="6D2A78"/>
          </w:tcPr>
          <w:p w14:paraId="433F3E3E" w14:textId="77777777" w:rsidR="004D4A28" w:rsidRPr="00364545" w:rsidRDefault="004D4A28" w:rsidP="00361368">
            <w:pPr>
              <w:spacing w:line="259" w:lineRule="auto"/>
              <w:ind w:left="19"/>
              <w:jc w:val="center"/>
            </w:pPr>
            <w:r w:rsidRPr="00364545">
              <w:rPr>
                <w:b/>
                <w:color w:val="FFFFFF"/>
                <w:sz w:val="18"/>
              </w:rPr>
              <w:t xml:space="preserve">2015 </w:t>
            </w:r>
          </w:p>
        </w:tc>
        <w:tc>
          <w:tcPr>
            <w:tcW w:w="620" w:type="dxa"/>
            <w:tcBorders>
              <w:top w:val="single" w:sz="2" w:space="0" w:color="000000"/>
              <w:left w:val="single" w:sz="2" w:space="0" w:color="000000"/>
              <w:bottom w:val="single" w:sz="2" w:space="0" w:color="000000"/>
              <w:right w:val="single" w:sz="2" w:space="0" w:color="000000"/>
            </w:tcBorders>
            <w:shd w:val="clear" w:color="auto" w:fill="6D2A78"/>
          </w:tcPr>
          <w:p w14:paraId="6C43AEC8" w14:textId="77777777" w:rsidR="004D4A28" w:rsidRPr="00364545" w:rsidRDefault="004D4A28" w:rsidP="00361368">
            <w:pPr>
              <w:spacing w:line="259" w:lineRule="auto"/>
              <w:ind w:left="21"/>
              <w:jc w:val="center"/>
              <w:rPr>
                <w:b/>
                <w:color w:val="FFFFFF"/>
                <w:sz w:val="18"/>
              </w:rPr>
            </w:pPr>
            <w:r w:rsidRPr="00364545">
              <w:rPr>
                <w:b/>
                <w:color w:val="FFFFFF"/>
                <w:sz w:val="18"/>
              </w:rPr>
              <w:t>2019</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7B951BD3" w14:textId="77777777" w:rsidR="004D4A28" w:rsidRPr="00364545" w:rsidRDefault="004D4A28" w:rsidP="00361368">
            <w:pPr>
              <w:spacing w:line="259" w:lineRule="auto"/>
              <w:ind w:left="21"/>
              <w:jc w:val="center"/>
            </w:pPr>
            <w:r w:rsidRPr="00364545">
              <w:rPr>
                <w:b/>
                <w:color w:val="FFFFFF"/>
                <w:sz w:val="18"/>
              </w:rPr>
              <w:t xml:space="preserve">2020 </w:t>
            </w:r>
          </w:p>
        </w:tc>
        <w:tc>
          <w:tcPr>
            <w:tcW w:w="673" w:type="dxa"/>
            <w:tcBorders>
              <w:top w:val="single" w:sz="2" w:space="0" w:color="000000"/>
              <w:left w:val="single" w:sz="2" w:space="0" w:color="000000"/>
              <w:bottom w:val="single" w:sz="2" w:space="0" w:color="000000"/>
              <w:right w:val="single" w:sz="2" w:space="0" w:color="000000"/>
            </w:tcBorders>
            <w:shd w:val="clear" w:color="auto" w:fill="6D2A78"/>
          </w:tcPr>
          <w:p w14:paraId="22596085" w14:textId="77777777" w:rsidR="004D4A28" w:rsidRPr="00364545" w:rsidRDefault="004D4A28" w:rsidP="00361368">
            <w:pPr>
              <w:spacing w:line="259" w:lineRule="auto"/>
              <w:ind w:left="19"/>
              <w:jc w:val="center"/>
            </w:pPr>
            <w:r w:rsidRPr="00364545">
              <w:rPr>
                <w:b/>
                <w:color w:val="FFFFFF"/>
                <w:sz w:val="18"/>
              </w:rPr>
              <w:t xml:space="preserve">2025 </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59D89353" w14:textId="77777777" w:rsidR="004D4A28" w:rsidRPr="00364545" w:rsidRDefault="004D4A28" w:rsidP="00361368">
            <w:pPr>
              <w:spacing w:line="259" w:lineRule="auto"/>
              <w:ind w:left="21"/>
              <w:jc w:val="center"/>
            </w:pPr>
            <w:r w:rsidRPr="00364545">
              <w:rPr>
                <w:b/>
                <w:color w:val="FFFFFF"/>
                <w:sz w:val="18"/>
              </w:rPr>
              <w:t xml:space="preserve">2030 </w:t>
            </w:r>
          </w:p>
        </w:tc>
        <w:tc>
          <w:tcPr>
            <w:tcW w:w="674" w:type="dxa"/>
            <w:tcBorders>
              <w:top w:val="single" w:sz="2" w:space="0" w:color="000000"/>
              <w:left w:val="single" w:sz="2" w:space="0" w:color="000000"/>
              <w:bottom w:val="single" w:sz="2" w:space="0" w:color="000000"/>
              <w:right w:val="single" w:sz="2" w:space="0" w:color="000000"/>
            </w:tcBorders>
            <w:shd w:val="clear" w:color="auto" w:fill="6D2A78"/>
          </w:tcPr>
          <w:p w14:paraId="6498BC27" w14:textId="77777777" w:rsidR="004D4A28" w:rsidRPr="00364545" w:rsidRDefault="004D4A28" w:rsidP="00361368">
            <w:pPr>
              <w:spacing w:line="259" w:lineRule="auto"/>
              <w:ind w:left="20"/>
              <w:jc w:val="center"/>
            </w:pPr>
            <w:r w:rsidRPr="00364545">
              <w:rPr>
                <w:b/>
                <w:color w:val="FFFFFF"/>
                <w:sz w:val="18"/>
              </w:rPr>
              <w:t xml:space="preserve">2035 </w:t>
            </w:r>
          </w:p>
        </w:tc>
        <w:tc>
          <w:tcPr>
            <w:tcW w:w="638" w:type="dxa"/>
            <w:tcBorders>
              <w:top w:val="single" w:sz="2" w:space="0" w:color="000000"/>
              <w:left w:val="single" w:sz="2" w:space="0" w:color="000000"/>
              <w:bottom w:val="single" w:sz="2" w:space="0" w:color="000000"/>
              <w:right w:val="single" w:sz="2" w:space="0" w:color="000000"/>
            </w:tcBorders>
            <w:shd w:val="clear" w:color="auto" w:fill="6D2A78"/>
          </w:tcPr>
          <w:p w14:paraId="52771EAD" w14:textId="77777777" w:rsidR="004D4A28" w:rsidRPr="00364545" w:rsidRDefault="004D4A28" w:rsidP="00361368">
            <w:pPr>
              <w:spacing w:line="259" w:lineRule="auto"/>
              <w:ind w:left="20"/>
              <w:jc w:val="center"/>
              <w:rPr>
                <w:b/>
                <w:color w:val="FFFFFF"/>
                <w:sz w:val="18"/>
              </w:rPr>
            </w:pPr>
            <w:r w:rsidRPr="00364545">
              <w:rPr>
                <w:b/>
                <w:color w:val="FFFFFF"/>
                <w:sz w:val="18"/>
              </w:rPr>
              <w:t>2050</w:t>
            </w:r>
          </w:p>
        </w:tc>
      </w:tr>
      <w:tr w:rsidR="004D4A28" w:rsidRPr="00364545" w14:paraId="7A134D79" w14:textId="77777777" w:rsidTr="00361368">
        <w:trPr>
          <w:trHeight w:val="347"/>
        </w:trPr>
        <w:tc>
          <w:tcPr>
            <w:tcW w:w="1602" w:type="dxa"/>
            <w:tcBorders>
              <w:top w:val="single" w:sz="2" w:space="0" w:color="000000"/>
              <w:left w:val="single" w:sz="2" w:space="0" w:color="000000"/>
              <w:bottom w:val="single" w:sz="2" w:space="0" w:color="000000"/>
              <w:right w:val="single" w:sz="2" w:space="0" w:color="000000"/>
            </w:tcBorders>
          </w:tcPr>
          <w:p w14:paraId="4C33CEC6" w14:textId="77777777" w:rsidR="004D4A28" w:rsidRPr="00364545" w:rsidRDefault="004D4A28" w:rsidP="00361368">
            <w:pPr>
              <w:spacing w:line="259" w:lineRule="auto"/>
            </w:pPr>
            <w:r>
              <w:rPr>
                <w:sz w:val="18"/>
              </w:rPr>
              <w:t xml:space="preserve">Energie </w:t>
            </w:r>
          </w:p>
        </w:tc>
        <w:tc>
          <w:tcPr>
            <w:tcW w:w="727" w:type="dxa"/>
            <w:tcBorders>
              <w:top w:val="single" w:sz="2" w:space="0" w:color="000000"/>
              <w:left w:val="single" w:sz="2" w:space="0" w:color="000000"/>
              <w:bottom w:val="single" w:sz="2" w:space="0" w:color="000000"/>
              <w:right w:val="single" w:sz="2" w:space="0" w:color="000000"/>
            </w:tcBorders>
            <w:vAlign w:val="center"/>
          </w:tcPr>
          <w:p w14:paraId="7A905A0B" w14:textId="77777777" w:rsidR="004D4A28" w:rsidRPr="00364545" w:rsidRDefault="004D4A28" w:rsidP="00361368">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vAlign w:val="center"/>
          </w:tcPr>
          <w:p w14:paraId="0EDB4937" w14:textId="77777777" w:rsidR="004D4A28" w:rsidRPr="00364545" w:rsidRDefault="004D4A28" w:rsidP="00361368">
            <w:pPr>
              <w:spacing w:line="259" w:lineRule="auto"/>
              <w:ind w:left="16"/>
              <w:jc w:val="center"/>
            </w:pPr>
            <w:r w:rsidRPr="00634E4C">
              <w:rPr>
                <w:rFonts w:asciiTheme="majorHAnsi" w:hAnsiTheme="majorHAnsi"/>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0D948825" w14:textId="77777777" w:rsidR="004D4A28" w:rsidRPr="00364545" w:rsidRDefault="004D4A28" w:rsidP="00361368">
            <w:pPr>
              <w:spacing w:line="259" w:lineRule="auto"/>
              <w:ind w:left="16"/>
              <w:jc w:val="cente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163799A8" w14:textId="77777777" w:rsidR="004D4A28" w:rsidRPr="00364545" w:rsidRDefault="004D4A28" w:rsidP="00361368">
            <w:pPr>
              <w:spacing w:line="259" w:lineRule="auto"/>
              <w:ind w:left="14"/>
              <w:jc w:val="center"/>
            </w:pPr>
            <w:r w:rsidRPr="00634E4C">
              <w:rPr>
                <w:rFonts w:asciiTheme="majorHAnsi" w:hAnsiTheme="majorHAnsi"/>
                <w:sz w:val="18"/>
              </w:rPr>
              <w:t>0</w:t>
            </w:r>
          </w:p>
        </w:tc>
        <w:tc>
          <w:tcPr>
            <w:tcW w:w="666" w:type="dxa"/>
            <w:tcBorders>
              <w:top w:val="single" w:sz="2" w:space="0" w:color="000000"/>
              <w:left w:val="single" w:sz="2" w:space="0" w:color="000000"/>
              <w:bottom w:val="single" w:sz="2" w:space="0" w:color="000000"/>
              <w:right w:val="single" w:sz="2" w:space="0" w:color="000000"/>
            </w:tcBorders>
            <w:vAlign w:val="center"/>
          </w:tcPr>
          <w:p w14:paraId="6E0E8DEE" w14:textId="77777777" w:rsidR="004D4A28" w:rsidRPr="00364545" w:rsidRDefault="004D4A28" w:rsidP="00361368">
            <w:pPr>
              <w:spacing w:line="259" w:lineRule="auto"/>
              <w:ind w:left="16"/>
              <w:jc w:val="center"/>
            </w:pPr>
            <w:r w:rsidRPr="00634E4C">
              <w:rPr>
                <w:rFonts w:asciiTheme="majorHAnsi" w:hAnsiTheme="majorHAnsi"/>
                <w:sz w:val="18"/>
              </w:rPr>
              <w:t>0</w:t>
            </w:r>
          </w:p>
        </w:tc>
        <w:tc>
          <w:tcPr>
            <w:tcW w:w="664" w:type="dxa"/>
            <w:tcBorders>
              <w:top w:val="single" w:sz="2" w:space="0" w:color="000000"/>
              <w:left w:val="single" w:sz="2" w:space="0" w:color="000000"/>
              <w:bottom w:val="single" w:sz="2" w:space="0" w:color="000000"/>
              <w:right w:val="single" w:sz="2" w:space="0" w:color="000000"/>
            </w:tcBorders>
            <w:vAlign w:val="center"/>
          </w:tcPr>
          <w:p w14:paraId="3F67E3BD" w14:textId="77777777" w:rsidR="004D4A28" w:rsidRPr="00364545" w:rsidRDefault="004D4A28" w:rsidP="00361368">
            <w:pPr>
              <w:spacing w:line="259" w:lineRule="auto"/>
              <w:ind w:left="14"/>
              <w:jc w:val="center"/>
            </w:pPr>
            <w:r w:rsidRPr="00634E4C">
              <w:rPr>
                <w:rFonts w:asciiTheme="majorHAnsi" w:hAnsiTheme="majorHAnsi"/>
                <w:sz w:val="18"/>
              </w:rPr>
              <w:t>0</w:t>
            </w:r>
          </w:p>
        </w:tc>
        <w:tc>
          <w:tcPr>
            <w:tcW w:w="620" w:type="dxa"/>
            <w:tcBorders>
              <w:top w:val="single" w:sz="2" w:space="0" w:color="000000"/>
              <w:left w:val="single" w:sz="2" w:space="0" w:color="000000"/>
              <w:bottom w:val="single" w:sz="2" w:space="0" w:color="000000"/>
              <w:right w:val="single" w:sz="2" w:space="0" w:color="000000"/>
            </w:tcBorders>
            <w:vAlign w:val="center"/>
          </w:tcPr>
          <w:p w14:paraId="0F98A24E" w14:textId="77777777" w:rsidR="004D4A28" w:rsidRPr="00364545" w:rsidRDefault="004D4A28" w:rsidP="00361368">
            <w:pPr>
              <w:spacing w:line="259" w:lineRule="auto"/>
              <w:ind w:left="16"/>
              <w:jc w:val="cente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6D97393D" w14:textId="77777777" w:rsidR="004D4A28" w:rsidRPr="00364545" w:rsidRDefault="004D4A28" w:rsidP="00361368">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5D7BCE1F" w14:textId="77777777" w:rsidR="004D4A28" w:rsidRPr="00364545" w:rsidRDefault="004D4A28" w:rsidP="00361368">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719F69EE" w14:textId="77777777" w:rsidR="004D4A28" w:rsidRPr="00364545" w:rsidRDefault="004D4A28" w:rsidP="00361368">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0BAFB42B" w14:textId="77777777" w:rsidR="004D4A28" w:rsidRPr="00364545" w:rsidRDefault="004D4A28" w:rsidP="00361368">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vAlign w:val="center"/>
          </w:tcPr>
          <w:p w14:paraId="6E9F8DE4" w14:textId="77777777" w:rsidR="004D4A28" w:rsidRPr="00364545" w:rsidRDefault="004D4A28" w:rsidP="00361368">
            <w:pPr>
              <w:spacing w:line="259" w:lineRule="auto"/>
              <w:ind w:left="15"/>
              <w:jc w:val="center"/>
            </w:pPr>
            <w:r w:rsidRPr="00364545">
              <w:t>0</w:t>
            </w:r>
          </w:p>
        </w:tc>
      </w:tr>
      <w:tr w:rsidR="009433BD" w:rsidRPr="00364545" w14:paraId="328C1F73" w14:textId="77777777" w:rsidTr="00361368">
        <w:trPr>
          <w:trHeight w:val="416"/>
        </w:trPr>
        <w:tc>
          <w:tcPr>
            <w:tcW w:w="1602" w:type="dxa"/>
            <w:tcBorders>
              <w:top w:val="single" w:sz="2" w:space="0" w:color="000000"/>
              <w:left w:val="single" w:sz="2" w:space="0" w:color="000000"/>
              <w:bottom w:val="single" w:sz="2" w:space="0" w:color="000000"/>
              <w:right w:val="single" w:sz="2" w:space="0" w:color="000000"/>
            </w:tcBorders>
            <w:shd w:val="clear" w:color="auto" w:fill="ECE6E2"/>
          </w:tcPr>
          <w:p w14:paraId="51901FA7" w14:textId="77777777" w:rsidR="009433BD" w:rsidRPr="00364545" w:rsidRDefault="009433BD" w:rsidP="009433BD">
            <w:pPr>
              <w:spacing w:line="259" w:lineRule="auto"/>
            </w:pPr>
            <w:r>
              <w:rPr>
                <w:sz w:val="18"/>
              </w:rPr>
              <w:t xml:space="preserve">Procédés industriels, solvants et autres produits </w:t>
            </w:r>
          </w:p>
        </w:tc>
        <w:tc>
          <w:tcPr>
            <w:tcW w:w="7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1B3DE2" w14:textId="77777777" w:rsidR="009433BD" w:rsidRPr="00364545" w:rsidRDefault="009433BD" w:rsidP="009433BD">
            <w:pPr>
              <w:spacing w:line="259" w:lineRule="auto"/>
              <w:ind w:left="14"/>
              <w:jc w:val="center"/>
            </w:pPr>
            <w:r w:rsidRPr="005D0955">
              <w:rPr>
                <w:rFonts w:asciiTheme="majorHAnsi" w:hAnsiTheme="majorHAnsi"/>
                <w:sz w:val="18"/>
                <w:szCs w:val="18"/>
              </w:rPr>
              <w:t>2155</w:t>
            </w:r>
          </w:p>
        </w:tc>
        <w:tc>
          <w:tcPr>
            <w:tcW w:w="79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21D661" w14:textId="77777777" w:rsidR="009433BD" w:rsidRPr="00364545" w:rsidRDefault="009433BD" w:rsidP="009433BD">
            <w:pPr>
              <w:spacing w:line="259" w:lineRule="auto"/>
              <w:ind w:left="14"/>
              <w:jc w:val="cente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2A0176" w14:textId="77777777" w:rsidR="009433BD" w:rsidRPr="00364545" w:rsidRDefault="009433BD" w:rsidP="009433BD">
            <w:pPr>
              <w:spacing w:line="259" w:lineRule="auto"/>
              <w:ind w:left="14"/>
              <w:jc w:val="center"/>
            </w:pPr>
            <w:r w:rsidRPr="005D0955">
              <w:rPr>
                <w:rFonts w:asciiTheme="majorHAnsi" w:hAnsiTheme="majorHAnsi"/>
                <w:sz w:val="18"/>
                <w:szCs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86C484" w14:textId="77777777" w:rsidR="009433BD" w:rsidRPr="00364545" w:rsidRDefault="009433BD" w:rsidP="009433BD">
            <w:pPr>
              <w:spacing w:line="259" w:lineRule="auto"/>
              <w:ind w:left="14"/>
              <w:jc w:val="center"/>
            </w:pPr>
            <w:r w:rsidRPr="005D0955">
              <w:rPr>
                <w:rFonts w:asciiTheme="majorHAnsi" w:hAnsiTheme="majorHAnsi"/>
                <w:sz w:val="18"/>
                <w:szCs w:val="18"/>
              </w:rPr>
              <w:t>1355</w:t>
            </w:r>
          </w:p>
        </w:tc>
        <w:tc>
          <w:tcPr>
            <w:tcW w:w="6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2DBBB8" w14:textId="77777777" w:rsidR="009433BD" w:rsidRPr="00364545" w:rsidRDefault="009433BD" w:rsidP="009433BD">
            <w:pPr>
              <w:spacing w:line="259" w:lineRule="auto"/>
              <w:ind w:left="14"/>
              <w:jc w:val="center"/>
            </w:pPr>
            <w:r w:rsidRPr="005D0955">
              <w:rPr>
                <w:rFonts w:asciiTheme="majorHAnsi" w:hAnsiTheme="majorHAnsi"/>
                <w:sz w:val="18"/>
                <w:szCs w:val="18"/>
              </w:rPr>
              <w:t>875</w:t>
            </w:r>
          </w:p>
        </w:tc>
        <w:tc>
          <w:tcPr>
            <w:tcW w:w="6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874B6D" w14:textId="77777777" w:rsidR="009433BD" w:rsidRPr="00364545" w:rsidRDefault="009433BD" w:rsidP="009433BD">
            <w:pPr>
              <w:spacing w:line="259" w:lineRule="auto"/>
              <w:ind w:left="14"/>
              <w:jc w:val="center"/>
            </w:pPr>
            <w:r w:rsidRPr="005D0955">
              <w:rPr>
                <w:rFonts w:asciiTheme="majorHAnsi" w:hAnsiTheme="majorHAnsi"/>
                <w:sz w:val="18"/>
                <w:szCs w:val="18"/>
              </w:rPr>
              <w:t>498</w:t>
            </w:r>
          </w:p>
        </w:tc>
        <w:tc>
          <w:tcPr>
            <w:tcW w:w="62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65564F" w14:textId="77777777" w:rsidR="009433BD" w:rsidRPr="00364545" w:rsidRDefault="009433BD" w:rsidP="009433BD">
            <w:pPr>
              <w:spacing w:line="259" w:lineRule="auto"/>
              <w:ind w:left="14"/>
              <w:jc w:val="cente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ACFA01" w14:textId="384FC994" w:rsidR="009433BD" w:rsidRPr="00364545" w:rsidRDefault="009433BD" w:rsidP="009433BD">
            <w:pPr>
              <w:spacing w:line="259" w:lineRule="auto"/>
              <w:ind w:left="14"/>
              <w:jc w:val="center"/>
            </w:pPr>
            <w:r>
              <w:t>458</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FFC205" w14:textId="3C9B82E1" w:rsidR="009433BD" w:rsidRPr="00364545" w:rsidRDefault="009433BD" w:rsidP="009433BD">
            <w:pPr>
              <w:spacing w:line="259" w:lineRule="auto"/>
              <w:ind w:left="14"/>
              <w:jc w:val="center"/>
            </w:pPr>
            <w:r w:rsidRPr="00364545">
              <w:t>460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C3027F" w14:textId="498F6874" w:rsidR="009433BD" w:rsidRPr="00364545" w:rsidRDefault="009433BD" w:rsidP="009433BD">
            <w:pPr>
              <w:spacing w:line="259" w:lineRule="auto"/>
              <w:ind w:left="14"/>
              <w:jc w:val="center"/>
            </w:pPr>
            <w:r w:rsidRPr="00364545">
              <w:t>460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43A352" w14:textId="29BE17F6" w:rsidR="009433BD" w:rsidRPr="00364545" w:rsidRDefault="009433BD" w:rsidP="009433BD">
            <w:pPr>
              <w:spacing w:line="259" w:lineRule="auto"/>
              <w:ind w:left="14"/>
              <w:jc w:val="center"/>
            </w:pPr>
            <w:r>
              <w:t>460</w:t>
            </w:r>
          </w:p>
        </w:tc>
        <w:tc>
          <w:tcPr>
            <w:tcW w:w="63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6DD4AD1" w14:textId="4F946179" w:rsidR="009433BD" w:rsidRPr="00364545" w:rsidRDefault="009433BD" w:rsidP="009433BD">
            <w:pPr>
              <w:spacing w:line="259" w:lineRule="auto"/>
              <w:ind w:left="14"/>
              <w:jc w:val="center"/>
            </w:pPr>
            <w:r>
              <w:t>463</w:t>
            </w:r>
          </w:p>
        </w:tc>
      </w:tr>
      <w:tr w:rsidR="009433BD" w:rsidRPr="00364545" w14:paraId="15C7DB55" w14:textId="77777777" w:rsidTr="00361368">
        <w:trPr>
          <w:trHeight w:val="347"/>
        </w:trPr>
        <w:tc>
          <w:tcPr>
            <w:tcW w:w="1602" w:type="dxa"/>
            <w:tcBorders>
              <w:top w:val="single" w:sz="2" w:space="0" w:color="000000"/>
              <w:left w:val="single" w:sz="2" w:space="0" w:color="000000"/>
              <w:bottom w:val="single" w:sz="2" w:space="0" w:color="000000"/>
              <w:right w:val="single" w:sz="2" w:space="0" w:color="000000"/>
            </w:tcBorders>
          </w:tcPr>
          <w:p w14:paraId="449F4B5B" w14:textId="77777777" w:rsidR="009433BD" w:rsidRPr="00364545" w:rsidRDefault="009433BD" w:rsidP="009433BD">
            <w:pPr>
              <w:spacing w:line="259" w:lineRule="auto"/>
            </w:pPr>
            <w:r>
              <w:rPr>
                <w:sz w:val="18"/>
              </w:rPr>
              <w:t xml:space="preserve">Agriculture (hors énergie) </w:t>
            </w:r>
          </w:p>
        </w:tc>
        <w:tc>
          <w:tcPr>
            <w:tcW w:w="727" w:type="dxa"/>
            <w:tcBorders>
              <w:top w:val="single" w:sz="2" w:space="0" w:color="000000"/>
              <w:left w:val="single" w:sz="2" w:space="0" w:color="000000"/>
              <w:bottom w:val="single" w:sz="2" w:space="0" w:color="000000"/>
              <w:right w:val="single" w:sz="2" w:space="0" w:color="000000"/>
            </w:tcBorders>
            <w:vAlign w:val="center"/>
          </w:tcPr>
          <w:p w14:paraId="2E1AADF6" w14:textId="77777777" w:rsidR="009433BD" w:rsidRPr="00364545" w:rsidRDefault="009433BD" w:rsidP="009433BD">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vAlign w:val="center"/>
          </w:tcPr>
          <w:p w14:paraId="50909048"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54FBF2CC"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609E5160" w14:textId="77777777" w:rsidR="009433BD" w:rsidRPr="00364545" w:rsidRDefault="009433BD" w:rsidP="009433BD">
            <w:pPr>
              <w:spacing w:line="259" w:lineRule="auto"/>
              <w:ind w:left="14"/>
              <w:jc w:val="center"/>
            </w:pPr>
            <w:r w:rsidRPr="00634E4C">
              <w:rPr>
                <w:rFonts w:asciiTheme="majorHAnsi" w:hAnsiTheme="majorHAnsi"/>
                <w:b/>
                <w:color w:val="000000"/>
                <w:sz w:val="18"/>
              </w:rPr>
              <w:t>0</w:t>
            </w:r>
          </w:p>
        </w:tc>
        <w:tc>
          <w:tcPr>
            <w:tcW w:w="666" w:type="dxa"/>
            <w:tcBorders>
              <w:top w:val="single" w:sz="2" w:space="0" w:color="000000"/>
              <w:left w:val="single" w:sz="2" w:space="0" w:color="000000"/>
              <w:bottom w:val="single" w:sz="2" w:space="0" w:color="000000"/>
              <w:right w:val="single" w:sz="2" w:space="0" w:color="000000"/>
            </w:tcBorders>
            <w:vAlign w:val="center"/>
          </w:tcPr>
          <w:p w14:paraId="34A4C4D7"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664" w:type="dxa"/>
            <w:tcBorders>
              <w:top w:val="single" w:sz="2" w:space="0" w:color="000000"/>
              <w:left w:val="single" w:sz="2" w:space="0" w:color="000000"/>
              <w:bottom w:val="single" w:sz="2" w:space="0" w:color="000000"/>
              <w:right w:val="single" w:sz="2" w:space="0" w:color="000000"/>
            </w:tcBorders>
            <w:vAlign w:val="center"/>
          </w:tcPr>
          <w:p w14:paraId="30203456" w14:textId="77777777" w:rsidR="009433BD" w:rsidRPr="00364545" w:rsidRDefault="009433BD" w:rsidP="009433BD">
            <w:pPr>
              <w:spacing w:line="259" w:lineRule="auto"/>
              <w:ind w:left="14"/>
              <w:jc w:val="center"/>
            </w:pPr>
            <w:r w:rsidRPr="00634E4C">
              <w:rPr>
                <w:rFonts w:asciiTheme="majorHAnsi" w:hAnsiTheme="majorHAnsi"/>
                <w:b/>
                <w:color w:val="000000"/>
                <w:sz w:val="18"/>
              </w:rPr>
              <w:t>0</w:t>
            </w:r>
          </w:p>
        </w:tc>
        <w:tc>
          <w:tcPr>
            <w:tcW w:w="620" w:type="dxa"/>
            <w:tcBorders>
              <w:top w:val="single" w:sz="2" w:space="0" w:color="000000"/>
              <w:left w:val="single" w:sz="2" w:space="0" w:color="000000"/>
              <w:bottom w:val="single" w:sz="2" w:space="0" w:color="000000"/>
              <w:right w:val="single" w:sz="2" w:space="0" w:color="000000"/>
            </w:tcBorders>
            <w:vAlign w:val="center"/>
          </w:tcPr>
          <w:p w14:paraId="5E84A4FA"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21B9ED94" w14:textId="76D12480" w:rsidR="009433BD" w:rsidRPr="00364545" w:rsidRDefault="009433BD" w:rsidP="009433BD">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74DC09AC" w14:textId="48761C28" w:rsidR="009433BD" w:rsidRPr="00364545" w:rsidRDefault="009433BD" w:rsidP="009433BD">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386C138E" w14:textId="3A17CEEA" w:rsidR="009433BD" w:rsidRPr="00364545" w:rsidRDefault="009433BD" w:rsidP="009433BD">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25370308" w14:textId="7A011789" w:rsidR="009433BD" w:rsidRPr="00364545" w:rsidRDefault="009433BD" w:rsidP="009433BD">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vAlign w:val="center"/>
          </w:tcPr>
          <w:p w14:paraId="4A7C1895" w14:textId="3160064B" w:rsidR="009433BD" w:rsidRPr="00364545" w:rsidRDefault="009433BD" w:rsidP="009433BD">
            <w:pPr>
              <w:spacing w:line="259" w:lineRule="auto"/>
              <w:ind w:left="15"/>
              <w:jc w:val="center"/>
            </w:pPr>
            <w:r w:rsidRPr="00364545">
              <w:t>0</w:t>
            </w:r>
          </w:p>
        </w:tc>
      </w:tr>
      <w:tr w:rsidR="009433BD" w:rsidRPr="00364545" w14:paraId="36BBC41D" w14:textId="77777777" w:rsidTr="00361368">
        <w:trPr>
          <w:trHeight w:val="344"/>
        </w:trPr>
        <w:tc>
          <w:tcPr>
            <w:tcW w:w="1602" w:type="dxa"/>
            <w:tcBorders>
              <w:top w:val="single" w:sz="2" w:space="0" w:color="000000"/>
              <w:left w:val="single" w:sz="2" w:space="0" w:color="000000"/>
              <w:bottom w:val="single" w:sz="2" w:space="0" w:color="000000"/>
              <w:right w:val="single" w:sz="2" w:space="0" w:color="000000"/>
            </w:tcBorders>
            <w:shd w:val="clear" w:color="auto" w:fill="ECE6E2"/>
          </w:tcPr>
          <w:p w14:paraId="2F35FF22" w14:textId="77777777" w:rsidR="009433BD" w:rsidRPr="00364545" w:rsidRDefault="009433BD" w:rsidP="009433BD">
            <w:pPr>
              <w:spacing w:line="259" w:lineRule="auto"/>
            </w:pPr>
            <w:r>
              <w:rPr>
                <w:sz w:val="18"/>
              </w:rPr>
              <w:t xml:space="preserve">UTCF </w:t>
            </w:r>
          </w:p>
        </w:tc>
        <w:tc>
          <w:tcPr>
            <w:tcW w:w="7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89781E" w14:textId="77777777" w:rsidR="009433BD" w:rsidRPr="00364545" w:rsidRDefault="009433BD" w:rsidP="009433BD">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D1FCA7"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D65FC5"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24DEE2" w14:textId="77777777" w:rsidR="009433BD" w:rsidRPr="00364545" w:rsidRDefault="009433BD" w:rsidP="009433BD">
            <w:pPr>
              <w:spacing w:line="259" w:lineRule="auto"/>
              <w:ind w:left="14"/>
              <w:jc w:val="center"/>
            </w:pPr>
            <w:r w:rsidRPr="00634E4C">
              <w:rPr>
                <w:rFonts w:asciiTheme="majorHAnsi" w:hAnsiTheme="majorHAnsi"/>
                <w:b/>
                <w:color w:val="000000"/>
                <w:sz w:val="18"/>
              </w:rPr>
              <w:t>0</w:t>
            </w:r>
          </w:p>
        </w:tc>
        <w:tc>
          <w:tcPr>
            <w:tcW w:w="6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876789"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6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9BA7BE" w14:textId="77777777" w:rsidR="009433BD" w:rsidRPr="00364545" w:rsidRDefault="009433BD" w:rsidP="009433BD">
            <w:pPr>
              <w:spacing w:line="259" w:lineRule="auto"/>
              <w:ind w:left="14"/>
              <w:jc w:val="center"/>
            </w:pPr>
            <w:r w:rsidRPr="00634E4C">
              <w:rPr>
                <w:rFonts w:asciiTheme="majorHAnsi" w:hAnsiTheme="majorHAnsi"/>
                <w:b/>
                <w:color w:val="000000"/>
                <w:sz w:val="18"/>
              </w:rPr>
              <w:t>0</w:t>
            </w:r>
          </w:p>
        </w:tc>
        <w:tc>
          <w:tcPr>
            <w:tcW w:w="62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7F0DF9"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47DD27" w14:textId="26752C8A" w:rsidR="009433BD" w:rsidRPr="00364545" w:rsidRDefault="009433BD" w:rsidP="009433BD">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FBF6E3" w14:textId="76C36630" w:rsidR="009433BD" w:rsidRPr="00364545" w:rsidRDefault="009433BD" w:rsidP="009433BD">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3B3483" w14:textId="0B8E92EF" w:rsidR="009433BD" w:rsidRPr="00364545" w:rsidRDefault="009433BD" w:rsidP="009433BD">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55A5B74" w14:textId="71EB5310" w:rsidR="009433BD" w:rsidRPr="00364545" w:rsidRDefault="009433BD" w:rsidP="009433BD">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73777D" w14:textId="54D198D1" w:rsidR="009433BD" w:rsidRPr="00364545" w:rsidRDefault="009433BD" w:rsidP="009433BD">
            <w:pPr>
              <w:spacing w:line="259" w:lineRule="auto"/>
              <w:ind w:left="15"/>
              <w:jc w:val="center"/>
            </w:pPr>
            <w:r w:rsidRPr="00364545">
              <w:t>0</w:t>
            </w:r>
          </w:p>
        </w:tc>
      </w:tr>
      <w:tr w:rsidR="009433BD" w:rsidRPr="00364545" w14:paraId="63CF15AE" w14:textId="77777777" w:rsidTr="00361368">
        <w:trPr>
          <w:trHeight w:val="346"/>
        </w:trPr>
        <w:tc>
          <w:tcPr>
            <w:tcW w:w="1602" w:type="dxa"/>
            <w:tcBorders>
              <w:top w:val="single" w:sz="2" w:space="0" w:color="000000"/>
              <w:left w:val="single" w:sz="2" w:space="0" w:color="000000"/>
              <w:bottom w:val="single" w:sz="2" w:space="0" w:color="000000"/>
              <w:right w:val="single" w:sz="2" w:space="0" w:color="000000"/>
            </w:tcBorders>
          </w:tcPr>
          <w:p w14:paraId="5C5F4DDF" w14:textId="77777777" w:rsidR="009433BD" w:rsidRPr="00364545" w:rsidRDefault="009433BD" w:rsidP="009433BD">
            <w:pPr>
              <w:spacing w:line="259" w:lineRule="auto"/>
            </w:pPr>
            <w:r>
              <w:rPr>
                <w:sz w:val="18"/>
              </w:rPr>
              <w:t xml:space="preserve">Déchets </w:t>
            </w:r>
          </w:p>
        </w:tc>
        <w:tc>
          <w:tcPr>
            <w:tcW w:w="727" w:type="dxa"/>
            <w:tcBorders>
              <w:top w:val="single" w:sz="2" w:space="0" w:color="000000"/>
              <w:left w:val="single" w:sz="2" w:space="0" w:color="000000"/>
              <w:bottom w:val="single" w:sz="2" w:space="0" w:color="000000"/>
              <w:right w:val="single" w:sz="2" w:space="0" w:color="000000"/>
            </w:tcBorders>
            <w:vAlign w:val="center"/>
          </w:tcPr>
          <w:p w14:paraId="4F3B4CD6" w14:textId="77777777" w:rsidR="009433BD" w:rsidRPr="00364545" w:rsidRDefault="009433BD" w:rsidP="009433BD">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vAlign w:val="center"/>
          </w:tcPr>
          <w:p w14:paraId="30FF8C01"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56AAC92B"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70F46969" w14:textId="77777777" w:rsidR="009433BD" w:rsidRPr="00364545" w:rsidRDefault="009433BD" w:rsidP="009433BD">
            <w:pPr>
              <w:spacing w:line="259" w:lineRule="auto"/>
              <w:ind w:left="14"/>
              <w:jc w:val="center"/>
            </w:pPr>
            <w:r w:rsidRPr="00634E4C">
              <w:rPr>
                <w:rFonts w:asciiTheme="majorHAnsi" w:hAnsiTheme="majorHAnsi"/>
                <w:b/>
                <w:color w:val="000000"/>
                <w:sz w:val="18"/>
              </w:rPr>
              <w:t>0</w:t>
            </w:r>
          </w:p>
        </w:tc>
        <w:tc>
          <w:tcPr>
            <w:tcW w:w="666" w:type="dxa"/>
            <w:tcBorders>
              <w:top w:val="single" w:sz="2" w:space="0" w:color="000000"/>
              <w:left w:val="single" w:sz="2" w:space="0" w:color="000000"/>
              <w:bottom w:val="single" w:sz="2" w:space="0" w:color="000000"/>
              <w:right w:val="single" w:sz="2" w:space="0" w:color="000000"/>
            </w:tcBorders>
            <w:vAlign w:val="center"/>
          </w:tcPr>
          <w:p w14:paraId="6B7CC579"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664" w:type="dxa"/>
            <w:tcBorders>
              <w:top w:val="single" w:sz="2" w:space="0" w:color="000000"/>
              <w:left w:val="single" w:sz="2" w:space="0" w:color="000000"/>
              <w:bottom w:val="single" w:sz="2" w:space="0" w:color="000000"/>
              <w:right w:val="single" w:sz="2" w:space="0" w:color="000000"/>
            </w:tcBorders>
            <w:vAlign w:val="center"/>
          </w:tcPr>
          <w:p w14:paraId="2CB09531" w14:textId="77777777" w:rsidR="009433BD" w:rsidRPr="00364545" w:rsidRDefault="009433BD" w:rsidP="009433BD">
            <w:pPr>
              <w:spacing w:line="259" w:lineRule="auto"/>
              <w:ind w:left="14"/>
              <w:jc w:val="center"/>
            </w:pPr>
            <w:r w:rsidRPr="00634E4C">
              <w:rPr>
                <w:rFonts w:asciiTheme="majorHAnsi" w:hAnsiTheme="majorHAnsi"/>
                <w:b/>
                <w:color w:val="000000"/>
                <w:sz w:val="18"/>
              </w:rPr>
              <w:t>0</w:t>
            </w:r>
          </w:p>
        </w:tc>
        <w:tc>
          <w:tcPr>
            <w:tcW w:w="620" w:type="dxa"/>
            <w:tcBorders>
              <w:top w:val="single" w:sz="2" w:space="0" w:color="000000"/>
              <w:left w:val="single" w:sz="2" w:space="0" w:color="000000"/>
              <w:bottom w:val="single" w:sz="2" w:space="0" w:color="000000"/>
              <w:right w:val="single" w:sz="2" w:space="0" w:color="000000"/>
            </w:tcBorders>
            <w:vAlign w:val="center"/>
          </w:tcPr>
          <w:p w14:paraId="0D583160" w14:textId="77777777" w:rsidR="009433BD" w:rsidRPr="00364545" w:rsidRDefault="009433BD" w:rsidP="009433BD">
            <w:pPr>
              <w:spacing w:line="259" w:lineRule="auto"/>
              <w:ind w:left="16"/>
              <w:jc w:val="cente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0B6AE8AD" w14:textId="4A81F848" w:rsidR="009433BD" w:rsidRPr="00364545" w:rsidRDefault="009433BD" w:rsidP="009433BD">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1F6CDC30" w14:textId="73BF990B" w:rsidR="009433BD" w:rsidRPr="00364545" w:rsidRDefault="009433BD" w:rsidP="009433BD">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2E47DEC7" w14:textId="17946F1B" w:rsidR="009433BD" w:rsidRPr="00364545" w:rsidRDefault="009433BD" w:rsidP="009433BD">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163A3AC2" w14:textId="58F0D613" w:rsidR="009433BD" w:rsidRPr="00364545" w:rsidRDefault="009433BD" w:rsidP="009433BD">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vAlign w:val="center"/>
          </w:tcPr>
          <w:p w14:paraId="52ECDC5F" w14:textId="14EE31B4" w:rsidR="009433BD" w:rsidRPr="00364545" w:rsidRDefault="009433BD" w:rsidP="009433BD">
            <w:pPr>
              <w:spacing w:line="259" w:lineRule="auto"/>
              <w:ind w:left="15"/>
              <w:jc w:val="center"/>
            </w:pPr>
            <w:r w:rsidRPr="00364545">
              <w:t>0</w:t>
            </w:r>
          </w:p>
        </w:tc>
      </w:tr>
      <w:tr w:rsidR="009433BD" w:rsidRPr="00364545" w14:paraId="029CF4FF" w14:textId="77777777" w:rsidTr="00361368">
        <w:trPr>
          <w:trHeight w:val="343"/>
        </w:trPr>
        <w:tc>
          <w:tcPr>
            <w:tcW w:w="1602" w:type="dxa"/>
            <w:tcBorders>
              <w:top w:val="single" w:sz="2" w:space="0" w:color="000000"/>
              <w:left w:val="single" w:sz="2" w:space="0" w:color="000000"/>
              <w:bottom w:val="single" w:sz="2" w:space="0" w:color="000000"/>
              <w:right w:val="single" w:sz="2" w:space="0" w:color="000000"/>
            </w:tcBorders>
            <w:shd w:val="clear" w:color="auto" w:fill="ECE6E2"/>
          </w:tcPr>
          <w:p w14:paraId="1A7FA701" w14:textId="77777777" w:rsidR="009433BD" w:rsidRPr="00364545" w:rsidRDefault="009433BD" w:rsidP="009433BD">
            <w:pPr>
              <w:spacing w:line="259" w:lineRule="auto"/>
            </w:pPr>
            <w:r>
              <w:rPr>
                <w:b/>
                <w:sz w:val="18"/>
              </w:rPr>
              <w:t xml:space="preserve">Ensemble (hors UTCF) </w:t>
            </w:r>
          </w:p>
        </w:tc>
        <w:tc>
          <w:tcPr>
            <w:tcW w:w="7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368F55" w14:textId="77777777" w:rsidR="009433BD" w:rsidRPr="00364545" w:rsidRDefault="009433BD" w:rsidP="009433BD">
            <w:pPr>
              <w:spacing w:line="259" w:lineRule="auto"/>
              <w:ind w:left="14"/>
              <w:jc w:val="center"/>
              <w:rPr>
                <w:b/>
              </w:rPr>
            </w:pPr>
            <w:r w:rsidRPr="005D0955">
              <w:rPr>
                <w:rFonts w:asciiTheme="majorHAnsi" w:hAnsiTheme="majorHAnsi"/>
                <w:sz w:val="18"/>
                <w:szCs w:val="18"/>
              </w:rPr>
              <w:t>2155</w:t>
            </w:r>
          </w:p>
        </w:tc>
        <w:tc>
          <w:tcPr>
            <w:tcW w:w="79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256BAB" w14:textId="77777777" w:rsidR="009433BD" w:rsidRPr="00364545" w:rsidRDefault="009433BD" w:rsidP="009433BD">
            <w:pPr>
              <w:spacing w:line="259" w:lineRule="auto"/>
              <w:ind w:left="14"/>
              <w:jc w:val="center"/>
              <w:rPr>
                <w:b/>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A07D5F" w14:textId="77777777" w:rsidR="009433BD" w:rsidRPr="00364545" w:rsidRDefault="009433BD" w:rsidP="009433BD">
            <w:pPr>
              <w:spacing w:line="259" w:lineRule="auto"/>
              <w:ind w:left="14"/>
              <w:jc w:val="center"/>
              <w:rPr>
                <w:b/>
              </w:rPr>
            </w:pPr>
            <w:r w:rsidRPr="005D0955">
              <w:rPr>
                <w:rFonts w:asciiTheme="majorHAnsi" w:hAnsiTheme="majorHAnsi"/>
                <w:sz w:val="18"/>
                <w:szCs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F6A843" w14:textId="77777777" w:rsidR="009433BD" w:rsidRPr="00364545" w:rsidRDefault="009433BD" w:rsidP="009433BD">
            <w:pPr>
              <w:spacing w:line="259" w:lineRule="auto"/>
              <w:ind w:left="14"/>
              <w:jc w:val="center"/>
              <w:rPr>
                <w:b/>
              </w:rPr>
            </w:pPr>
            <w:r w:rsidRPr="005D0955">
              <w:rPr>
                <w:rFonts w:asciiTheme="majorHAnsi" w:hAnsiTheme="majorHAnsi"/>
                <w:sz w:val="18"/>
                <w:szCs w:val="18"/>
              </w:rPr>
              <w:t>1355</w:t>
            </w:r>
          </w:p>
        </w:tc>
        <w:tc>
          <w:tcPr>
            <w:tcW w:w="6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A1EAD5" w14:textId="77777777" w:rsidR="009433BD" w:rsidRPr="00364545" w:rsidRDefault="009433BD" w:rsidP="009433BD">
            <w:pPr>
              <w:spacing w:line="259" w:lineRule="auto"/>
              <w:ind w:left="14"/>
              <w:jc w:val="center"/>
              <w:rPr>
                <w:b/>
              </w:rPr>
            </w:pPr>
            <w:r w:rsidRPr="005D0955">
              <w:rPr>
                <w:rFonts w:asciiTheme="majorHAnsi" w:hAnsiTheme="majorHAnsi"/>
                <w:sz w:val="18"/>
                <w:szCs w:val="18"/>
              </w:rPr>
              <w:t>875</w:t>
            </w:r>
          </w:p>
        </w:tc>
        <w:tc>
          <w:tcPr>
            <w:tcW w:w="6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BAB4B7" w14:textId="77777777" w:rsidR="009433BD" w:rsidRPr="00364545" w:rsidRDefault="009433BD" w:rsidP="009433BD">
            <w:pPr>
              <w:spacing w:line="259" w:lineRule="auto"/>
              <w:ind w:left="14"/>
              <w:jc w:val="center"/>
              <w:rPr>
                <w:b/>
              </w:rPr>
            </w:pPr>
            <w:r w:rsidRPr="005D0955">
              <w:rPr>
                <w:rFonts w:asciiTheme="majorHAnsi" w:hAnsiTheme="majorHAnsi"/>
                <w:sz w:val="18"/>
                <w:szCs w:val="18"/>
              </w:rPr>
              <w:t>498</w:t>
            </w:r>
          </w:p>
        </w:tc>
        <w:tc>
          <w:tcPr>
            <w:tcW w:w="62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B380F6" w14:textId="77777777" w:rsidR="009433BD" w:rsidRPr="00364545" w:rsidRDefault="009433BD" w:rsidP="009433BD">
            <w:pPr>
              <w:spacing w:line="259" w:lineRule="auto"/>
              <w:ind w:left="14"/>
              <w:jc w:val="center"/>
              <w:rPr>
                <w:b/>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6724D9" w14:textId="33F22F97" w:rsidR="009433BD" w:rsidRPr="00364545" w:rsidRDefault="009433BD" w:rsidP="009433BD">
            <w:pPr>
              <w:spacing w:line="259" w:lineRule="auto"/>
              <w:ind w:left="14"/>
              <w:jc w:val="center"/>
              <w:rPr>
                <w:b/>
              </w:rPr>
            </w:pPr>
            <w:r>
              <w:rPr>
                <w:b/>
              </w:rPr>
              <w:t>458</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FD7D9C" w14:textId="5F51B63E" w:rsidR="009433BD" w:rsidRPr="00364545" w:rsidRDefault="009433BD" w:rsidP="009433BD">
            <w:pPr>
              <w:spacing w:line="259" w:lineRule="auto"/>
              <w:ind w:left="14"/>
              <w:jc w:val="center"/>
              <w:rPr>
                <w:b/>
              </w:rPr>
            </w:pPr>
            <w:r w:rsidRPr="00364545">
              <w:rPr>
                <w:b/>
              </w:rPr>
              <w:t>460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2C8AF47" w14:textId="33D50F7D" w:rsidR="009433BD" w:rsidRPr="00364545" w:rsidRDefault="009433BD" w:rsidP="009433BD">
            <w:pPr>
              <w:spacing w:line="259" w:lineRule="auto"/>
              <w:ind w:left="14"/>
              <w:jc w:val="center"/>
              <w:rPr>
                <w:b/>
              </w:rPr>
            </w:pPr>
            <w:r w:rsidRPr="00364545">
              <w:rPr>
                <w:b/>
              </w:rPr>
              <w:t>460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F8F5F5" w14:textId="51F5B45B" w:rsidR="009433BD" w:rsidRPr="00364545" w:rsidRDefault="009433BD" w:rsidP="009433BD">
            <w:pPr>
              <w:spacing w:line="259" w:lineRule="auto"/>
              <w:ind w:left="14"/>
              <w:jc w:val="center"/>
              <w:rPr>
                <w:b/>
              </w:rPr>
            </w:pPr>
            <w:r>
              <w:rPr>
                <w:b/>
              </w:rPr>
              <w:t>460</w:t>
            </w:r>
          </w:p>
        </w:tc>
        <w:tc>
          <w:tcPr>
            <w:tcW w:w="63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009691" w14:textId="563EFBF7" w:rsidR="009433BD" w:rsidRPr="00364545" w:rsidRDefault="009433BD" w:rsidP="009433BD">
            <w:pPr>
              <w:spacing w:line="259" w:lineRule="auto"/>
              <w:ind w:left="14"/>
              <w:jc w:val="center"/>
              <w:rPr>
                <w:b/>
              </w:rPr>
            </w:pPr>
            <w:r>
              <w:rPr>
                <w:b/>
              </w:rPr>
              <w:t>463</w:t>
            </w:r>
          </w:p>
        </w:tc>
      </w:tr>
      <w:tr w:rsidR="009433BD" w:rsidRPr="00364545" w14:paraId="58F4D77D" w14:textId="77777777" w:rsidTr="00361368">
        <w:trPr>
          <w:trHeight w:val="346"/>
        </w:trPr>
        <w:tc>
          <w:tcPr>
            <w:tcW w:w="1602" w:type="dxa"/>
            <w:tcBorders>
              <w:top w:val="single" w:sz="2" w:space="0" w:color="000000"/>
              <w:left w:val="single" w:sz="2" w:space="0" w:color="000000"/>
              <w:bottom w:val="single" w:sz="2" w:space="0" w:color="000000"/>
              <w:right w:val="single" w:sz="2" w:space="0" w:color="000000"/>
            </w:tcBorders>
          </w:tcPr>
          <w:p w14:paraId="5A6F9694" w14:textId="77777777" w:rsidR="009433BD" w:rsidRPr="00364545" w:rsidRDefault="009433BD" w:rsidP="009433BD">
            <w:pPr>
              <w:spacing w:line="259" w:lineRule="auto"/>
            </w:pPr>
            <w:r>
              <w:rPr>
                <w:b/>
                <w:sz w:val="18"/>
              </w:rPr>
              <w:t xml:space="preserve">Ensemble (avec UTCF) </w:t>
            </w:r>
          </w:p>
        </w:tc>
        <w:tc>
          <w:tcPr>
            <w:tcW w:w="727" w:type="dxa"/>
            <w:tcBorders>
              <w:top w:val="single" w:sz="2" w:space="0" w:color="000000"/>
              <w:left w:val="single" w:sz="2" w:space="0" w:color="000000"/>
              <w:bottom w:val="single" w:sz="2" w:space="0" w:color="000000"/>
              <w:right w:val="single" w:sz="2" w:space="0" w:color="000000"/>
            </w:tcBorders>
            <w:vAlign w:val="center"/>
          </w:tcPr>
          <w:p w14:paraId="05F09199" w14:textId="77777777" w:rsidR="009433BD" w:rsidRPr="00364545" w:rsidRDefault="009433BD" w:rsidP="009433BD">
            <w:pPr>
              <w:spacing w:line="259" w:lineRule="auto"/>
              <w:ind w:left="14"/>
              <w:jc w:val="center"/>
              <w:rPr>
                <w:b/>
              </w:rPr>
            </w:pPr>
            <w:r w:rsidRPr="005D0955">
              <w:rPr>
                <w:rFonts w:asciiTheme="majorHAnsi" w:hAnsiTheme="majorHAnsi"/>
                <w:sz w:val="18"/>
                <w:szCs w:val="18"/>
              </w:rPr>
              <w:t>2155</w:t>
            </w:r>
          </w:p>
        </w:tc>
        <w:tc>
          <w:tcPr>
            <w:tcW w:w="793" w:type="dxa"/>
            <w:tcBorders>
              <w:top w:val="single" w:sz="2" w:space="0" w:color="000000"/>
              <w:left w:val="single" w:sz="2" w:space="0" w:color="000000"/>
              <w:bottom w:val="single" w:sz="2" w:space="0" w:color="000000"/>
              <w:right w:val="single" w:sz="2" w:space="0" w:color="000000"/>
            </w:tcBorders>
            <w:vAlign w:val="center"/>
          </w:tcPr>
          <w:p w14:paraId="790E5F4A" w14:textId="77777777" w:rsidR="009433BD" w:rsidRPr="00364545" w:rsidRDefault="009433BD" w:rsidP="009433BD">
            <w:pPr>
              <w:spacing w:line="259" w:lineRule="auto"/>
              <w:ind w:left="14"/>
              <w:jc w:val="center"/>
              <w:rPr>
                <w:b/>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vAlign w:val="center"/>
          </w:tcPr>
          <w:p w14:paraId="376A8961" w14:textId="77777777" w:rsidR="009433BD" w:rsidRPr="00364545" w:rsidRDefault="009433BD" w:rsidP="009433BD">
            <w:pPr>
              <w:spacing w:line="259" w:lineRule="auto"/>
              <w:ind w:left="14"/>
              <w:jc w:val="center"/>
              <w:rPr>
                <w:b/>
              </w:rPr>
            </w:pPr>
            <w:r w:rsidRPr="005D0955">
              <w:rPr>
                <w:rFonts w:asciiTheme="majorHAnsi" w:hAnsiTheme="majorHAnsi"/>
                <w:sz w:val="18"/>
                <w:szCs w:val="18"/>
              </w:rPr>
              <w:t>2180</w:t>
            </w:r>
          </w:p>
        </w:tc>
        <w:tc>
          <w:tcPr>
            <w:tcW w:w="762" w:type="dxa"/>
            <w:tcBorders>
              <w:top w:val="single" w:sz="2" w:space="0" w:color="000000"/>
              <w:left w:val="single" w:sz="2" w:space="0" w:color="000000"/>
              <w:bottom w:val="single" w:sz="2" w:space="0" w:color="000000"/>
              <w:right w:val="single" w:sz="2" w:space="0" w:color="000000"/>
            </w:tcBorders>
            <w:vAlign w:val="center"/>
          </w:tcPr>
          <w:p w14:paraId="0D250C82" w14:textId="77777777" w:rsidR="009433BD" w:rsidRPr="00364545" w:rsidRDefault="009433BD" w:rsidP="009433BD">
            <w:pPr>
              <w:spacing w:line="259" w:lineRule="auto"/>
              <w:ind w:left="14"/>
              <w:jc w:val="center"/>
              <w:rPr>
                <w:b/>
              </w:rPr>
            </w:pPr>
            <w:r w:rsidRPr="005D0955">
              <w:rPr>
                <w:rFonts w:asciiTheme="majorHAnsi" w:hAnsiTheme="majorHAnsi"/>
                <w:sz w:val="18"/>
                <w:szCs w:val="18"/>
              </w:rPr>
              <w:t>1355</w:t>
            </w:r>
          </w:p>
        </w:tc>
        <w:tc>
          <w:tcPr>
            <w:tcW w:w="666" w:type="dxa"/>
            <w:tcBorders>
              <w:top w:val="single" w:sz="2" w:space="0" w:color="000000"/>
              <w:left w:val="single" w:sz="2" w:space="0" w:color="000000"/>
              <w:bottom w:val="single" w:sz="2" w:space="0" w:color="000000"/>
              <w:right w:val="single" w:sz="2" w:space="0" w:color="000000"/>
            </w:tcBorders>
            <w:vAlign w:val="center"/>
          </w:tcPr>
          <w:p w14:paraId="615D8887" w14:textId="77777777" w:rsidR="009433BD" w:rsidRPr="00364545" w:rsidRDefault="009433BD" w:rsidP="009433BD">
            <w:pPr>
              <w:spacing w:line="259" w:lineRule="auto"/>
              <w:ind w:left="14"/>
              <w:jc w:val="center"/>
              <w:rPr>
                <w:b/>
              </w:rPr>
            </w:pPr>
            <w:r w:rsidRPr="005D0955">
              <w:rPr>
                <w:rFonts w:asciiTheme="majorHAnsi" w:hAnsiTheme="majorHAnsi"/>
                <w:sz w:val="18"/>
                <w:szCs w:val="18"/>
              </w:rPr>
              <w:t>875</w:t>
            </w:r>
          </w:p>
        </w:tc>
        <w:tc>
          <w:tcPr>
            <w:tcW w:w="664" w:type="dxa"/>
            <w:tcBorders>
              <w:top w:val="single" w:sz="2" w:space="0" w:color="000000"/>
              <w:left w:val="single" w:sz="2" w:space="0" w:color="000000"/>
              <w:bottom w:val="single" w:sz="2" w:space="0" w:color="000000"/>
              <w:right w:val="single" w:sz="2" w:space="0" w:color="000000"/>
            </w:tcBorders>
            <w:vAlign w:val="center"/>
          </w:tcPr>
          <w:p w14:paraId="5C4B90D0" w14:textId="77777777" w:rsidR="009433BD" w:rsidRPr="00364545" w:rsidRDefault="009433BD" w:rsidP="009433BD">
            <w:pPr>
              <w:spacing w:line="259" w:lineRule="auto"/>
              <w:ind w:left="14"/>
              <w:jc w:val="center"/>
              <w:rPr>
                <w:b/>
              </w:rPr>
            </w:pPr>
            <w:r w:rsidRPr="005D0955">
              <w:rPr>
                <w:rFonts w:asciiTheme="majorHAnsi" w:hAnsiTheme="majorHAnsi"/>
                <w:sz w:val="18"/>
                <w:szCs w:val="18"/>
              </w:rPr>
              <w:t>498</w:t>
            </w:r>
          </w:p>
        </w:tc>
        <w:tc>
          <w:tcPr>
            <w:tcW w:w="620" w:type="dxa"/>
            <w:tcBorders>
              <w:top w:val="single" w:sz="2" w:space="0" w:color="000000"/>
              <w:left w:val="single" w:sz="2" w:space="0" w:color="000000"/>
              <w:bottom w:val="single" w:sz="2" w:space="0" w:color="000000"/>
              <w:right w:val="single" w:sz="2" w:space="0" w:color="000000"/>
            </w:tcBorders>
            <w:vAlign w:val="center"/>
          </w:tcPr>
          <w:p w14:paraId="59FF595F" w14:textId="77777777" w:rsidR="009433BD" w:rsidRPr="00364545" w:rsidRDefault="009433BD" w:rsidP="009433BD">
            <w:pPr>
              <w:spacing w:line="259" w:lineRule="auto"/>
              <w:ind w:left="14"/>
              <w:jc w:val="center"/>
              <w:rPr>
                <w:b/>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vAlign w:val="center"/>
          </w:tcPr>
          <w:p w14:paraId="34147B3D" w14:textId="5EBBEF9D" w:rsidR="009433BD" w:rsidRPr="00364545" w:rsidRDefault="009433BD" w:rsidP="009433BD">
            <w:pPr>
              <w:spacing w:line="259" w:lineRule="auto"/>
              <w:ind w:left="14"/>
              <w:jc w:val="center"/>
              <w:rPr>
                <w:b/>
              </w:rPr>
            </w:pPr>
            <w:r>
              <w:rPr>
                <w:b/>
              </w:rPr>
              <w:t>458</w:t>
            </w:r>
          </w:p>
        </w:tc>
        <w:tc>
          <w:tcPr>
            <w:tcW w:w="673" w:type="dxa"/>
            <w:tcBorders>
              <w:top w:val="single" w:sz="2" w:space="0" w:color="000000"/>
              <w:left w:val="single" w:sz="2" w:space="0" w:color="000000"/>
              <w:bottom w:val="single" w:sz="2" w:space="0" w:color="000000"/>
              <w:right w:val="single" w:sz="2" w:space="0" w:color="000000"/>
            </w:tcBorders>
            <w:vAlign w:val="center"/>
          </w:tcPr>
          <w:p w14:paraId="10C891F4" w14:textId="53E85908" w:rsidR="009433BD" w:rsidRPr="00364545" w:rsidRDefault="009433BD" w:rsidP="009433BD">
            <w:pPr>
              <w:spacing w:line="259" w:lineRule="auto"/>
              <w:ind w:left="14"/>
              <w:jc w:val="center"/>
              <w:rPr>
                <w:b/>
              </w:rPr>
            </w:pPr>
            <w:r w:rsidRPr="00364545">
              <w:rPr>
                <w:b/>
              </w:rPr>
              <w:t>460</w:t>
            </w:r>
          </w:p>
        </w:tc>
        <w:tc>
          <w:tcPr>
            <w:tcW w:w="675" w:type="dxa"/>
            <w:tcBorders>
              <w:top w:val="single" w:sz="2" w:space="0" w:color="000000"/>
              <w:left w:val="single" w:sz="2" w:space="0" w:color="000000"/>
              <w:bottom w:val="single" w:sz="2" w:space="0" w:color="000000"/>
              <w:right w:val="single" w:sz="2" w:space="0" w:color="000000"/>
            </w:tcBorders>
            <w:vAlign w:val="center"/>
          </w:tcPr>
          <w:p w14:paraId="7993F95B" w14:textId="58C6DBB1" w:rsidR="009433BD" w:rsidRPr="00364545" w:rsidRDefault="009433BD" w:rsidP="009433BD">
            <w:pPr>
              <w:spacing w:line="259" w:lineRule="auto"/>
              <w:ind w:left="14"/>
              <w:jc w:val="center"/>
              <w:rPr>
                <w:b/>
              </w:rPr>
            </w:pPr>
            <w:r w:rsidRPr="00364545">
              <w:rPr>
                <w:b/>
              </w:rPr>
              <w:t>460</w:t>
            </w:r>
          </w:p>
        </w:tc>
        <w:tc>
          <w:tcPr>
            <w:tcW w:w="674" w:type="dxa"/>
            <w:tcBorders>
              <w:top w:val="single" w:sz="2" w:space="0" w:color="000000"/>
              <w:left w:val="single" w:sz="2" w:space="0" w:color="000000"/>
              <w:bottom w:val="single" w:sz="2" w:space="0" w:color="000000"/>
              <w:right w:val="single" w:sz="2" w:space="0" w:color="000000"/>
            </w:tcBorders>
            <w:vAlign w:val="center"/>
          </w:tcPr>
          <w:p w14:paraId="3CD20F58" w14:textId="3DA9D920" w:rsidR="009433BD" w:rsidRPr="00364545" w:rsidRDefault="009433BD" w:rsidP="009433BD">
            <w:pPr>
              <w:spacing w:line="259" w:lineRule="auto"/>
              <w:ind w:left="14"/>
              <w:jc w:val="center"/>
              <w:rPr>
                <w:b/>
              </w:rPr>
            </w:pPr>
            <w:r>
              <w:rPr>
                <w:b/>
              </w:rPr>
              <w:t>460</w:t>
            </w:r>
          </w:p>
        </w:tc>
        <w:tc>
          <w:tcPr>
            <w:tcW w:w="638" w:type="dxa"/>
            <w:tcBorders>
              <w:top w:val="single" w:sz="2" w:space="0" w:color="000000"/>
              <w:left w:val="single" w:sz="2" w:space="0" w:color="000000"/>
              <w:bottom w:val="single" w:sz="2" w:space="0" w:color="000000"/>
              <w:right w:val="single" w:sz="2" w:space="0" w:color="000000"/>
            </w:tcBorders>
            <w:vAlign w:val="center"/>
          </w:tcPr>
          <w:p w14:paraId="61A38366" w14:textId="42700E28" w:rsidR="009433BD" w:rsidRPr="00364545" w:rsidRDefault="009433BD" w:rsidP="009433BD">
            <w:pPr>
              <w:spacing w:line="259" w:lineRule="auto"/>
              <w:ind w:left="14"/>
              <w:jc w:val="center"/>
              <w:rPr>
                <w:b/>
              </w:rPr>
            </w:pPr>
            <w:r>
              <w:rPr>
                <w:b/>
              </w:rPr>
              <w:t>463</w:t>
            </w:r>
          </w:p>
        </w:tc>
      </w:tr>
    </w:tbl>
    <w:p w14:paraId="43FBC4C8" w14:textId="77777777" w:rsidR="004D4A28" w:rsidRPr="00361368" w:rsidRDefault="004D4A28" w:rsidP="004D4A28"/>
    <w:p w14:paraId="2CB8F57D" w14:textId="77777777" w:rsidR="004D4A28" w:rsidRDefault="004D4A28" w:rsidP="004D4A28">
      <w:pPr>
        <w:rPr>
          <w:sz w:val="18"/>
          <w:szCs w:val="18"/>
        </w:rPr>
      </w:pPr>
    </w:p>
    <w:p w14:paraId="4EAE852A" w14:textId="77777777" w:rsidR="004D4A28" w:rsidRDefault="004D4A28" w:rsidP="004D4A28">
      <w:pPr>
        <w:pStyle w:val="Caption"/>
      </w:pPr>
      <w:bookmarkStart w:id="172" w:name="_Toc123916523"/>
      <w:r>
        <w:t xml:space="preserve">Tableau </w:t>
      </w:r>
      <w:r w:rsidR="00757301">
        <w:fldChar w:fldCharType="begin"/>
      </w:r>
      <w:r w:rsidR="00757301">
        <w:instrText xml:space="preserve"> SEQ Tableau \* ARABIC </w:instrText>
      </w:r>
      <w:r w:rsidR="00757301">
        <w:fldChar w:fldCharType="separate"/>
      </w:r>
      <w:r>
        <w:rPr>
          <w:noProof/>
        </w:rPr>
        <w:t>31</w:t>
      </w:r>
      <w:r w:rsidR="00757301">
        <w:rPr>
          <w:noProof/>
        </w:rPr>
        <w:fldChar w:fldCharType="end"/>
      </w:r>
      <w:r>
        <w:t xml:space="preserve"> : </w:t>
      </w:r>
      <w:r w:rsidRPr="00160820">
        <w:t xml:space="preserve">Projections d’émissions de </w:t>
      </w:r>
      <w:r>
        <w:t>SF</w:t>
      </w:r>
      <w:r w:rsidRPr="007F09F7">
        <w:rPr>
          <w:vertAlign w:val="subscript"/>
        </w:rPr>
        <w:t>6</w:t>
      </w:r>
      <w:r w:rsidRPr="00160820">
        <w:t xml:space="preserve"> (en </w:t>
      </w:r>
      <w:r w:rsidRPr="00590551">
        <w:t>kt</w:t>
      </w:r>
      <w:r>
        <w:t>CO</w:t>
      </w:r>
      <w:r w:rsidRPr="007F09F7">
        <w:rPr>
          <w:vertAlign w:val="subscript"/>
        </w:rPr>
        <w:t>2</w:t>
      </w:r>
      <w:r w:rsidRPr="00160820">
        <w:rPr>
          <w:vertAlign w:val="subscript"/>
        </w:rPr>
        <w:t>e</w:t>
      </w:r>
      <w:r w:rsidRPr="00160820">
        <w:t xml:space="preserve">) au périmètre Kyoto dans le scénario </w:t>
      </w:r>
      <w:r>
        <w:t>AMS 2018</w:t>
      </w:r>
      <w:r w:rsidRPr="00160820">
        <w:t xml:space="preserve"> (avec mesures </w:t>
      </w:r>
      <w:r>
        <w:t>supplémentaires</w:t>
      </w:r>
      <w:r w:rsidRPr="00160820">
        <w:t>)</w:t>
      </w:r>
      <w:bookmarkEnd w:id="172"/>
    </w:p>
    <w:p w14:paraId="18378469" w14:textId="77777777" w:rsidR="004D4A28" w:rsidRPr="006E15FD" w:rsidRDefault="004D4A28" w:rsidP="004D4A28">
      <w:pPr>
        <w:pStyle w:val="Caption"/>
      </w:pPr>
      <w:r w:rsidRPr="006E15FD">
        <w:t xml:space="preserve">Source : Inventaire CCNUCC, Citepa/MTES, soumission </w:t>
      </w:r>
      <w:r>
        <w:t xml:space="preserve">2022 </w:t>
      </w:r>
      <w:r w:rsidRPr="006E15FD">
        <w:t>et projections d’émissions MTES, 20</w:t>
      </w:r>
      <w:r>
        <w:t>18</w:t>
      </w:r>
    </w:p>
    <w:p w14:paraId="24DF760E" w14:textId="77777777" w:rsidR="004D4A28" w:rsidRPr="00364545" w:rsidRDefault="004D4A28" w:rsidP="004D4A2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554"/>
        <w:gridCol w:w="701"/>
        <w:gridCol w:w="703"/>
        <w:gridCol w:w="707"/>
        <w:gridCol w:w="707"/>
        <w:gridCol w:w="703"/>
        <w:gridCol w:w="702"/>
        <w:gridCol w:w="622"/>
        <w:gridCol w:w="707"/>
        <w:gridCol w:w="707"/>
        <w:gridCol w:w="707"/>
        <w:gridCol w:w="707"/>
        <w:gridCol w:w="707"/>
      </w:tblGrid>
      <w:tr w:rsidR="004D4A28" w:rsidRPr="00364545" w14:paraId="30B50A37" w14:textId="77777777" w:rsidTr="00361368">
        <w:trPr>
          <w:trHeight w:val="401"/>
        </w:trPr>
        <w:tc>
          <w:tcPr>
            <w:tcW w:w="1554" w:type="dxa"/>
            <w:tcBorders>
              <w:top w:val="single" w:sz="2" w:space="0" w:color="000000"/>
              <w:left w:val="single" w:sz="2" w:space="0" w:color="000000"/>
              <w:bottom w:val="single" w:sz="2" w:space="0" w:color="000000"/>
              <w:right w:val="single" w:sz="2" w:space="0" w:color="000000"/>
            </w:tcBorders>
            <w:shd w:val="clear" w:color="auto" w:fill="6D2A78"/>
          </w:tcPr>
          <w:p w14:paraId="2BC0BC9F" w14:textId="77777777" w:rsidR="004D4A28" w:rsidRPr="00364545" w:rsidRDefault="004D4A28" w:rsidP="00361368">
            <w:pPr>
              <w:spacing w:line="259" w:lineRule="auto"/>
            </w:pPr>
            <w:r>
              <w:t>AME</w:t>
            </w:r>
            <w:r w:rsidRPr="00364545">
              <w:t xml:space="preserve"> 18 </w:t>
            </w:r>
            <w:r w:rsidRPr="00C01073">
              <w:rPr>
                <w:szCs w:val="22"/>
              </w:rPr>
              <w:t xml:space="preserve">– </w:t>
            </w:r>
            <w:r w:rsidRPr="00634E4C">
              <w:t>NF3</w:t>
            </w:r>
          </w:p>
        </w:tc>
        <w:tc>
          <w:tcPr>
            <w:tcW w:w="701" w:type="dxa"/>
            <w:tcBorders>
              <w:top w:val="single" w:sz="2" w:space="0" w:color="000000"/>
              <w:left w:val="single" w:sz="2" w:space="0" w:color="000000"/>
              <w:bottom w:val="single" w:sz="2" w:space="0" w:color="000000"/>
              <w:right w:val="single" w:sz="2" w:space="0" w:color="000000"/>
            </w:tcBorders>
            <w:shd w:val="clear" w:color="auto" w:fill="6D2A78"/>
          </w:tcPr>
          <w:p w14:paraId="1C10E8D2" w14:textId="77777777" w:rsidR="004D4A28" w:rsidRPr="00364545" w:rsidRDefault="004D4A28" w:rsidP="00361368">
            <w:pPr>
              <w:spacing w:line="259" w:lineRule="auto"/>
              <w:ind w:left="19"/>
              <w:jc w:val="center"/>
            </w:pPr>
            <w:r w:rsidRPr="00364545">
              <w:rPr>
                <w:b/>
                <w:color w:val="FFFFFF"/>
                <w:sz w:val="18"/>
              </w:rPr>
              <w:t xml:space="preserve">1990 </w:t>
            </w:r>
          </w:p>
        </w:tc>
        <w:tc>
          <w:tcPr>
            <w:tcW w:w="703" w:type="dxa"/>
            <w:tcBorders>
              <w:top w:val="single" w:sz="2" w:space="0" w:color="000000"/>
              <w:left w:val="single" w:sz="2" w:space="0" w:color="000000"/>
              <w:bottom w:val="single" w:sz="2" w:space="0" w:color="000000"/>
              <w:right w:val="single" w:sz="2" w:space="0" w:color="000000"/>
            </w:tcBorders>
            <w:shd w:val="clear" w:color="auto" w:fill="6D2A78"/>
          </w:tcPr>
          <w:p w14:paraId="4FC07796" w14:textId="77777777" w:rsidR="004D4A28" w:rsidRPr="00364545" w:rsidRDefault="004D4A28" w:rsidP="00361368">
            <w:pPr>
              <w:spacing w:line="259" w:lineRule="auto"/>
              <w:ind w:left="21"/>
              <w:jc w:val="center"/>
              <w:rPr>
                <w:b/>
                <w:color w:val="FFFFFF"/>
                <w:sz w:val="18"/>
              </w:rPr>
            </w:pPr>
            <w:r w:rsidRPr="00364545">
              <w:rPr>
                <w:b/>
                <w:color w:val="FFFFFF"/>
                <w:sz w:val="18"/>
              </w:rPr>
              <w:t>1995</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25B89148" w14:textId="77777777" w:rsidR="004D4A28" w:rsidRPr="00364545" w:rsidRDefault="004D4A28" w:rsidP="00361368">
            <w:pPr>
              <w:spacing w:line="259" w:lineRule="auto"/>
              <w:ind w:left="21"/>
              <w:jc w:val="center"/>
            </w:pPr>
            <w:r w:rsidRPr="00364545">
              <w:rPr>
                <w:b/>
                <w:color w:val="FFFFFF"/>
                <w:sz w:val="18"/>
              </w:rPr>
              <w:t xml:space="preserve">2000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34AA3E30" w14:textId="77777777" w:rsidR="004D4A28" w:rsidRPr="00364545" w:rsidRDefault="004D4A28" w:rsidP="00361368">
            <w:pPr>
              <w:spacing w:line="259" w:lineRule="auto"/>
              <w:ind w:left="19"/>
              <w:jc w:val="center"/>
            </w:pPr>
            <w:r w:rsidRPr="00364545">
              <w:rPr>
                <w:b/>
                <w:color w:val="FFFFFF"/>
                <w:sz w:val="18"/>
              </w:rPr>
              <w:t xml:space="preserve">2005 </w:t>
            </w:r>
          </w:p>
        </w:tc>
        <w:tc>
          <w:tcPr>
            <w:tcW w:w="703" w:type="dxa"/>
            <w:tcBorders>
              <w:top w:val="single" w:sz="2" w:space="0" w:color="000000"/>
              <w:left w:val="single" w:sz="2" w:space="0" w:color="000000"/>
              <w:bottom w:val="single" w:sz="2" w:space="0" w:color="000000"/>
              <w:right w:val="single" w:sz="2" w:space="0" w:color="000000"/>
            </w:tcBorders>
            <w:shd w:val="clear" w:color="auto" w:fill="6D2A78"/>
          </w:tcPr>
          <w:p w14:paraId="022098C6" w14:textId="77777777" w:rsidR="004D4A28" w:rsidRPr="00364545" w:rsidRDefault="004D4A28" w:rsidP="00361368">
            <w:pPr>
              <w:spacing w:line="259" w:lineRule="auto"/>
              <w:ind w:left="21"/>
              <w:jc w:val="center"/>
            </w:pPr>
            <w:r w:rsidRPr="00364545">
              <w:rPr>
                <w:b/>
                <w:color w:val="FFFFFF"/>
                <w:sz w:val="18"/>
              </w:rPr>
              <w:t xml:space="preserve">2010 </w:t>
            </w:r>
          </w:p>
        </w:tc>
        <w:tc>
          <w:tcPr>
            <w:tcW w:w="702" w:type="dxa"/>
            <w:tcBorders>
              <w:top w:val="single" w:sz="2" w:space="0" w:color="000000"/>
              <w:left w:val="single" w:sz="2" w:space="0" w:color="000000"/>
              <w:bottom w:val="single" w:sz="2" w:space="0" w:color="000000"/>
              <w:right w:val="single" w:sz="2" w:space="0" w:color="000000"/>
            </w:tcBorders>
            <w:shd w:val="clear" w:color="auto" w:fill="6D2A78"/>
          </w:tcPr>
          <w:p w14:paraId="37919588" w14:textId="77777777" w:rsidR="004D4A28" w:rsidRPr="00364545" w:rsidRDefault="004D4A28" w:rsidP="00361368">
            <w:pPr>
              <w:spacing w:line="259" w:lineRule="auto"/>
              <w:ind w:left="19"/>
              <w:jc w:val="center"/>
            </w:pPr>
            <w:r w:rsidRPr="00364545">
              <w:rPr>
                <w:b/>
                <w:color w:val="FFFFFF"/>
                <w:sz w:val="18"/>
              </w:rPr>
              <w:t xml:space="preserve">2015 </w:t>
            </w:r>
          </w:p>
        </w:tc>
        <w:tc>
          <w:tcPr>
            <w:tcW w:w="622" w:type="dxa"/>
            <w:tcBorders>
              <w:top w:val="single" w:sz="2" w:space="0" w:color="000000"/>
              <w:left w:val="single" w:sz="2" w:space="0" w:color="000000"/>
              <w:bottom w:val="single" w:sz="2" w:space="0" w:color="000000"/>
              <w:right w:val="single" w:sz="2" w:space="0" w:color="000000"/>
            </w:tcBorders>
            <w:shd w:val="clear" w:color="auto" w:fill="6D2A78"/>
          </w:tcPr>
          <w:p w14:paraId="672265B0" w14:textId="77777777" w:rsidR="004D4A28" w:rsidRPr="00364545" w:rsidRDefault="004D4A28" w:rsidP="00361368">
            <w:pPr>
              <w:spacing w:line="259" w:lineRule="auto"/>
              <w:ind w:left="21"/>
              <w:jc w:val="center"/>
              <w:rPr>
                <w:b/>
                <w:color w:val="FFFFFF"/>
                <w:sz w:val="18"/>
              </w:rPr>
            </w:pPr>
            <w:r>
              <w:rPr>
                <w:b/>
                <w:color w:val="FFFFFF"/>
                <w:sz w:val="18"/>
              </w:rPr>
              <w:t>2019</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2DA3F545" w14:textId="77777777" w:rsidR="004D4A28" w:rsidRPr="00364545" w:rsidRDefault="004D4A28" w:rsidP="00361368">
            <w:pPr>
              <w:spacing w:line="259" w:lineRule="auto"/>
              <w:ind w:left="21"/>
              <w:jc w:val="center"/>
            </w:pPr>
            <w:r w:rsidRPr="00364545">
              <w:rPr>
                <w:b/>
                <w:color w:val="FFFFFF"/>
                <w:sz w:val="18"/>
              </w:rPr>
              <w:t xml:space="preserve">2020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060513DD" w14:textId="77777777" w:rsidR="004D4A28" w:rsidRPr="00364545" w:rsidRDefault="004D4A28" w:rsidP="00361368">
            <w:pPr>
              <w:spacing w:line="259" w:lineRule="auto"/>
              <w:ind w:left="19"/>
              <w:jc w:val="center"/>
            </w:pPr>
            <w:r w:rsidRPr="00364545">
              <w:rPr>
                <w:b/>
                <w:color w:val="FFFFFF"/>
                <w:sz w:val="18"/>
              </w:rPr>
              <w:t xml:space="preserve">2025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0BD7B6D1" w14:textId="77777777" w:rsidR="004D4A28" w:rsidRPr="00364545" w:rsidRDefault="004D4A28" w:rsidP="00361368">
            <w:pPr>
              <w:spacing w:line="259" w:lineRule="auto"/>
              <w:ind w:left="21"/>
              <w:jc w:val="center"/>
            </w:pPr>
            <w:r w:rsidRPr="00364545">
              <w:rPr>
                <w:b/>
                <w:color w:val="FFFFFF"/>
                <w:sz w:val="18"/>
              </w:rPr>
              <w:t xml:space="preserve">2030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6D8D25DF" w14:textId="77777777" w:rsidR="004D4A28" w:rsidRPr="00364545" w:rsidRDefault="004D4A28" w:rsidP="00361368">
            <w:pPr>
              <w:spacing w:line="259" w:lineRule="auto"/>
              <w:ind w:left="20"/>
              <w:jc w:val="center"/>
            </w:pPr>
            <w:r w:rsidRPr="00364545">
              <w:rPr>
                <w:b/>
                <w:color w:val="FFFFFF"/>
                <w:sz w:val="18"/>
              </w:rPr>
              <w:t xml:space="preserve">2035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5AF2D3D2" w14:textId="77777777" w:rsidR="004D4A28" w:rsidRPr="00364545" w:rsidRDefault="004D4A28" w:rsidP="00361368">
            <w:pPr>
              <w:spacing w:line="259" w:lineRule="auto"/>
              <w:ind w:left="20"/>
              <w:jc w:val="center"/>
              <w:rPr>
                <w:b/>
                <w:color w:val="FFFFFF"/>
                <w:sz w:val="18"/>
              </w:rPr>
            </w:pPr>
            <w:r w:rsidRPr="00364545">
              <w:rPr>
                <w:b/>
                <w:color w:val="FFFFFF"/>
                <w:sz w:val="18"/>
              </w:rPr>
              <w:t>2050</w:t>
            </w:r>
          </w:p>
        </w:tc>
      </w:tr>
      <w:tr w:rsidR="004D4A28" w:rsidRPr="00364545" w14:paraId="3C4E9732" w14:textId="77777777" w:rsidTr="00361368">
        <w:trPr>
          <w:trHeight w:val="347"/>
        </w:trPr>
        <w:tc>
          <w:tcPr>
            <w:tcW w:w="1554" w:type="dxa"/>
            <w:tcBorders>
              <w:top w:val="single" w:sz="2" w:space="0" w:color="000000"/>
              <w:left w:val="single" w:sz="2" w:space="0" w:color="000000"/>
              <w:bottom w:val="single" w:sz="2" w:space="0" w:color="000000"/>
              <w:right w:val="single" w:sz="2" w:space="0" w:color="000000"/>
            </w:tcBorders>
          </w:tcPr>
          <w:p w14:paraId="2C559B2D" w14:textId="77777777" w:rsidR="004D4A28" w:rsidRPr="00364545" w:rsidRDefault="004D4A28" w:rsidP="00361368">
            <w:pPr>
              <w:spacing w:line="259" w:lineRule="auto"/>
            </w:pPr>
            <w:r>
              <w:rPr>
                <w:sz w:val="18"/>
              </w:rPr>
              <w:t xml:space="preserve">Energie </w:t>
            </w:r>
          </w:p>
        </w:tc>
        <w:tc>
          <w:tcPr>
            <w:tcW w:w="701" w:type="dxa"/>
            <w:tcBorders>
              <w:top w:val="single" w:sz="2" w:space="0" w:color="000000"/>
              <w:left w:val="single" w:sz="2" w:space="0" w:color="000000"/>
              <w:bottom w:val="single" w:sz="2" w:space="0" w:color="000000"/>
              <w:right w:val="single" w:sz="2" w:space="0" w:color="000000"/>
            </w:tcBorders>
            <w:vAlign w:val="center"/>
          </w:tcPr>
          <w:p w14:paraId="6B2ED3DA"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7E824F79"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682FC9C5"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0C5C6B4D"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508D2F8E"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2" w:type="dxa"/>
            <w:tcBorders>
              <w:top w:val="single" w:sz="2" w:space="0" w:color="000000"/>
              <w:left w:val="single" w:sz="2" w:space="0" w:color="000000"/>
              <w:bottom w:val="single" w:sz="2" w:space="0" w:color="000000"/>
              <w:right w:val="single" w:sz="2" w:space="0" w:color="000000"/>
            </w:tcBorders>
            <w:vAlign w:val="center"/>
          </w:tcPr>
          <w:p w14:paraId="53663878"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1391444A"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46F5858D"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541154AD"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7EA649D"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622A6DD"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6A683F3A" w14:textId="77777777" w:rsidR="004D4A28" w:rsidRPr="00364545" w:rsidRDefault="004D4A28" w:rsidP="00361368">
            <w:pPr>
              <w:spacing w:line="259" w:lineRule="auto"/>
              <w:ind w:left="19"/>
              <w:jc w:val="center"/>
            </w:pPr>
            <w:r w:rsidRPr="00364545">
              <w:t>0</w:t>
            </w:r>
          </w:p>
        </w:tc>
      </w:tr>
      <w:tr w:rsidR="004D4A28" w:rsidRPr="00364545" w14:paraId="0DBCE1DD" w14:textId="77777777" w:rsidTr="00361368">
        <w:trPr>
          <w:trHeight w:val="416"/>
        </w:trPr>
        <w:tc>
          <w:tcPr>
            <w:tcW w:w="1554" w:type="dxa"/>
            <w:tcBorders>
              <w:top w:val="single" w:sz="2" w:space="0" w:color="000000"/>
              <w:left w:val="single" w:sz="2" w:space="0" w:color="000000"/>
              <w:bottom w:val="single" w:sz="2" w:space="0" w:color="000000"/>
              <w:right w:val="single" w:sz="2" w:space="0" w:color="000000"/>
            </w:tcBorders>
            <w:shd w:val="clear" w:color="auto" w:fill="ECE6E2"/>
          </w:tcPr>
          <w:p w14:paraId="2E0B2E0F" w14:textId="77777777" w:rsidR="004D4A28" w:rsidRPr="00364545" w:rsidRDefault="004D4A28" w:rsidP="00361368">
            <w:pPr>
              <w:spacing w:line="259" w:lineRule="auto"/>
            </w:pPr>
            <w:r>
              <w:rPr>
                <w:sz w:val="18"/>
              </w:rPr>
              <w:t xml:space="preserve">Procédés industriels, solvants et autres produits </w:t>
            </w:r>
          </w:p>
        </w:tc>
        <w:tc>
          <w:tcPr>
            <w:tcW w:w="70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F2C791" w14:textId="77777777" w:rsidR="004D4A28" w:rsidRPr="00364545" w:rsidRDefault="004D4A28" w:rsidP="00361368">
            <w:pPr>
              <w:spacing w:line="259" w:lineRule="auto"/>
              <w:ind w:left="19"/>
              <w:jc w:val="center"/>
            </w:pPr>
            <w:r w:rsidRPr="00634E4C">
              <w:rPr>
                <w:rFonts w:asciiTheme="majorHAnsi" w:hAnsiTheme="majorHAnsi"/>
                <w:sz w:val="18"/>
              </w:rPr>
              <w:t>16</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5DF08E0" w14:textId="77777777" w:rsidR="004D4A28" w:rsidRPr="00364545" w:rsidRDefault="004D4A28" w:rsidP="00361368">
            <w:pPr>
              <w:spacing w:line="259" w:lineRule="auto"/>
              <w:ind w:left="19"/>
              <w:jc w:val="center"/>
            </w:pPr>
            <w:r w:rsidRPr="00634E4C">
              <w:rPr>
                <w:rFonts w:asciiTheme="majorHAnsi" w:hAnsiTheme="majorHAnsi"/>
                <w:sz w:val="18"/>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645550" w14:textId="77777777" w:rsidR="004D4A28" w:rsidRPr="00364545" w:rsidRDefault="004D4A28" w:rsidP="00361368">
            <w:pPr>
              <w:spacing w:line="259" w:lineRule="auto"/>
              <w:ind w:left="19"/>
              <w:jc w:val="center"/>
            </w:pPr>
            <w:r w:rsidRPr="00634E4C">
              <w:rPr>
                <w:rFonts w:asciiTheme="majorHAnsi" w:hAnsiTheme="majorHAnsi"/>
                <w:sz w:val="18"/>
              </w:rPr>
              <w:t>20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29B307" w14:textId="77777777" w:rsidR="004D4A28" w:rsidRPr="00364545" w:rsidRDefault="004D4A28" w:rsidP="00361368">
            <w:pPr>
              <w:spacing w:line="259" w:lineRule="auto"/>
              <w:ind w:left="19"/>
              <w:jc w:val="center"/>
            </w:pPr>
            <w:r w:rsidRPr="00634E4C">
              <w:rPr>
                <w:rFonts w:asciiTheme="majorHAnsi" w:hAnsiTheme="majorHAnsi"/>
                <w:sz w:val="18"/>
              </w:rPr>
              <w:t>31</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C612FE" w14:textId="77777777" w:rsidR="004D4A28" w:rsidRPr="00364545" w:rsidRDefault="004D4A28" w:rsidP="00361368">
            <w:pPr>
              <w:spacing w:line="259" w:lineRule="auto"/>
              <w:ind w:left="19"/>
              <w:jc w:val="center"/>
            </w:pPr>
            <w:r w:rsidRPr="00634E4C">
              <w:rPr>
                <w:rFonts w:asciiTheme="majorHAnsi" w:hAnsiTheme="majorHAnsi"/>
                <w:sz w:val="18"/>
              </w:rPr>
              <w:t>32</w:t>
            </w:r>
          </w:p>
        </w:tc>
        <w:tc>
          <w:tcPr>
            <w:tcW w:w="7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D3996D" w14:textId="77777777" w:rsidR="004D4A28" w:rsidRPr="00364545" w:rsidRDefault="004D4A28" w:rsidP="00361368">
            <w:pPr>
              <w:spacing w:line="259" w:lineRule="auto"/>
              <w:ind w:left="19"/>
              <w:jc w:val="center"/>
            </w:pPr>
            <w:r w:rsidRPr="00634E4C">
              <w:rPr>
                <w:rFonts w:asciiTheme="majorHAnsi" w:hAnsiTheme="majorHAnsi"/>
                <w:sz w:val="18"/>
              </w:rPr>
              <w:t>6</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B1CDCD" w14:textId="77777777" w:rsidR="004D4A28" w:rsidRPr="00364545" w:rsidRDefault="004D4A28" w:rsidP="00361368">
            <w:pPr>
              <w:spacing w:line="259" w:lineRule="auto"/>
              <w:ind w:left="19"/>
              <w:jc w:val="center"/>
            </w:pPr>
            <w:r w:rsidRPr="005D0955">
              <w:rPr>
                <w:rFonts w:asciiTheme="majorHAnsi" w:hAnsiTheme="majorHAnsi"/>
                <w:sz w:val="18"/>
                <w:szCs w:val="18"/>
              </w:rPr>
              <w:t>10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311E32" w14:textId="77777777" w:rsidR="004D4A28" w:rsidRPr="00364545" w:rsidRDefault="004D4A28" w:rsidP="003613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602D38" w14:textId="77777777" w:rsidR="004D4A28" w:rsidRPr="00364545" w:rsidRDefault="004D4A28" w:rsidP="003613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B39B02" w14:textId="77777777" w:rsidR="004D4A28" w:rsidRPr="00364545" w:rsidRDefault="004D4A28" w:rsidP="003613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4E5128" w14:textId="77777777" w:rsidR="004D4A28" w:rsidRPr="00364545" w:rsidRDefault="004D4A28" w:rsidP="003613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8C0C33" w14:textId="77777777" w:rsidR="004D4A28" w:rsidRPr="00364545" w:rsidRDefault="004D4A28" w:rsidP="00361368">
            <w:pPr>
              <w:spacing w:line="259" w:lineRule="auto"/>
              <w:ind w:left="19"/>
              <w:jc w:val="center"/>
            </w:pPr>
            <w:r w:rsidRPr="00364545">
              <w:t>6</w:t>
            </w:r>
          </w:p>
        </w:tc>
      </w:tr>
      <w:tr w:rsidR="004D4A28" w:rsidRPr="00364545" w14:paraId="7658AD7D" w14:textId="77777777" w:rsidTr="00361368">
        <w:trPr>
          <w:trHeight w:val="347"/>
        </w:trPr>
        <w:tc>
          <w:tcPr>
            <w:tcW w:w="1554" w:type="dxa"/>
            <w:tcBorders>
              <w:top w:val="single" w:sz="2" w:space="0" w:color="000000"/>
              <w:left w:val="single" w:sz="2" w:space="0" w:color="000000"/>
              <w:bottom w:val="single" w:sz="2" w:space="0" w:color="000000"/>
              <w:right w:val="single" w:sz="2" w:space="0" w:color="000000"/>
            </w:tcBorders>
          </w:tcPr>
          <w:p w14:paraId="2231A3E5" w14:textId="77777777" w:rsidR="004D4A28" w:rsidRPr="00364545" w:rsidRDefault="004D4A28" w:rsidP="00361368">
            <w:pPr>
              <w:spacing w:line="259" w:lineRule="auto"/>
            </w:pPr>
            <w:r>
              <w:rPr>
                <w:sz w:val="18"/>
              </w:rPr>
              <w:t xml:space="preserve">Agriculture (hors énergie) </w:t>
            </w:r>
          </w:p>
        </w:tc>
        <w:tc>
          <w:tcPr>
            <w:tcW w:w="701" w:type="dxa"/>
            <w:tcBorders>
              <w:top w:val="single" w:sz="2" w:space="0" w:color="000000"/>
              <w:left w:val="single" w:sz="2" w:space="0" w:color="000000"/>
              <w:bottom w:val="single" w:sz="2" w:space="0" w:color="000000"/>
              <w:right w:val="single" w:sz="2" w:space="0" w:color="000000"/>
            </w:tcBorders>
            <w:vAlign w:val="center"/>
          </w:tcPr>
          <w:p w14:paraId="65693C0A"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11314026"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976B697"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4A478EF4"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36440726"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2" w:type="dxa"/>
            <w:tcBorders>
              <w:top w:val="single" w:sz="2" w:space="0" w:color="000000"/>
              <w:left w:val="single" w:sz="2" w:space="0" w:color="000000"/>
              <w:bottom w:val="single" w:sz="2" w:space="0" w:color="000000"/>
              <w:right w:val="single" w:sz="2" w:space="0" w:color="000000"/>
            </w:tcBorders>
            <w:vAlign w:val="center"/>
          </w:tcPr>
          <w:p w14:paraId="6AD314D8"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3ED38CB8"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54CA3833"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6CDACFB2"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15ED155"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4D91727C"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5FE1D942" w14:textId="77777777" w:rsidR="004D4A28" w:rsidRPr="00364545" w:rsidRDefault="004D4A28" w:rsidP="00361368">
            <w:pPr>
              <w:spacing w:line="259" w:lineRule="auto"/>
              <w:ind w:left="19"/>
              <w:jc w:val="center"/>
            </w:pPr>
            <w:r w:rsidRPr="00364545">
              <w:t>0</w:t>
            </w:r>
          </w:p>
        </w:tc>
      </w:tr>
      <w:tr w:rsidR="004D4A28" w:rsidRPr="00364545" w14:paraId="21C589C4" w14:textId="77777777" w:rsidTr="00361368">
        <w:trPr>
          <w:trHeight w:val="344"/>
        </w:trPr>
        <w:tc>
          <w:tcPr>
            <w:tcW w:w="1554" w:type="dxa"/>
            <w:tcBorders>
              <w:top w:val="single" w:sz="2" w:space="0" w:color="000000"/>
              <w:left w:val="single" w:sz="2" w:space="0" w:color="000000"/>
              <w:bottom w:val="single" w:sz="2" w:space="0" w:color="000000"/>
              <w:right w:val="single" w:sz="2" w:space="0" w:color="000000"/>
            </w:tcBorders>
            <w:shd w:val="clear" w:color="auto" w:fill="ECE6E2"/>
          </w:tcPr>
          <w:p w14:paraId="43047F8F" w14:textId="77777777" w:rsidR="004D4A28" w:rsidRPr="00364545" w:rsidRDefault="004D4A28" w:rsidP="00361368">
            <w:pPr>
              <w:spacing w:line="259" w:lineRule="auto"/>
            </w:pPr>
            <w:r>
              <w:rPr>
                <w:sz w:val="18"/>
              </w:rPr>
              <w:t xml:space="preserve">UTCF </w:t>
            </w:r>
          </w:p>
        </w:tc>
        <w:tc>
          <w:tcPr>
            <w:tcW w:w="70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9E6133"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03A99C"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8E9578"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090798"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751462"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9BB5FD"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A18234"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0CCFD1"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8D7757"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282C87"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4134C5"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9261FB" w14:textId="77777777" w:rsidR="004D4A28" w:rsidRPr="00364545" w:rsidRDefault="004D4A28" w:rsidP="00361368">
            <w:pPr>
              <w:spacing w:line="259" w:lineRule="auto"/>
              <w:ind w:left="19"/>
              <w:jc w:val="center"/>
            </w:pPr>
            <w:r w:rsidRPr="00364545">
              <w:t>0</w:t>
            </w:r>
          </w:p>
        </w:tc>
      </w:tr>
      <w:tr w:rsidR="004D4A28" w:rsidRPr="00364545" w14:paraId="3F047973" w14:textId="77777777" w:rsidTr="00361368">
        <w:trPr>
          <w:trHeight w:val="346"/>
        </w:trPr>
        <w:tc>
          <w:tcPr>
            <w:tcW w:w="1554" w:type="dxa"/>
            <w:tcBorders>
              <w:top w:val="single" w:sz="2" w:space="0" w:color="000000"/>
              <w:left w:val="single" w:sz="2" w:space="0" w:color="000000"/>
              <w:bottom w:val="single" w:sz="2" w:space="0" w:color="000000"/>
              <w:right w:val="single" w:sz="2" w:space="0" w:color="000000"/>
            </w:tcBorders>
          </w:tcPr>
          <w:p w14:paraId="3242E4CB" w14:textId="77777777" w:rsidR="004D4A28" w:rsidRPr="00364545" w:rsidRDefault="004D4A28" w:rsidP="00361368">
            <w:pPr>
              <w:spacing w:line="259" w:lineRule="auto"/>
            </w:pPr>
            <w:r>
              <w:rPr>
                <w:sz w:val="18"/>
              </w:rPr>
              <w:t xml:space="preserve">Déchets </w:t>
            </w:r>
          </w:p>
        </w:tc>
        <w:tc>
          <w:tcPr>
            <w:tcW w:w="701" w:type="dxa"/>
            <w:tcBorders>
              <w:top w:val="single" w:sz="2" w:space="0" w:color="000000"/>
              <w:left w:val="single" w:sz="2" w:space="0" w:color="000000"/>
              <w:bottom w:val="single" w:sz="2" w:space="0" w:color="000000"/>
              <w:right w:val="single" w:sz="2" w:space="0" w:color="000000"/>
            </w:tcBorders>
            <w:vAlign w:val="center"/>
          </w:tcPr>
          <w:p w14:paraId="4B500940" w14:textId="77777777" w:rsidR="004D4A28" w:rsidRPr="00364545" w:rsidRDefault="004D4A28" w:rsidP="003613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587FBD5B"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790357C"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2609F54"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3FCD25B8"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2" w:type="dxa"/>
            <w:tcBorders>
              <w:top w:val="single" w:sz="2" w:space="0" w:color="000000"/>
              <w:left w:val="single" w:sz="2" w:space="0" w:color="000000"/>
              <w:bottom w:val="single" w:sz="2" w:space="0" w:color="000000"/>
              <w:right w:val="single" w:sz="2" w:space="0" w:color="000000"/>
            </w:tcBorders>
            <w:vAlign w:val="center"/>
          </w:tcPr>
          <w:p w14:paraId="3C2CD345"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1EB1C63A" w14:textId="77777777" w:rsidR="004D4A28" w:rsidRPr="00364545" w:rsidRDefault="004D4A28" w:rsidP="003613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50E4F7A"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10BBBD6"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A31C348"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521D6005" w14:textId="77777777" w:rsidR="004D4A28" w:rsidRPr="00364545" w:rsidRDefault="004D4A28" w:rsidP="003613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4BF988DE" w14:textId="77777777" w:rsidR="004D4A28" w:rsidRPr="00364545" w:rsidRDefault="004D4A28" w:rsidP="00361368">
            <w:pPr>
              <w:spacing w:line="259" w:lineRule="auto"/>
              <w:ind w:left="19"/>
              <w:jc w:val="center"/>
            </w:pPr>
            <w:r w:rsidRPr="00364545">
              <w:t>0</w:t>
            </w:r>
          </w:p>
        </w:tc>
      </w:tr>
      <w:tr w:rsidR="004D4A28" w:rsidRPr="00364545" w14:paraId="161841E7" w14:textId="77777777" w:rsidTr="00361368">
        <w:trPr>
          <w:trHeight w:val="343"/>
        </w:trPr>
        <w:tc>
          <w:tcPr>
            <w:tcW w:w="1554" w:type="dxa"/>
            <w:tcBorders>
              <w:top w:val="single" w:sz="2" w:space="0" w:color="000000"/>
              <w:left w:val="single" w:sz="2" w:space="0" w:color="000000"/>
              <w:bottom w:val="single" w:sz="2" w:space="0" w:color="000000"/>
              <w:right w:val="single" w:sz="2" w:space="0" w:color="000000"/>
            </w:tcBorders>
            <w:shd w:val="clear" w:color="auto" w:fill="ECE6E2"/>
          </w:tcPr>
          <w:p w14:paraId="29B41196" w14:textId="77777777" w:rsidR="004D4A28" w:rsidRPr="00364545" w:rsidRDefault="004D4A28" w:rsidP="00361368">
            <w:pPr>
              <w:spacing w:line="259" w:lineRule="auto"/>
            </w:pPr>
            <w:r>
              <w:rPr>
                <w:b/>
                <w:sz w:val="18"/>
              </w:rPr>
              <w:t xml:space="preserve">Ensemble (hors UTCF) </w:t>
            </w:r>
          </w:p>
        </w:tc>
        <w:tc>
          <w:tcPr>
            <w:tcW w:w="70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13750A" w14:textId="77777777" w:rsidR="004D4A28" w:rsidRPr="00364545" w:rsidRDefault="004D4A28" w:rsidP="00361368">
            <w:pPr>
              <w:spacing w:line="259" w:lineRule="auto"/>
              <w:ind w:left="19"/>
              <w:jc w:val="center"/>
              <w:rPr>
                <w:b/>
              </w:rPr>
            </w:pPr>
            <w:r w:rsidRPr="00634E4C">
              <w:rPr>
                <w:rFonts w:asciiTheme="majorHAnsi" w:hAnsiTheme="majorHAnsi"/>
                <w:sz w:val="18"/>
              </w:rPr>
              <w:t>16</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7E00C3" w14:textId="77777777" w:rsidR="004D4A28" w:rsidRPr="00364545" w:rsidRDefault="004D4A28" w:rsidP="00361368">
            <w:pPr>
              <w:spacing w:line="259" w:lineRule="auto"/>
              <w:ind w:left="19"/>
              <w:jc w:val="center"/>
              <w:rPr>
                <w:b/>
              </w:rPr>
            </w:pPr>
            <w:r w:rsidRPr="00634E4C">
              <w:rPr>
                <w:rFonts w:asciiTheme="majorHAnsi" w:hAnsiTheme="majorHAnsi"/>
                <w:sz w:val="18"/>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F003B2" w14:textId="77777777" w:rsidR="004D4A28" w:rsidRPr="00364545" w:rsidRDefault="004D4A28" w:rsidP="00361368">
            <w:pPr>
              <w:spacing w:line="259" w:lineRule="auto"/>
              <w:ind w:left="19"/>
              <w:jc w:val="center"/>
              <w:rPr>
                <w:b/>
              </w:rPr>
            </w:pPr>
            <w:r w:rsidRPr="00634E4C">
              <w:rPr>
                <w:rFonts w:asciiTheme="majorHAnsi" w:hAnsiTheme="majorHAnsi"/>
                <w:sz w:val="18"/>
              </w:rPr>
              <w:t>20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CA88BF" w14:textId="77777777" w:rsidR="004D4A28" w:rsidRPr="00364545" w:rsidRDefault="004D4A28" w:rsidP="00361368">
            <w:pPr>
              <w:spacing w:line="259" w:lineRule="auto"/>
              <w:ind w:left="19"/>
              <w:jc w:val="center"/>
              <w:rPr>
                <w:b/>
              </w:rPr>
            </w:pPr>
            <w:r w:rsidRPr="00634E4C">
              <w:rPr>
                <w:rFonts w:asciiTheme="majorHAnsi" w:hAnsiTheme="majorHAnsi"/>
                <w:sz w:val="18"/>
              </w:rPr>
              <w:t>31</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ECF35C" w14:textId="77777777" w:rsidR="004D4A28" w:rsidRPr="00364545" w:rsidRDefault="004D4A28" w:rsidP="00361368">
            <w:pPr>
              <w:spacing w:line="259" w:lineRule="auto"/>
              <w:ind w:left="19"/>
              <w:jc w:val="center"/>
              <w:rPr>
                <w:b/>
              </w:rPr>
            </w:pPr>
            <w:r w:rsidRPr="00634E4C">
              <w:rPr>
                <w:rFonts w:asciiTheme="majorHAnsi" w:hAnsiTheme="majorHAnsi"/>
                <w:sz w:val="18"/>
              </w:rPr>
              <w:t>32</w:t>
            </w:r>
          </w:p>
        </w:tc>
        <w:tc>
          <w:tcPr>
            <w:tcW w:w="7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40E086" w14:textId="77777777" w:rsidR="004D4A28" w:rsidRPr="00364545" w:rsidRDefault="004D4A28" w:rsidP="00361368">
            <w:pPr>
              <w:spacing w:line="259" w:lineRule="auto"/>
              <w:ind w:left="19"/>
              <w:jc w:val="center"/>
              <w:rPr>
                <w:b/>
              </w:rPr>
            </w:pPr>
            <w:r w:rsidRPr="00634E4C">
              <w:rPr>
                <w:rFonts w:asciiTheme="majorHAnsi" w:hAnsiTheme="majorHAnsi"/>
                <w:sz w:val="18"/>
              </w:rPr>
              <w:t>6</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F22ED3" w14:textId="77777777" w:rsidR="004D4A28" w:rsidRPr="00364545" w:rsidRDefault="004D4A28" w:rsidP="00361368">
            <w:pPr>
              <w:spacing w:line="259" w:lineRule="auto"/>
              <w:ind w:left="19"/>
              <w:jc w:val="center"/>
              <w:rPr>
                <w:b/>
              </w:rPr>
            </w:pPr>
            <w:r w:rsidRPr="005D0955">
              <w:rPr>
                <w:rFonts w:asciiTheme="majorHAnsi" w:hAnsiTheme="majorHAnsi"/>
                <w:sz w:val="18"/>
                <w:szCs w:val="18"/>
              </w:rPr>
              <w:t>10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FB2CB2"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EE6C8D"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C7266D"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1A0F32"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C5C4B6" w14:textId="77777777" w:rsidR="004D4A28" w:rsidRPr="00364545" w:rsidRDefault="004D4A28" w:rsidP="00361368">
            <w:pPr>
              <w:spacing w:line="259" w:lineRule="auto"/>
              <w:ind w:left="19"/>
              <w:jc w:val="center"/>
              <w:rPr>
                <w:b/>
              </w:rPr>
            </w:pPr>
            <w:r w:rsidRPr="00364545">
              <w:rPr>
                <w:b/>
              </w:rPr>
              <w:t>6</w:t>
            </w:r>
          </w:p>
        </w:tc>
      </w:tr>
      <w:tr w:rsidR="004D4A28" w:rsidRPr="00364545" w14:paraId="2278837A" w14:textId="77777777" w:rsidTr="00361368">
        <w:trPr>
          <w:trHeight w:val="346"/>
        </w:trPr>
        <w:tc>
          <w:tcPr>
            <w:tcW w:w="1554" w:type="dxa"/>
            <w:tcBorders>
              <w:top w:val="single" w:sz="2" w:space="0" w:color="000000"/>
              <w:left w:val="single" w:sz="2" w:space="0" w:color="000000"/>
              <w:bottom w:val="single" w:sz="2" w:space="0" w:color="000000"/>
              <w:right w:val="single" w:sz="2" w:space="0" w:color="000000"/>
            </w:tcBorders>
          </w:tcPr>
          <w:p w14:paraId="3BA4EED8" w14:textId="77777777" w:rsidR="004D4A28" w:rsidRPr="00364545" w:rsidRDefault="004D4A28" w:rsidP="00361368">
            <w:pPr>
              <w:spacing w:line="259" w:lineRule="auto"/>
            </w:pPr>
            <w:r>
              <w:rPr>
                <w:b/>
                <w:sz w:val="18"/>
              </w:rPr>
              <w:t xml:space="preserve">Ensemble (avec UTCF) </w:t>
            </w:r>
          </w:p>
        </w:tc>
        <w:tc>
          <w:tcPr>
            <w:tcW w:w="701" w:type="dxa"/>
            <w:tcBorders>
              <w:top w:val="single" w:sz="2" w:space="0" w:color="000000"/>
              <w:left w:val="single" w:sz="2" w:space="0" w:color="000000"/>
              <w:bottom w:val="single" w:sz="2" w:space="0" w:color="000000"/>
              <w:right w:val="single" w:sz="2" w:space="0" w:color="000000"/>
            </w:tcBorders>
            <w:vAlign w:val="center"/>
          </w:tcPr>
          <w:p w14:paraId="416BA996" w14:textId="77777777" w:rsidR="004D4A28" w:rsidRPr="00364545" w:rsidRDefault="004D4A28" w:rsidP="00361368">
            <w:pPr>
              <w:spacing w:line="259" w:lineRule="auto"/>
              <w:ind w:left="19"/>
              <w:jc w:val="center"/>
              <w:rPr>
                <w:b/>
              </w:rPr>
            </w:pPr>
            <w:r w:rsidRPr="00634E4C">
              <w:rPr>
                <w:rFonts w:asciiTheme="majorHAnsi" w:hAnsiTheme="majorHAnsi"/>
                <w:sz w:val="18"/>
              </w:rPr>
              <w:t>16</w:t>
            </w:r>
          </w:p>
        </w:tc>
        <w:tc>
          <w:tcPr>
            <w:tcW w:w="703" w:type="dxa"/>
            <w:tcBorders>
              <w:top w:val="single" w:sz="2" w:space="0" w:color="000000"/>
              <w:left w:val="single" w:sz="2" w:space="0" w:color="000000"/>
              <w:bottom w:val="single" w:sz="2" w:space="0" w:color="000000"/>
              <w:right w:val="single" w:sz="2" w:space="0" w:color="000000"/>
            </w:tcBorders>
            <w:vAlign w:val="center"/>
          </w:tcPr>
          <w:p w14:paraId="5A55C684" w14:textId="77777777" w:rsidR="004D4A28" w:rsidRPr="00364545" w:rsidRDefault="004D4A28" w:rsidP="00361368">
            <w:pPr>
              <w:spacing w:line="259" w:lineRule="auto"/>
              <w:ind w:left="19"/>
              <w:jc w:val="center"/>
              <w:rPr>
                <w:b/>
              </w:rPr>
            </w:pPr>
            <w:r w:rsidRPr="00634E4C">
              <w:rPr>
                <w:rFonts w:asciiTheme="majorHAnsi" w:hAnsiTheme="majorHAnsi"/>
                <w:sz w:val="18"/>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27ADACCB" w14:textId="77777777" w:rsidR="004D4A28" w:rsidRPr="00364545" w:rsidRDefault="004D4A28" w:rsidP="00361368">
            <w:pPr>
              <w:spacing w:line="259" w:lineRule="auto"/>
              <w:ind w:left="19"/>
              <w:jc w:val="center"/>
              <w:rPr>
                <w:b/>
              </w:rPr>
            </w:pPr>
            <w:r w:rsidRPr="00634E4C">
              <w:rPr>
                <w:rFonts w:asciiTheme="majorHAnsi" w:hAnsiTheme="majorHAnsi"/>
                <w:sz w:val="18"/>
              </w:rPr>
              <w:t>20</w:t>
            </w:r>
          </w:p>
        </w:tc>
        <w:tc>
          <w:tcPr>
            <w:tcW w:w="707" w:type="dxa"/>
            <w:tcBorders>
              <w:top w:val="single" w:sz="2" w:space="0" w:color="000000"/>
              <w:left w:val="single" w:sz="2" w:space="0" w:color="000000"/>
              <w:bottom w:val="single" w:sz="2" w:space="0" w:color="000000"/>
              <w:right w:val="single" w:sz="2" w:space="0" w:color="000000"/>
            </w:tcBorders>
            <w:vAlign w:val="center"/>
          </w:tcPr>
          <w:p w14:paraId="4CCA9E5E" w14:textId="77777777" w:rsidR="004D4A28" w:rsidRPr="00364545" w:rsidRDefault="004D4A28" w:rsidP="00361368">
            <w:pPr>
              <w:spacing w:line="259" w:lineRule="auto"/>
              <w:ind w:left="19"/>
              <w:jc w:val="center"/>
              <w:rPr>
                <w:b/>
              </w:rPr>
            </w:pPr>
            <w:r w:rsidRPr="00634E4C">
              <w:rPr>
                <w:rFonts w:asciiTheme="majorHAnsi" w:hAnsiTheme="majorHAnsi"/>
                <w:sz w:val="18"/>
              </w:rPr>
              <w:t>31</w:t>
            </w:r>
          </w:p>
        </w:tc>
        <w:tc>
          <w:tcPr>
            <w:tcW w:w="703" w:type="dxa"/>
            <w:tcBorders>
              <w:top w:val="single" w:sz="2" w:space="0" w:color="000000"/>
              <w:left w:val="single" w:sz="2" w:space="0" w:color="000000"/>
              <w:bottom w:val="single" w:sz="2" w:space="0" w:color="000000"/>
              <w:right w:val="single" w:sz="2" w:space="0" w:color="000000"/>
            </w:tcBorders>
            <w:vAlign w:val="center"/>
          </w:tcPr>
          <w:p w14:paraId="142A65F3" w14:textId="77777777" w:rsidR="004D4A28" w:rsidRPr="00364545" w:rsidRDefault="004D4A28" w:rsidP="00361368">
            <w:pPr>
              <w:spacing w:line="259" w:lineRule="auto"/>
              <w:ind w:left="19"/>
              <w:jc w:val="center"/>
              <w:rPr>
                <w:b/>
              </w:rPr>
            </w:pPr>
            <w:r w:rsidRPr="00634E4C">
              <w:rPr>
                <w:rFonts w:asciiTheme="majorHAnsi" w:hAnsiTheme="majorHAnsi"/>
                <w:sz w:val="18"/>
              </w:rPr>
              <w:t>32</w:t>
            </w:r>
          </w:p>
        </w:tc>
        <w:tc>
          <w:tcPr>
            <w:tcW w:w="702" w:type="dxa"/>
            <w:tcBorders>
              <w:top w:val="single" w:sz="2" w:space="0" w:color="000000"/>
              <w:left w:val="single" w:sz="2" w:space="0" w:color="000000"/>
              <w:bottom w:val="single" w:sz="2" w:space="0" w:color="000000"/>
              <w:right w:val="single" w:sz="2" w:space="0" w:color="000000"/>
            </w:tcBorders>
            <w:vAlign w:val="center"/>
          </w:tcPr>
          <w:p w14:paraId="3995E109" w14:textId="77777777" w:rsidR="004D4A28" w:rsidRPr="00364545" w:rsidRDefault="004D4A28" w:rsidP="00361368">
            <w:pPr>
              <w:spacing w:line="259" w:lineRule="auto"/>
              <w:ind w:left="19"/>
              <w:jc w:val="center"/>
              <w:rPr>
                <w:b/>
              </w:rPr>
            </w:pPr>
            <w:r w:rsidRPr="00634E4C">
              <w:rPr>
                <w:rFonts w:asciiTheme="majorHAnsi" w:hAnsiTheme="majorHAnsi"/>
                <w:sz w:val="18"/>
              </w:rPr>
              <w:t>6</w:t>
            </w:r>
          </w:p>
        </w:tc>
        <w:tc>
          <w:tcPr>
            <w:tcW w:w="622" w:type="dxa"/>
            <w:tcBorders>
              <w:top w:val="single" w:sz="2" w:space="0" w:color="000000"/>
              <w:left w:val="single" w:sz="2" w:space="0" w:color="000000"/>
              <w:bottom w:val="single" w:sz="2" w:space="0" w:color="000000"/>
              <w:right w:val="single" w:sz="2" w:space="0" w:color="000000"/>
            </w:tcBorders>
            <w:vAlign w:val="center"/>
          </w:tcPr>
          <w:p w14:paraId="45E6F43B" w14:textId="77777777" w:rsidR="004D4A28" w:rsidRPr="00364545" w:rsidRDefault="004D4A28" w:rsidP="00361368">
            <w:pPr>
              <w:spacing w:line="259" w:lineRule="auto"/>
              <w:ind w:left="19"/>
              <w:jc w:val="center"/>
              <w:rPr>
                <w:b/>
              </w:rPr>
            </w:pPr>
            <w:r w:rsidRPr="005D0955">
              <w:rPr>
                <w:rFonts w:asciiTheme="majorHAnsi" w:hAnsiTheme="majorHAnsi"/>
                <w:sz w:val="18"/>
                <w:szCs w:val="18"/>
              </w:rPr>
              <w:t>10</w:t>
            </w:r>
          </w:p>
        </w:tc>
        <w:tc>
          <w:tcPr>
            <w:tcW w:w="707" w:type="dxa"/>
            <w:tcBorders>
              <w:top w:val="single" w:sz="2" w:space="0" w:color="000000"/>
              <w:left w:val="single" w:sz="2" w:space="0" w:color="000000"/>
              <w:bottom w:val="single" w:sz="2" w:space="0" w:color="000000"/>
              <w:right w:val="single" w:sz="2" w:space="0" w:color="000000"/>
            </w:tcBorders>
            <w:vAlign w:val="center"/>
          </w:tcPr>
          <w:p w14:paraId="48344CBB"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19707ED9"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0BBF074D"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3A87DEDA" w14:textId="77777777" w:rsidR="004D4A28" w:rsidRPr="00364545" w:rsidRDefault="004D4A28" w:rsidP="003613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097D2EC9" w14:textId="77777777" w:rsidR="004D4A28" w:rsidRPr="00364545" w:rsidRDefault="004D4A28" w:rsidP="00361368">
            <w:pPr>
              <w:spacing w:line="259" w:lineRule="auto"/>
              <w:ind w:left="19"/>
              <w:jc w:val="center"/>
              <w:rPr>
                <w:b/>
              </w:rPr>
            </w:pPr>
            <w:r w:rsidRPr="00364545">
              <w:rPr>
                <w:b/>
              </w:rPr>
              <w:t>6</w:t>
            </w:r>
          </w:p>
        </w:tc>
      </w:tr>
    </w:tbl>
    <w:p w14:paraId="0458AA7A" w14:textId="77777777" w:rsidR="004D4A28" w:rsidRDefault="004D4A28" w:rsidP="004D4A28">
      <w:pPr>
        <w:rPr>
          <w:sz w:val="18"/>
          <w:szCs w:val="18"/>
        </w:rPr>
      </w:pPr>
    </w:p>
    <w:p w14:paraId="5890C4EA" w14:textId="77777777" w:rsidR="004D4A28" w:rsidRDefault="004D4A28" w:rsidP="004D4A28">
      <w:pPr>
        <w:pStyle w:val="Caption"/>
      </w:pPr>
      <w:bookmarkStart w:id="173" w:name="_Toc123916524"/>
      <w:r>
        <w:t xml:space="preserve">Tableau </w:t>
      </w:r>
      <w:r w:rsidR="00757301">
        <w:fldChar w:fldCharType="begin"/>
      </w:r>
      <w:r w:rsidR="00757301">
        <w:instrText xml:space="preserve"> SEQ Tableau \* ARABIC </w:instrText>
      </w:r>
      <w:r w:rsidR="00757301">
        <w:fldChar w:fldCharType="separate"/>
      </w:r>
      <w:r>
        <w:rPr>
          <w:noProof/>
        </w:rPr>
        <w:t>32</w:t>
      </w:r>
      <w:r w:rsidR="00757301">
        <w:rPr>
          <w:noProof/>
        </w:rPr>
        <w:fldChar w:fldCharType="end"/>
      </w:r>
      <w:r>
        <w:t xml:space="preserve"> : </w:t>
      </w:r>
      <w:r w:rsidRPr="00160820">
        <w:t xml:space="preserve">Projections d’émissions de </w:t>
      </w:r>
      <w:r>
        <w:t>NF</w:t>
      </w:r>
      <w:r w:rsidRPr="007F09F7">
        <w:rPr>
          <w:vertAlign w:val="subscript"/>
        </w:rPr>
        <w:t>3</w:t>
      </w:r>
      <w:r w:rsidRPr="00160820">
        <w:t xml:space="preserve"> (en </w:t>
      </w:r>
      <w:r w:rsidRPr="00590551">
        <w:t>kt</w:t>
      </w:r>
      <w:r>
        <w:t>CO</w:t>
      </w:r>
      <w:r w:rsidRPr="007F09F7">
        <w:rPr>
          <w:vertAlign w:val="subscript"/>
        </w:rPr>
        <w:t>2</w:t>
      </w:r>
      <w:r w:rsidRPr="005C3C6E">
        <w:rPr>
          <w:vertAlign w:val="subscript"/>
        </w:rPr>
        <w:t>e</w:t>
      </w:r>
      <w:r w:rsidRPr="005C3C6E">
        <w:t xml:space="preserve">) au périmètre Kyoto dans le scénario </w:t>
      </w:r>
      <w:r>
        <w:t xml:space="preserve">AMS 2018 </w:t>
      </w:r>
      <w:r w:rsidRPr="005C3C6E">
        <w:t xml:space="preserve">(avec mesures </w:t>
      </w:r>
      <w:r>
        <w:t>supplémentaires</w:t>
      </w:r>
      <w:r w:rsidRPr="005C3C6E">
        <w:t>)</w:t>
      </w:r>
      <w:bookmarkEnd w:id="173"/>
    </w:p>
    <w:p w14:paraId="44DF207F" w14:textId="77777777" w:rsidR="004D4A28" w:rsidRPr="009947FF" w:rsidRDefault="004D4A28" w:rsidP="004D4A28">
      <w:pPr>
        <w:pStyle w:val="Caption"/>
      </w:pPr>
      <w:r w:rsidRPr="006E15FD">
        <w:t xml:space="preserve">Source : Inventaire CCNUCC, Citepa/MTES, soumission </w:t>
      </w:r>
      <w:r>
        <w:t>2022</w:t>
      </w:r>
      <w:r w:rsidRPr="006E15FD">
        <w:t xml:space="preserve"> et projections d’émissions MTES, 20</w:t>
      </w:r>
      <w:r>
        <w:t>18</w:t>
      </w:r>
    </w:p>
    <w:p w14:paraId="273FAA1B" w14:textId="77777777" w:rsidR="00DD5B9E" w:rsidRPr="0098629B" w:rsidRDefault="00DD5B9E" w:rsidP="00DD5B9E">
      <w:pPr>
        <w:pStyle w:val="Titre2Niveau2"/>
      </w:pPr>
      <w:bookmarkStart w:id="174" w:name="_Toc138344619"/>
      <w:bookmarkEnd w:id="91"/>
      <w:r w:rsidRPr="0098629B">
        <w:t>Atteinte des objectifs de la France</w:t>
      </w:r>
      <w:bookmarkEnd w:id="174"/>
    </w:p>
    <w:p w14:paraId="55BC7457" w14:textId="77777777" w:rsidR="006007BA" w:rsidRPr="0098629B" w:rsidRDefault="006007BA" w:rsidP="0018240E">
      <w:pPr>
        <w:pStyle w:val="Titre4niveau4"/>
      </w:pPr>
      <w:r w:rsidRPr="0098629B">
        <w:t>Atteinte des objectifs 2020 dans le cadre du protocole de Kyoto</w:t>
      </w:r>
    </w:p>
    <w:p w14:paraId="49AD1D2E" w14:textId="77777777" w:rsidR="006C000D" w:rsidRPr="0098629B" w:rsidRDefault="006007BA" w:rsidP="006C000D">
      <w:pPr>
        <w:rPr>
          <w:rFonts w:asciiTheme="minorHAnsi" w:hAnsiTheme="minorHAnsi"/>
          <w:szCs w:val="22"/>
        </w:rPr>
      </w:pPr>
      <w:r w:rsidRPr="0098629B">
        <w:t>En 2010, l’UE s’est engagée à réduire ses émissions de gaz à effet de serre d’ici à 2020 de 20% par rapport à leur niveau de 1990. Cet objectif a été soumis par l’UE-28 dans le cadre de la Convention, et il n’y a pas d’objectifs propres à chaque Etat membre. Dans le cadre du Paquet Energie-Climat, l’UE a établi des règles internes qui sous-tendent la mise en œuvre de cet objectif. Celui-ci est divisé en deux sous-objectifs par rapport à 2005, l’un pour les secteurs de l’ETS pour l’ensemble de l’UE (objectif de -21% en 2020 par rapport aux émissions de 2005) et l’autre pour les secteurs hors-ETS partagé entre chaque Etat membre (objectif de -14% en 2020 par rapport aux émi</w:t>
      </w:r>
      <w:r w:rsidR="006C000D" w:rsidRPr="0098629B">
        <w:t>ssions de 2005 pour la France</w:t>
      </w:r>
      <w:r w:rsidR="006C000D" w:rsidRPr="0098629B">
        <w:rPr>
          <w:rFonts w:asciiTheme="minorHAnsi" w:hAnsiTheme="minorHAnsi"/>
        </w:rPr>
        <w:t xml:space="preserve">). </w:t>
      </w:r>
      <w:r w:rsidRPr="0098629B">
        <w:rPr>
          <w:rFonts w:asciiTheme="minorHAnsi" w:hAnsiTheme="minorHAnsi"/>
          <w:szCs w:val="22"/>
        </w:rPr>
        <w:t xml:space="preserve">L’objectif hors-ETS est par ailleurs un objectif à atteindre sur une période et non à une année donnée. </w:t>
      </w:r>
    </w:p>
    <w:p w14:paraId="38E4EA1B" w14:textId="2CE28C17" w:rsidR="006007BA" w:rsidRPr="0098629B" w:rsidRDefault="006C000D" w:rsidP="006C000D">
      <w:pPr>
        <w:rPr>
          <w:rFonts w:asciiTheme="minorHAnsi" w:hAnsiTheme="minorHAnsi"/>
        </w:rPr>
      </w:pPr>
      <w:r w:rsidRPr="0098629B">
        <w:rPr>
          <w:rFonts w:asciiTheme="minorHAnsi" w:hAnsiTheme="minorHAnsi"/>
        </w:rPr>
        <w:t>L’inventaire 2020 montre que les émissions des secteurs non couverts par l’ETS s’élevaient en 2020 à 307,8</w:t>
      </w:r>
      <w:r w:rsidRPr="0098629B">
        <w:rPr>
          <w:rFonts w:ascii="Calibri" w:hAnsi="Calibri" w:cs="Calibri"/>
        </w:rPr>
        <w:t> </w:t>
      </w:r>
      <w:r w:rsidRPr="0098629B">
        <w:rPr>
          <w:rFonts w:asciiTheme="minorHAnsi" w:hAnsiTheme="minorHAnsi"/>
        </w:rPr>
        <w:t>Mt</w:t>
      </w:r>
      <w:r w:rsidR="00811B0F" w:rsidRPr="0098629B">
        <w:rPr>
          <w:rFonts w:asciiTheme="minorHAnsi" w:hAnsiTheme="minorHAnsi"/>
        </w:rPr>
        <w:t>CO</w:t>
      </w:r>
      <w:r w:rsidR="00811B0F" w:rsidRPr="0098629B">
        <w:rPr>
          <w:rFonts w:asciiTheme="minorHAnsi" w:hAnsiTheme="minorHAnsi"/>
          <w:vertAlign w:val="subscript"/>
        </w:rPr>
        <w:t>2</w:t>
      </w:r>
      <w:r w:rsidR="00891B49" w:rsidRPr="0098629B">
        <w:rPr>
          <w:rFonts w:asciiTheme="minorHAnsi" w:hAnsiTheme="minorHAnsi"/>
          <w:vertAlign w:val="subscript"/>
        </w:rPr>
        <w:t>e</w:t>
      </w:r>
      <w:r w:rsidRPr="0098629B">
        <w:rPr>
          <w:rFonts w:asciiTheme="minorHAnsi" w:hAnsiTheme="minorHAnsi"/>
        </w:rPr>
        <w:t xml:space="preserve"> alors que le plafond d’émissions était de 355,2</w:t>
      </w:r>
      <w:r w:rsidRPr="0098629B">
        <w:rPr>
          <w:rFonts w:ascii="Calibri" w:hAnsi="Calibri" w:cs="Calibri"/>
        </w:rPr>
        <w:t> </w:t>
      </w:r>
      <w:r w:rsidRPr="0098629B">
        <w:rPr>
          <w:rFonts w:asciiTheme="minorHAnsi" w:hAnsiTheme="minorHAnsi"/>
        </w:rPr>
        <w:t>Mt</w:t>
      </w:r>
      <w:r w:rsidR="00811B0F" w:rsidRPr="0098629B">
        <w:rPr>
          <w:rFonts w:asciiTheme="minorHAnsi" w:hAnsiTheme="minorHAnsi"/>
        </w:rPr>
        <w:t>CO</w:t>
      </w:r>
      <w:r w:rsidR="00811B0F" w:rsidRPr="0098629B">
        <w:rPr>
          <w:rFonts w:asciiTheme="minorHAnsi" w:hAnsiTheme="minorHAnsi"/>
          <w:vertAlign w:val="subscript"/>
        </w:rPr>
        <w:t>2</w:t>
      </w:r>
      <w:r w:rsidR="00891B49" w:rsidRPr="0098629B">
        <w:rPr>
          <w:rFonts w:asciiTheme="minorHAnsi" w:hAnsiTheme="minorHAnsi"/>
          <w:vertAlign w:val="subscript"/>
        </w:rPr>
        <w:t>e</w:t>
      </w:r>
      <w:r w:rsidRPr="0098629B">
        <w:rPr>
          <w:rFonts w:asciiTheme="minorHAnsi" w:hAnsiTheme="minorHAnsi"/>
        </w:rPr>
        <w:t xml:space="preserve">. </w:t>
      </w:r>
      <w:r w:rsidR="006007BA" w:rsidRPr="0098629B">
        <w:rPr>
          <w:rFonts w:asciiTheme="minorHAnsi" w:hAnsiTheme="minorHAnsi"/>
          <w:szCs w:val="22"/>
        </w:rPr>
        <w:t xml:space="preserve">Les émissions françaises ayant été plus faibles que celles résultant de la décision de partage de l’effort sur les années passées, la France dispose d’un surplus d’allocations. </w:t>
      </w:r>
      <w:r w:rsidR="006007BA" w:rsidRPr="0098629B">
        <w:rPr>
          <w:rFonts w:asciiTheme="minorHAnsi" w:hAnsiTheme="minorHAnsi"/>
          <w:b/>
          <w:szCs w:val="22"/>
        </w:rPr>
        <w:t xml:space="preserve">L’objectif 2020 </w:t>
      </w:r>
      <w:r w:rsidRPr="0098629B">
        <w:rPr>
          <w:rFonts w:asciiTheme="minorHAnsi" w:hAnsiTheme="minorHAnsi"/>
          <w:b/>
          <w:szCs w:val="22"/>
        </w:rPr>
        <w:t>a donc été</w:t>
      </w:r>
      <w:r w:rsidR="006007BA" w:rsidRPr="0098629B">
        <w:rPr>
          <w:rFonts w:asciiTheme="minorHAnsi" w:hAnsiTheme="minorHAnsi"/>
          <w:b/>
          <w:szCs w:val="22"/>
        </w:rPr>
        <w:t xml:space="preserve"> atteint</w:t>
      </w:r>
      <w:r w:rsidR="006007BA" w:rsidRPr="0098629B">
        <w:rPr>
          <w:rFonts w:asciiTheme="minorHAnsi" w:hAnsiTheme="minorHAnsi"/>
          <w:szCs w:val="22"/>
        </w:rPr>
        <w:t>.</w:t>
      </w:r>
    </w:p>
    <w:p w14:paraId="40F5F0DD" w14:textId="77777777" w:rsidR="006007BA" w:rsidRPr="0098629B" w:rsidRDefault="006007BA" w:rsidP="006007BA">
      <w:pPr>
        <w:pStyle w:val="Standard"/>
        <w:jc w:val="both"/>
        <w:rPr>
          <w:rFonts w:ascii="Times New Roman" w:hAnsi="Times New Roman" w:cs="Times New Roman"/>
          <w:sz w:val="22"/>
          <w:szCs w:val="22"/>
        </w:rPr>
      </w:pPr>
    </w:p>
    <w:p w14:paraId="36262D12" w14:textId="77777777" w:rsidR="006007BA" w:rsidRPr="0098629B" w:rsidRDefault="006007BA" w:rsidP="0018240E">
      <w:pPr>
        <w:pStyle w:val="Titre4niveau4"/>
      </w:pPr>
      <w:r w:rsidRPr="0098629B">
        <w:t>Atteinte des objectifs que s’est fixée la France pour 2030</w:t>
      </w:r>
    </w:p>
    <w:p w14:paraId="719BDCC2" w14:textId="39F5C190" w:rsidR="006007BA" w:rsidRPr="0098629B" w:rsidRDefault="006007BA" w:rsidP="002F4FA6">
      <w:r w:rsidRPr="0098629B">
        <w:t>Dans le cadre de l’Accord de Paris, l’UE s’est engagée à réduire ses émissions de gaz à effet de serre d’ici à 2030 de 40 %. De la même façon que pour 2020, cet effort de réduction fait l’objet d’une répartition entre les secteurs de l’ETS et hors ETS, ce dernier étant partagé entre chaque Etat-membre.  L’objectif de réduction pour la France pour les secteurs hors ETS est de -37 % par rapport à 2005.</w:t>
      </w:r>
      <w:r w:rsidR="002F4FA6" w:rsidRPr="0098629B">
        <w:t xml:space="preserve"> Dans le cadre du rehaussement de l’ambition européenne via le Pacte Vert, l’objectif global de l’UE a été fixé à -55% net en 2030 par rapport à 1990. Cela se traduit pour la France sur le secteur hors SEQE-UE par un objectif de -47,5% en 2030 par rapport à 2005</w:t>
      </w:r>
    </w:p>
    <w:p w14:paraId="0370FAC9" w14:textId="77777777" w:rsidR="006007BA" w:rsidRPr="0098629B" w:rsidRDefault="006007BA" w:rsidP="002F4FA6"/>
    <w:p w14:paraId="2051B1AF" w14:textId="77777777" w:rsidR="006007BA" w:rsidRPr="0098629B" w:rsidRDefault="006007BA" w:rsidP="002F4FA6">
      <w:r w:rsidRPr="0098629B">
        <w:t>Par ailleurs la France s’est fixé au niveau national un objectif de réduction de l’ensemble de ses émissions de 40 % en 2030 par rapport à 1990.</w:t>
      </w:r>
    </w:p>
    <w:p w14:paraId="791A570B" w14:textId="77777777" w:rsidR="006007BA" w:rsidRPr="0098629B" w:rsidRDefault="006007BA" w:rsidP="002F4FA6"/>
    <w:p w14:paraId="028A4459" w14:textId="4AB7D603" w:rsidR="006007BA" w:rsidRPr="0098629B" w:rsidRDefault="005D77E5" w:rsidP="002F4FA6">
      <w:r w:rsidRPr="0098629B">
        <w:t>Le</w:t>
      </w:r>
      <w:r w:rsidR="006007BA" w:rsidRPr="0098629B">
        <w:t xml:space="preserve"> scénario AME</w:t>
      </w:r>
      <w:r w:rsidR="006C000D" w:rsidRPr="0098629B">
        <w:t xml:space="preserve"> 2021</w:t>
      </w:r>
      <w:r w:rsidR="00DD5B9E" w:rsidRPr="0098629B">
        <w:t xml:space="preserve"> permet d’atteindre les objectifs du second budget carbone, ainsi que la première période de l’ESR (2021-2025) – avant mise à jour dans le cadre du Pacte Vert. En revanche, les émissions projetées</w:t>
      </w:r>
      <w:r w:rsidR="006007BA" w:rsidRPr="0098629B">
        <w:t xml:space="preserve"> en 2030 s’élèvent à </w:t>
      </w:r>
      <w:r w:rsidR="006C000D" w:rsidRPr="0098629B">
        <w:t>367</w:t>
      </w:r>
      <w:r w:rsidR="006007BA" w:rsidRPr="0098629B">
        <w:t xml:space="preserve"> Mt</w:t>
      </w:r>
      <w:r w:rsidR="00811B0F" w:rsidRPr="0098629B">
        <w:t>CO</w:t>
      </w:r>
      <w:r w:rsidR="00811B0F" w:rsidRPr="0098629B">
        <w:rPr>
          <w:vertAlign w:val="subscript"/>
        </w:rPr>
        <w:t>2</w:t>
      </w:r>
      <w:r w:rsidR="006007BA" w:rsidRPr="0098629B">
        <w:rPr>
          <w:vertAlign w:val="subscript"/>
        </w:rPr>
        <w:t>-eq</w:t>
      </w:r>
      <w:r w:rsidR="006007BA" w:rsidRPr="0098629B">
        <w:t xml:space="preserve">, soit une réduction de </w:t>
      </w:r>
      <w:r w:rsidR="006C000D" w:rsidRPr="0098629B">
        <w:t>33</w:t>
      </w:r>
      <w:r w:rsidR="006007BA" w:rsidRPr="0098629B">
        <w:t> % par rapport à</w:t>
      </w:r>
      <w:r w:rsidR="002F4FA6" w:rsidRPr="0098629B">
        <w:t xml:space="preserve"> 1990</w:t>
      </w:r>
      <w:r w:rsidR="00DD5B9E" w:rsidRPr="0098629B">
        <w:t>, indiquant que des mesures supplémentaires sont requises pour atteindre l’objectif actuel de -40%</w:t>
      </w:r>
      <w:r w:rsidR="006007BA" w:rsidRPr="0098629B">
        <w:t xml:space="preserve">. Dans le scénario AMS, les émissions </w:t>
      </w:r>
      <w:r w:rsidR="002F4FA6" w:rsidRPr="0098629B">
        <w:t>atteignent 307 Mt</w:t>
      </w:r>
      <w:r w:rsidR="00811B0F" w:rsidRPr="0098629B">
        <w:t>CO</w:t>
      </w:r>
      <w:r w:rsidR="00811B0F" w:rsidRPr="0098629B">
        <w:rPr>
          <w:vertAlign w:val="subscript"/>
        </w:rPr>
        <w:t>2</w:t>
      </w:r>
      <w:r w:rsidR="00891B49" w:rsidRPr="0098629B">
        <w:rPr>
          <w:vertAlign w:val="subscript"/>
        </w:rPr>
        <w:t>e</w:t>
      </w:r>
      <w:r w:rsidR="002F4FA6" w:rsidRPr="0098629B">
        <w:t xml:space="preserve"> en 2030 soit une baisse de 43% par rapport à 1990</w:t>
      </w:r>
      <w:r w:rsidR="00DD5B9E" w:rsidRPr="0098629B">
        <w:t xml:space="preserve">, ce qui permet d’atteindre l’objectif actuel de -40%, mais </w:t>
      </w:r>
      <w:r w:rsidRPr="0098629B">
        <w:t>nécessitera</w:t>
      </w:r>
      <w:r w:rsidR="00DD5B9E" w:rsidRPr="0098629B">
        <w:t xml:space="preserve"> d’être mis à jour en accord avec les nouveaux objectifs issus du Pacte Vert</w:t>
      </w:r>
      <w:r w:rsidR="002F4FA6" w:rsidRPr="0098629B">
        <w:t xml:space="preserve">. </w:t>
      </w:r>
      <w:r w:rsidRPr="0098629B">
        <w:t xml:space="preserve">C’est l’objet de la Stratégie Française pour l’énergie et le climat, qui est en cours de révision. </w:t>
      </w:r>
    </w:p>
    <w:p w14:paraId="28BE932B" w14:textId="35A6534E" w:rsidR="006007BA" w:rsidRPr="0098629B" w:rsidRDefault="006007BA" w:rsidP="0018240E">
      <w:pPr>
        <w:pStyle w:val="Titre2Niveau2"/>
      </w:pPr>
      <w:bookmarkStart w:id="175" w:name="_Toc121833030"/>
      <w:bookmarkStart w:id="176" w:name="_Toc138344620"/>
      <w:r w:rsidRPr="0098629B">
        <w:t>Evolution sur les modèles et méthodologies</w:t>
      </w:r>
      <w:bookmarkEnd w:id="175"/>
      <w:bookmarkEnd w:id="176"/>
    </w:p>
    <w:p w14:paraId="4D7CA54E" w14:textId="77777777" w:rsidR="002F4FA6" w:rsidRPr="0098629B" w:rsidRDefault="002F4FA6" w:rsidP="00B04A7C">
      <w:pPr>
        <w:pStyle w:val="Titre3Niveau3"/>
      </w:pPr>
      <w:bookmarkStart w:id="177" w:name="_Toc121215537"/>
      <w:bookmarkStart w:id="178" w:name="_Toc122694264"/>
      <w:bookmarkStart w:id="179" w:name="_Toc138344621"/>
      <w:r w:rsidRPr="0098629B">
        <w:t>Modélisations utilisées</w:t>
      </w:r>
      <w:bookmarkEnd w:id="177"/>
      <w:bookmarkEnd w:id="178"/>
      <w:bookmarkEnd w:id="179"/>
    </w:p>
    <w:p w14:paraId="41DE8909" w14:textId="77777777" w:rsidR="002F4FA6" w:rsidRPr="0098629B" w:rsidRDefault="002F4FA6" w:rsidP="002F4FA6">
      <w:pPr>
        <w:spacing w:before="240" w:after="240"/>
      </w:pPr>
      <w:r w:rsidRPr="0098629B">
        <w:t xml:space="preserve">Le processus de modélisation pour le scénario AMS 2018 a été présenté dans la précédente communication nationale et le dernier rapport bisannuel. </w:t>
      </w:r>
    </w:p>
    <w:p w14:paraId="113C0719" w14:textId="77777777" w:rsidR="002F4FA6" w:rsidRPr="0098629B" w:rsidRDefault="002F4FA6" w:rsidP="002F4FA6">
      <w:pPr>
        <w:pStyle w:val="Textedesaisie"/>
        <w:ind w:left="0"/>
        <w:rPr>
          <w:sz w:val="21"/>
          <w:szCs w:val="21"/>
        </w:rPr>
      </w:pPr>
      <w:r w:rsidRPr="0098629B">
        <w:rPr>
          <w:sz w:val="21"/>
          <w:szCs w:val="21"/>
        </w:rPr>
        <w:t>Le processus pour l’AME 2021 en a globalement repris les grandes lignes, avec quelques différences notables</w:t>
      </w:r>
      <w:r w:rsidRPr="0098629B">
        <w:rPr>
          <w:rFonts w:ascii="Calibri" w:hAnsi="Calibri" w:cs="Calibri"/>
          <w:sz w:val="21"/>
          <w:szCs w:val="21"/>
        </w:rPr>
        <w:t> </w:t>
      </w:r>
      <w:r w:rsidRPr="0098629B">
        <w:rPr>
          <w:sz w:val="21"/>
          <w:szCs w:val="21"/>
        </w:rPr>
        <w:t xml:space="preserve">: </w:t>
      </w:r>
    </w:p>
    <w:p w14:paraId="46E901FA" w14:textId="77777777" w:rsidR="002F4FA6" w:rsidRPr="0098629B" w:rsidRDefault="002F4FA6" w:rsidP="002F4FA6">
      <w:pPr>
        <w:pStyle w:val="Textedesaisie"/>
        <w:ind w:left="0"/>
        <w:rPr>
          <w:sz w:val="21"/>
          <w:szCs w:val="21"/>
        </w:rPr>
      </w:pPr>
      <w:r w:rsidRPr="0098629B">
        <w:rPr>
          <w:sz w:val="21"/>
          <w:szCs w:val="21"/>
        </w:rPr>
        <w:t xml:space="preserve">Contrairement à l’exercice précédent qui était lié à l’actualisation des programmations nationales, les consultations ont cette fois été limitées aux administrations concernées (autres directions du MTE, MASA/DGPE, MEFR/DGT, ADEME) ainsi que les modélisateurs externes (Citepa et CSTB). Cinq groupes de travail ont été mis en place (agriculture-forêts-sols / bâtiments / transports / industrie / énergie-déchets), chacun ayant tenu entre 2 et 4 réunions selon les besoins entre septembre 2020 et février 2021. </w:t>
      </w:r>
    </w:p>
    <w:p w14:paraId="73FDC0FD" w14:textId="77777777" w:rsidR="002F4FA6" w:rsidRPr="0098629B" w:rsidRDefault="002F4FA6" w:rsidP="002F4FA6">
      <w:pPr>
        <w:pStyle w:val="Textedesaisie"/>
        <w:keepNext/>
      </w:pPr>
      <w:r w:rsidRPr="0098629B">
        <w:rPr>
          <w:noProof/>
        </w:rPr>
        <w:drawing>
          <wp:inline distT="0" distB="0" distL="0" distR="0" wp14:anchorId="3C28409B" wp14:editId="6F4357BE">
            <wp:extent cx="5762625" cy="3133725"/>
            <wp:effectExtent l="0" t="0" r="9525" b="9525"/>
            <wp:docPr id="28707" name="Image 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3133725"/>
                    </a:xfrm>
                    <a:prstGeom prst="rect">
                      <a:avLst/>
                    </a:prstGeom>
                    <a:noFill/>
                    <a:ln>
                      <a:noFill/>
                    </a:ln>
                  </pic:spPr>
                </pic:pic>
              </a:graphicData>
            </a:graphic>
          </wp:inline>
        </w:drawing>
      </w:r>
    </w:p>
    <w:p w14:paraId="68E19CB3" w14:textId="367F8FBA" w:rsidR="002F4FA6" w:rsidRPr="0098629B" w:rsidRDefault="002F4FA6" w:rsidP="002F4FA6">
      <w:pPr>
        <w:pStyle w:val="Caption"/>
      </w:pPr>
      <w:bookmarkStart w:id="180" w:name="_Toc122694406"/>
      <w:bookmarkStart w:id="181" w:name="_Toc123916633"/>
      <w:r w:rsidRPr="0098629B">
        <w:t xml:space="preserve">Figure </w:t>
      </w:r>
      <w:fldSimple w:instr=" SEQ Figure \* ARABIC ">
        <w:r w:rsidR="006B0E73">
          <w:rPr>
            <w:noProof/>
          </w:rPr>
          <w:t>27</w:t>
        </w:r>
      </w:fldSimple>
      <w:r w:rsidRPr="0098629B">
        <w:t> : Processus de modélisation de l'AME 2021</w:t>
      </w:r>
      <w:bookmarkEnd w:id="180"/>
      <w:bookmarkEnd w:id="181"/>
    </w:p>
    <w:p w14:paraId="3245635C" w14:textId="77777777" w:rsidR="002F4FA6" w:rsidRPr="0098629B" w:rsidRDefault="002F4FA6" w:rsidP="002F4FA6">
      <w:pPr>
        <w:pStyle w:val="Caption"/>
      </w:pPr>
      <w:r w:rsidRPr="0098629B">
        <w:t>Source : MTE/DGEC</w:t>
      </w:r>
    </w:p>
    <w:p w14:paraId="2B017C37" w14:textId="77777777" w:rsidR="002F4FA6" w:rsidRPr="0098629B" w:rsidRDefault="002F4FA6" w:rsidP="002F4FA6"/>
    <w:p w14:paraId="544B8263" w14:textId="12856130" w:rsidR="00954B08" w:rsidRDefault="002F4FA6" w:rsidP="002F4FA6">
      <w:r w:rsidRPr="0098629B">
        <w:t>En termes de modélisation, le processus reprend assez largement celui utilisé en 2018</w:t>
      </w:r>
      <w:r w:rsidR="00954B08">
        <w:t>, l’utilisation d’une large variété de modèles technico-économiques permettant de calculer des consommations d’énergie qui sont ensuite agrégées et utilisées pour déterminer les émissions de GES, en accord avec les méthodologies de l’inventaire de GES. Cette approche permet une fine description des transformations sectorielles associées aux scénarios. En revanche, en comparaison avec l’utilisation d’un seul modèle top-down, une attention particulière est requise pour étudier les interactions entre secteurs, et le processus de modélisation prend un temps considérable (un run de modélisation prend jusqu’à 6 mois). L’intégration de plusieurs politiques et mesures dans différents secteurs permet d’éviter les double-comptes entre les politiques et mesures.</w:t>
      </w:r>
    </w:p>
    <w:p w14:paraId="730721DE" w14:textId="21EE1E9E" w:rsidR="002F4FA6" w:rsidRPr="0098629B" w:rsidRDefault="00954B08" w:rsidP="002F4FA6">
      <w:r>
        <w:t>La principale difference dans l’approche de modélisation de 2018 est</w:t>
      </w:r>
      <w:r w:rsidR="002F4FA6" w:rsidRPr="0098629B">
        <w:t xml:space="preserve"> de l’utilisation de GEStime, un outil interne développé par la DGEC, qui est venu remplacer l’utilisation de MedPro pour les aspects énergétiques et pour l’industrie. GEStime permet de représenter de manière statique à un horizon donné les consommations d’énergie et les émissions de gaz à effet de serre en fonction d’une série de leviers physiques dans chacun des secteurs. Il est calé sur l’année 2015 à partir des données du bilan de l’énergie du SDES et de l’inventaire du Citepa. De nouveaux outils ont également été mobilisés pour modéliser l’artificialisation des sols et le transport aérien.</w:t>
      </w:r>
    </w:p>
    <w:p w14:paraId="73AB4452" w14:textId="77777777" w:rsidR="002F4FA6" w:rsidRPr="0098629B" w:rsidRDefault="002F4FA6" w:rsidP="002F4FA6"/>
    <w:tbl>
      <w:tblPr>
        <w:tblStyle w:val="GridTable4-Accent5"/>
        <w:tblW w:w="0" w:type="auto"/>
        <w:tblLook w:val="04A0" w:firstRow="1" w:lastRow="0" w:firstColumn="1" w:lastColumn="0" w:noHBand="0" w:noVBand="1"/>
      </w:tblPr>
      <w:tblGrid>
        <w:gridCol w:w="3020"/>
        <w:gridCol w:w="4346"/>
        <w:gridCol w:w="1696"/>
      </w:tblGrid>
      <w:tr w:rsidR="002F4FA6" w:rsidRPr="0098629B" w14:paraId="57E5F4BE" w14:textId="77777777" w:rsidTr="0063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C68F59A" w14:textId="77777777" w:rsidR="002F4FA6" w:rsidRPr="0098629B" w:rsidRDefault="002F4FA6" w:rsidP="00635A2E">
            <w:pPr>
              <w:rPr>
                <w:b w:val="0"/>
              </w:rPr>
            </w:pPr>
            <w:r w:rsidRPr="0098629B">
              <w:rPr>
                <w:b w:val="0"/>
              </w:rPr>
              <w:t>Secteur</w:t>
            </w:r>
          </w:p>
        </w:tc>
        <w:tc>
          <w:tcPr>
            <w:tcW w:w="4346" w:type="dxa"/>
          </w:tcPr>
          <w:p w14:paraId="31A2D982" w14:textId="77777777" w:rsidR="002F4FA6" w:rsidRPr="0098629B" w:rsidRDefault="002F4FA6" w:rsidP="00635A2E">
            <w:pPr>
              <w:cnfStyle w:val="100000000000" w:firstRow="1" w:lastRow="0" w:firstColumn="0" w:lastColumn="0" w:oddVBand="0" w:evenVBand="0" w:oddHBand="0" w:evenHBand="0" w:firstRowFirstColumn="0" w:firstRowLastColumn="0" w:lastRowFirstColumn="0" w:lastRowLastColumn="0"/>
              <w:rPr>
                <w:b w:val="0"/>
              </w:rPr>
            </w:pPr>
            <w:r w:rsidRPr="0098629B">
              <w:rPr>
                <w:b w:val="0"/>
              </w:rPr>
              <w:t>Outils utilisés</w:t>
            </w:r>
          </w:p>
        </w:tc>
        <w:tc>
          <w:tcPr>
            <w:tcW w:w="1696" w:type="dxa"/>
          </w:tcPr>
          <w:p w14:paraId="4F7F0B6B" w14:textId="77777777" w:rsidR="002F4FA6" w:rsidRPr="0098629B" w:rsidRDefault="002F4FA6" w:rsidP="00635A2E">
            <w:pPr>
              <w:cnfStyle w:val="100000000000" w:firstRow="1" w:lastRow="0" w:firstColumn="0" w:lastColumn="0" w:oddVBand="0" w:evenVBand="0" w:oddHBand="0" w:evenHBand="0" w:firstRowFirstColumn="0" w:firstRowLastColumn="0" w:lastRowFirstColumn="0" w:lastRowLastColumn="0"/>
              <w:rPr>
                <w:b w:val="0"/>
              </w:rPr>
            </w:pPr>
            <w:r w:rsidRPr="0098629B">
              <w:rPr>
                <w:b w:val="0"/>
              </w:rPr>
              <w:t>Opéré par</w:t>
            </w:r>
          </w:p>
        </w:tc>
      </w:tr>
      <w:tr w:rsidR="002F4FA6" w:rsidRPr="0098629B" w14:paraId="16277E29"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EAF3F1" w14:textId="77777777" w:rsidR="002F4FA6" w:rsidRPr="0098629B" w:rsidRDefault="002F4FA6" w:rsidP="00635A2E">
            <w:r w:rsidRPr="0098629B">
              <w:t>Agriculture</w:t>
            </w:r>
          </w:p>
        </w:tc>
        <w:tc>
          <w:tcPr>
            <w:tcW w:w="4346" w:type="dxa"/>
          </w:tcPr>
          <w:p w14:paraId="6F9D3300"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Climagri et modules CITEPA</w:t>
            </w:r>
          </w:p>
        </w:tc>
        <w:tc>
          <w:tcPr>
            <w:tcW w:w="1696" w:type="dxa"/>
          </w:tcPr>
          <w:p w14:paraId="7CBA67A7"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CITEPA</w:t>
            </w:r>
          </w:p>
        </w:tc>
      </w:tr>
      <w:tr w:rsidR="002F4FA6" w:rsidRPr="0098629B" w14:paraId="6B0F4779"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041FB48E" w14:textId="77777777" w:rsidR="002F4FA6" w:rsidRPr="0098629B" w:rsidRDefault="002F4FA6" w:rsidP="00635A2E">
            <w:r w:rsidRPr="0098629B">
              <w:t>Forêt</w:t>
            </w:r>
          </w:p>
        </w:tc>
        <w:tc>
          <w:tcPr>
            <w:tcW w:w="4346" w:type="dxa"/>
          </w:tcPr>
          <w:p w14:paraId="4F5E4DE7"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Calculateur forêt bois et module CITEPA</w:t>
            </w:r>
          </w:p>
        </w:tc>
        <w:tc>
          <w:tcPr>
            <w:tcW w:w="1696" w:type="dxa"/>
          </w:tcPr>
          <w:p w14:paraId="6FDF7819"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DGEC, CITEPA</w:t>
            </w:r>
          </w:p>
        </w:tc>
      </w:tr>
      <w:tr w:rsidR="002F4FA6" w:rsidRPr="0098629B" w14:paraId="114DD755"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35D87B" w14:textId="77777777" w:rsidR="002F4FA6" w:rsidRPr="0098629B" w:rsidRDefault="002F4FA6" w:rsidP="00635A2E">
            <w:r w:rsidRPr="0098629B">
              <w:t>Sols (artificialisation)</w:t>
            </w:r>
          </w:p>
        </w:tc>
        <w:tc>
          <w:tcPr>
            <w:tcW w:w="4346" w:type="dxa"/>
          </w:tcPr>
          <w:p w14:paraId="60BEB355"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Calculateur artificialisation*, module CITEPA</w:t>
            </w:r>
          </w:p>
        </w:tc>
        <w:tc>
          <w:tcPr>
            <w:tcW w:w="1696" w:type="dxa"/>
          </w:tcPr>
          <w:p w14:paraId="0EF2BD1E"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DGEC, CITEPA</w:t>
            </w:r>
          </w:p>
        </w:tc>
      </w:tr>
      <w:tr w:rsidR="002F4FA6" w:rsidRPr="0098629B" w14:paraId="4A3D7A04"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724A8A87" w14:textId="77777777" w:rsidR="002F4FA6" w:rsidRPr="0098629B" w:rsidRDefault="002F4FA6" w:rsidP="00635A2E">
            <w:r w:rsidRPr="0098629B">
              <w:t>Résidentiel</w:t>
            </w:r>
          </w:p>
        </w:tc>
        <w:tc>
          <w:tcPr>
            <w:tcW w:w="4346" w:type="dxa"/>
          </w:tcPr>
          <w:p w14:paraId="30B15527"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Menfis</w:t>
            </w:r>
          </w:p>
        </w:tc>
        <w:tc>
          <w:tcPr>
            <w:tcW w:w="1696" w:type="dxa"/>
          </w:tcPr>
          <w:p w14:paraId="1E1C999A"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CSTB</w:t>
            </w:r>
          </w:p>
        </w:tc>
      </w:tr>
      <w:tr w:rsidR="002F4FA6" w:rsidRPr="0098629B" w14:paraId="0A4885A0"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7ED9D3" w14:textId="77777777" w:rsidR="002F4FA6" w:rsidRPr="0098629B" w:rsidRDefault="002F4FA6" w:rsidP="00635A2E">
            <w:r w:rsidRPr="0098629B">
              <w:t>Tertiaire</w:t>
            </w:r>
          </w:p>
        </w:tc>
        <w:tc>
          <w:tcPr>
            <w:tcW w:w="4346" w:type="dxa"/>
          </w:tcPr>
          <w:p w14:paraId="24773C7C"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Modèle tertiaire</w:t>
            </w:r>
          </w:p>
        </w:tc>
        <w:tc>
          <w:tcPr>
            <w:tcW w:w="1696" w:type="dxa"/>
          </w:tcPr>
          <w:p w14:paraId="0D5829CE"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CGDD</w:t>
            </w:r>
          </w:p>
        </w:tc>
      </w:tr>
      <w:tr w:rsidR="002F4FA6" w:rsidRPr="0098629B" w14:paraId="317F967D"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1B3B1109" w14:textId="77777777" w:rsidR="002F4FA6" w:rsidRPr="0098629B" w:rsidRDefault="002F4FA6" w:rsidP="00635A2E">
            <w:r w:rsidRPr="0098629B">
              <w:t>Hors chauffage (résidentiel et tertiaire)</w:t>
            </w:r>
          </w:p>
        </w:tc>
        <w:tc>
          <w:tcPr>
            <w:tcW w:w="4346" w:type="dxa"/>
          </w:tcPr>
          <w:p w14:paraId="44094BCE"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GEStime*</w:t>
            </w:r>
          </w:p>
        </w:tc>
        <w:tc>
          <w:tcPr>
            <w:tcW w:w="1696" w:type="dxa"/>
          </w:tcPr>
          <w:p w14:paraId="33ADE6E4"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DGEC</w:t>
            </w:r>
          </w:p>
        </w:tc>
      </w:tr>
      <w:tr w:rsidR="002F4FA6" w:rsidRPr="0098629B" w14:paraId="6268C11F"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tcPr>
          <w:p w14:paraId="06BD1533" w14:textId="77777777" w:rsidR="002F4FA6" w:rsidRPr="0098629B" w:rsidRDefault="002F4FA6" w:rsidP="00635A2E">
            <w:r w:rsidRPr="0098629B">
              <w:t>Transports</w:t>
            </w:r>
          </w:p>
        </w:tc>
        <w:tc>
          <w:tcPr>
            <w:tcW w:w="4346" w:type="dxa"/>
          </w:tcPr>
          <w:p w14:paraId="1EE30C90"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Modev (trafics)</w:t>
            </w:r>
          </w:p>
        </w:tc>
        <w:tc>
          <w:tcPr>
            <w:tcW w:w="1696" w:type="dxa"/>
          </w:tcPr>
          <w:p w14:paraId="0765AB49"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CGDD</w:t>
            </w:r>
          </w:p>
        </w:tc>
      </w:tr>
      <w:tr w:rsidR="002F4FA6" w:rsidRPr="0098629B" w14:paraId="3FFB11A8" w14:textId="77777777" w:rsidTr="00635A2E">
        <w:tc>
          <w:tcPr>
            <w:cnfStyle w:val="001000000000" w:firstRow="0" w:lastRow="0" w:firstColumn="1" w:lastColumn="0" w:oddVBand="0" w:evenVBand="0" w:oddHBand="0" w:evenHBand="0" w:firstRowFirstColumn="0" w:firstRowLastColumn="0" w:lastRowFirstColumn="0" w:lastRowLastColumn="0"/>
            <w:tcW w:w="3020" w:type="dxa"/>
            <w:vMerge/>
          </w:tcPr>
          <w:p w14:paraId="67C5A58A" w14:textId="77777777" w:rsidR="002F4FA6" w:rsidRPr="0098629B" w:rsidRDefault="002F4FA6" w:rsidP="00635A2E"/>
        </w:tc>
        <w:tc>
          <w:tcPr>
            <w:tcW w:w="4346" w:type="dxa"/>
          </w:tcPr>
          <w:p w14:paraId="246C92D3"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 xml:space="preserve">Modèle de parc VP * </w:t>
            </w:r>
          </w:p>
        </w:tc>
        <w:tc>
          <w:tcPr>
            <w:tcW w:w="1696" w:type="dxa"/>
          </w:tcPr>
          <w:p w14:paraId="74496D82"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DGITM</w:t>
            </w:r>
          </w:p>
        </w:tc>
      </w:tr>
      <w:tr w:rsidR="002F4FA6" w:rsidRPr="0098629B" w14:paraId="07A1BE42"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DE13692" w14:textId="77777777" w:rsidR="002F4FA6" w:rsidRPr="0098629B" w:rsidRDefault="002F4FA6" w:rsidP="00635A2E"/>
        </w:tc>
        <w:tc>
          <w:tcPr>
            <w:tcW w:w="4346" w:type="dxa"/>
          </w:tcPr>
          <w:p w14:paraId="63F73F07"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Aérien*</w:t>
            </w:r>
          </w:p>
        </w:tc>
        <w:tc>
          <w:tcPr>
            <w:tcW w:w="1696" w:type="dxa"/>
          </w:tcPr>
          <w:p w14:paraId="1F39CE08"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DGAC</w:t>
            </w:r>
          </w:p>
        </w:tc>
      </w:tr>
      <w:tr w:rsidR="002F4FA6" w:rsidRPr="0098629B" w14:paraId="011F9102"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630CAA0A" w14:textId="77777777" w:rsidR="002F4FA6" w:rsidRPr="0098629B" w:rsidRDefault="002F4FA6" w:rsidP="00635A2E">
            <w:r w:rsidRPr="0098629B">
              <w:t>Industrie</w:t>
            </w:r>
          </w:p>
        </w:tc>
        <w:tc>
          <w:tcPr>
            <w:tcW w:w="4346" w:type="dxa"/>
          </w:tcPr>
          <w:p w14:paraId="77E42715"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GEStime*</w:t>
            </w:r>
          </w:p>
        </w:tc>
        <w:tc>
          <w:tcPr>
            <w:tcW w:w="1696" w:type="dxa"/>
          </w:tcPr>
          <w:p w14:paraId="06BC4E96"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DGEC</w:t>
            </w:r>
          </w:p>
        </w:tc>
      </w:tr>
      <w:tr w:rsidR="002F4FA6" w:rsidRPr="0098629B" w14:paraId="7733727B"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0ABC44" w14:textId="77777777" w:rsidR="002F4FA6" w:rsidRPr="0098629B" w:rsidRDefault="002F4FA6" w:rsidP="00635A2E">
            <w:r w:rsidRPr="0098629B">
              <w:t>Production d’énergie</w:t>
            </w:r>
          </w:p>
        </w:tc>
        <w:tc>
          <w:tcPr>
            <w:tcW w:w="4346" w:type="dxa"/>
          </w:tcPr>
          <w:p w14:paraId="3DE53B92"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GEStime*</w:t>
            </w:r>
          </w:p>
        </w:tc>
        <w:tc>
          <w:tcPr>
            <w:tcW w:w="1696" w:type="dxa"/>
          </w:tcPr>
          <w:p w14:paraId="1E2B1E3B"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DGEC</w:t>
            </w:r>
          </w:p>
        </w:tc>
      </w:tr>
      <w:tr w:rsidR="002F4FA6" w:rsidRPr="0098629B" w14:paraId="06D95090"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0BBBC99B" w14:textId="77777777" w:rsidR="002F4FA6" w:rsidRPr="0098629B" w:rsidRDefault="002F4FA6" w:rsidP="00635A2E">
            <w:r w:rsidRPr="0098629B">
              <w:t>Déchets</w:t>
            </w:r>
          </w:p>
        </w:tc>
        <w:tc>
          <w:tcPr>
            <w:tcW w:w="4346" w:type="dxa"/>
          </w:tcPr>
          <w:p w14:paraId="3E31E898"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Module CITEPA</w:t>
            </w:r>
          </w:p>
        </w:tc>
        <w:tc>
          <w:tcPr>
            <w:tcW w:w="1696" w:type="dxa"/>
          </w:tcPr>
          <w:p w14:paraId="1BB4EC48"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CITEPA</w:t>
            </w:r>
          </w:p>
        </w:tc>
      </w:tr>
      <w:tr w:rsidR="002F4FA6" w:rsidRPr="0098629B" w14:paraId="3F5DF8DE"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F465F3" w14:textId="77777777" w:rsidR="002F4FA6" w:rsidRPr="0098629B" w:rsidRDefault="002F4FA6" w:rsidP="00635A2E">
            <w:r w:rsidRPr="0098629B">
              <w:t>F-gaz</w:t>
            </w:r>
          </w:p>
        </w:tc>
        <w:tc>
          <w:tcPr>
            <w:tcW w:w="4346" w:type="dxa"/>
          </w:tcPr>
          <w:p w14:paraId="0FF7F99E"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Module CITEPA</w:t>
            </w:r>
          </w:p>
        </w:tc>
        <w:tc>
          <w:tcPr>
            <w:tcW w:w="1696" w:type="dxa"/>
          </w:tcPr>
          <w:p w14:paraId="372FC9D0" w14:textId="77777777" w:rsidR="002F4FA6" w:rsidRPr="0098629B" w:rsidRDefault="002F4FA6" w:rsidP="00635A2E">
            <w:pPr>
              <w:cnfStyle w:val="000000100000" w:firstRow="0" w:lastRow="0" w:firstColumn="0" w:lastColumn="0" w:oddVBand="0" w:evenVBand="0" w:oddHBand="1" w:evenHBand="0" w:firstRowFirstColumn="0" w:firstRowLastColumn="0" w:lastRowFirstColumn="0" w:lastRowLastColumn="0"/>
            </w:pPr>
            <w:r w:rsidRPr="0098629B">
              <w:t>CITEPA</w:t>
            </w:r>
          </w:p>
        </w:tc>
      </w:tr>
      <w:tr w:rsidR="002F4FA6" w:rsidRPr="0098629B" w14:paraId="4BA56198"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1321415B" w14:textId="77777777" w:rsidR="002F4FA6" w:rsidRPr="0098629B" w:rsidRDefault="002F4FA6" w:rsidP="00635A2E">
            <w:r w:rsidRPr="0098629B">
              <w:t>Agrégations GES</w:t>
            </w:r>
          </w:p>
        </w:tc>
        <w:tc>
          <w:tcPr>
            <w:tcW w:w="4346" w:type="dxa"/>
          </w:tcPr>
          <w:p w14:paraId="7DD4F854"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Modules CITEPA</w:t>
            </w:r>
          </w:p>
        </w:tc>
        <w:tc>
          <w:tcPr>
            <w:tcW w:w="1696" w:type="dxa"/>
          </w:tcPr>
          <w:p w14:paraId="6E479829" w14:textId="77777777" w:rsidR="002F4FA6" w:rsidRPr="0098629B" w:rsidRDefault="002F4FA6" w:rsidP="00635A2E">
            <w:pPr>
              <w:cnfStyle w:val="000000000000" w:firstRow="0" w:lastRow="0" w:firstColumn="0" w:lastColumn="0" w:oddVBand="0" w:evenVBand="0" w:oddHBand="0" w:evenHBand="0" w:firstRowFirstColumn="0" w:firstRowLastColumn="0" w:lastRowFirstColumn="0" w:lastRowLastColumn="0"/>
            </w:pPr>
            <w:r w:rsidRPr="0098629B">
              <w:t>CITEPA</w:t>
            </w:r>
          </w:p>
        </w:tc>
      </w:tr>
    </w:tbl>
    <w:p w14:paraId="229DD212" w14:textId="77777777" w:rsidR="002F4FA6" w:rsidRPr="0098629B" w:rsidRDefault="002F4FA6" w:rsidP="002F4FA6">
      <w:r w:rsidRPr="0098629B">
        <w:t>* nouveauté AME 2021</w:t>
      </w:r>
    </w:p>
    <w:p w14:paraId="1B90CBD1" w14:textId="21CF313A" w:rsidR="002F4FA6" w:rsidRPr="0098629B" w:rsidRDefault="002F4FA6" w:rsidP="002F4FA6">
      <w:pPr>
        <w:pStyle w:val="Caption"/>
      </w:pPr>
      <w:bookmarkStart w:id="182" w:name="_Toc122694457"/>
      <w:bookmarkStart w:id="183" w:name="_Toc123916660"/>
      <w:r w:rsidRPr="0098629B">
        <w:t xml:space="preserve">Tableau </w:t>
      </w:r>
      <w:fldSimple w:instr=" SEQ Tableau \* ARABIC ">
        <w:r w:rsidR="00677B3C">
          <w:rPr>
            <w:noProof/>
          </w:rPr>
          <w:t>25</w:t>
        </w:r>
      </w:fldSimple>
      <w:r w:rsidRPr="0098629B">
        <w:t> : Détail des outils et modèles utilisés</w:t>
      </w:r>
      <w:bookmarkEnd w:id="182"/>
      <w:bookmarkEnd w:id="183"/>
      <w:r w:rsidR="00954B08">
        <w:rPr>
          <w:rStyle w:val="FootnoteReference"/>
        </w:rPr>
        <w:footnoteReference w:id="18"/>
      </w:r>
    </w:p>
    <w:p w14:paraId="1CE7CB26" w14:textId="53137D95" w:rsidR="002F4FA6" w:rsidRDefault="002F4FA6" w:rsidP="002F4FA6">
      <w:pPr>
        <w:pStyle w:val="Caption"/>
      </w:pPr>
      <w:r w:rsidRPr="0098629B">
        <w:t>Source : MTE/DGEC</w:t>
      </w:r>
    </w:p>
    <w:p w14:paraId="2DC5AD00" w14:textId="2B92BAB2" w:rsidR="00954B08" w:rsidRDefault="00954B08" w:rsidP="00573042"/>
    <w:p w14:paraId="2D8F3DE2" w14:textId="7A5A5BD0" w:rsidR="00954B08" w:rsidRPr="00913449" w:rsidRDefault="00954B08" w:rsidP="00954B08">
      <w:r>
        <w:t>Un rapport décrivant l’ensemble des hypothèses et le processus de modélisation pour l’AME 2021 est disponible en français</w:t>
      </w:r>
      <w:r>
        <w:rPr>
          <w:rStyle w:val="FootnoteReference"/>
        </w:rPr>
        <w:footnoteReference w:id="19"/>
      </w:r>
      <w:r>
        <w:t xml:space="preserve">. Il contient également une analyse sur les différences entre l’AME 2018 (BR4) et l’AME 2021 (BR5). </w:t>
      </w:r>
    </w:p>
    <w:p w14:paraId="371114C2" w14:textId="77777777" w:rsidR="00954B08" w:rsidRPr="001E2D38" w:rsidRDefault="00954B08" w:rsidP="00573042"/>
    <w:p w14:paraId="03692974" w14:textId="77777777" w:rsidR="002F4FA6" w:rsidRPr="0098629B" w:rsidRDefault="002F4FA6" w:rsidP="002F4FA6">
      <w:pPr>
        <w:pStyle w:val="Titre4niveau4"/>
        <w:spacing w:before="240"/>
        <w:rPr>
          <w:rFonts w:asciiTheme="minorHAnsi" w:hAnsiTheme="minorHAnsi"/>
          <w:sz w:val="19"/>
        </w:rPr>
      </w:pPr>
      <w:r w:rsidRPr="0098629B">
        <w:t xml:space="preserve">Les modèles sectoriels </w:t>
      </w:r>
    </w:p>
    <w:p w14:paraId="746806E7" w14:textId="77777777" w:rsidR="002F4FA6" w:rsidRPr="0098629B" w:rsidRDefault="002F4FA6" w:rsidP="002F4FA6">
      <w:pPr>
        <w:pStyle w:val="titreencadre"/>
        <w:spacing w:before="120" w:after="60" w:line="240" w:lineRule="auto"/>
      </w:pPr>
      <w:r w:rsidRPr="0098629B">
        <w:t xml:space="preserve">La modélisation du secteur des transports </w:t>
      </w:r>
    </w:p>
    <w:p w14:paraId="55DDBBDC" w14:textId="77777777" w:rsidR="002F4FA6" w:rsidRPr="0098629B" w:rsidRDefault="002F4FA6" w:rsidP="002F4FA6">
      <w:pPr>
        <w:spacing w:before="240" w:after="240"/>
      </w:pPr>
      <w:r w:rsidRPr="0098629B">
        <w:t xml:space="preserve">Les projections de trafics sont réalisées à partir du modèle Modev du Commissariat général au développement durable. Modev modélise l’évolution des trafics voyageurs et marchandises en fonction de variables de démographie et croissance économique (PIB, consommation finale des ménages, valeurs ajoutées sectorielles), d’évolution des infrastructures et services de transport et de prix des différents modes de transports. Modev modélise l’évolution de la demande globale de transport (voyageurs et marchandises) ainsi que l’évolution de la répartition modale entre les différents modes de transport et les trafics sur réseau. </w:t>
      </w:r>
    </w:p>
    <w:p w14:paraId="367CCF26" w14:textId="77777777" w:rsidR="002F4FA6" w:rsidRPr="0098629B" w:rsidRDefault="002F4FA6" w:rsidP="002F4FA6">
      <w:pPr>
        <w:spacing w:before="240" w:after="240"/>
      </w:pPr>
      <w:r w:rsidRPr="0098629B">
        <w:t xml:space="preserve">La modélisation des trafics est complétée par des modèles de parcs automobiles qui intègrent notamment une modélisation de la diffusion des véhicules électriques et de l’évolution de la répartition des motorisations gazole/essence, en fonction d’hypothèses sur l’évolution du coût des véhicules et des batteries et de l’évolution des consommations unitaires des différents types de véhicules. </w:t>
      </w:r>
    </w:p>
    <w:p w14:paraId="6D23B1AE" w14:textId="77777777" w:rsidR="002F4FA6" w:rsidRPr="0098629B" w:rsidRDefault="002F4FA6" w:rsidP="002F4FA6">
      <w:pPr>
        <w:pStyle w:val="titreencadre"/>
        <w:spacing w:before="120" w:after="60" w:line="240" w:lineRule="auto"/>
      </w:pPr>
      <w:r w:rsidRPr="0098629B">
        <w:t xml:space="preserve">La modélisation du secteur bâtiment </w:t>
      </w:r>
    </w:p>
    <w:p w14:paraId="0D6447FD" w14:textId="77777777" w:rsidR="002F4FA6" w:rsidRPr="0098629B" w:rsidRDefault="002F4FA6" w:rsidP="002F4FA6">
      <w:pPr>
        <w:spacing w:before="240" w:after="240"/>
      </w:pPr>
      <w:r w:rsidRPr="0098629B">
        <w:t xml:space="preserve">Le secteur résidentiel est modélisé avec le modèle Menfis opéré par le Conseil Supérieur Technique du Bâtiment (CSTB). Le modèle Menfis modélise l’évolution de la performance énergétique du stock de bâtiments résidentiels par pas de temps annuel de 2008 à 2050. Les dynamiques de performance énergétique sont obtenues par rénovation, destruction de bâtiments, et constructions nouvelles. Le processus de rénovation constitue la partie centrale de Menfis. Avec des calculs technico-économiques, Menfis détermine annuellement quelles parties du bâtiment peuvent être rénovées et à quel niveau de performance énergétique. En modélisant l’effet rebond il prévoit l’évolution de la consommation énergétique et des émissions de gaz à effet de serre. </w:t>
      </w:r>
    </w:p>
    <w:p w14:paraId="5B2A7E6A" w14:textId="77777777" w:rsidR="002F4FA6" w:rsidRPr="0098629B" w:rsidRDefault="002F4FA6" w:rsidP="002F4FA6">
      <w:pPr>
        <w:spacing w:before="240" w:after="240"/>
      </w:pPr>
      <w:r w:rsidRPr="0098629B">
        <w:t xml:space="preserve">Le secteur tertiaire a été modélisé par le CGDD à l’aide de l’outil d’Énergies Demain Enerter® Tertiaire dédié à l’évaluation des consommations énergétiques des bâtiments tertiaires et à l’estimation d’impact de gestes de réhabilitation sur ce parc. </w:t>
      </w:r>
    </w:p>
    <w:p w14:paraId="0840899E" w14:textId="77777777" w:rsidR="002F4FA6" w:rsidRPr="0098629B" w:rsidRDefault="002F4FA6" w:rsidP="002F4FA6">
      <w:pPr>
        <w:pStyle w:val="titreencadre"/>
        <w:spacing w:before="120" w:after="60" w:line="240" w:lineRule="auto"/>
      </w:pPr>
      <w:r w:rsidRPr="0098629B">
        <w:t xml:space="preserve">La modélisation du secteur de l’agriculture et de la forêt </w:t>
      </w:r>
    </w:p>
    <w:p w14:paraId="2EEC3576" w14:textId="77777777" w:rsidR="002F4FA6" w:rsidRPr="0098629B" w:rsidRDefault="002F4FA6" w:rsidP="002F4FA6">
      <w:pPr>
        <w:spacing w:before="240" w:after="240"/>
      </w:pPr>
      <w:r w:rsidRPr="0098629B">
        <w:t xml:space="preserve">Le secteur de l’agriculture et de la forêt a été modélisé par le Citepa à l’aide du modèle ClimAgri® initialement développé en 2009 par Solagro et Bio Intelligence Service pour le compte de l’ADEME. ClimAgri modélise les consommations énergétiques et les gaz à effet de serre du secteur agricole à partir d’hypothèses sur les caractéristiques des productions végétales (description des productions, des intrants, des pratiques et itinéraires techniques, des rendements) et des bioconversions c'est-à-dire les transformations des fourrages et concentrés en production d’oeufs, de lait et de viande, en décrivant les cheptels, les intrants et les pratiques d’élevage. </w:t>
      </w:r>
    </w:p>
    <w:p w14:paraId="36CBB926" w14:textId="77777777" w:rsidR="002F4FA6" w:rsidRPr="0098629B" w:rsidRDefault="002F4FA6" w:rsidP="002F4FA6">
      <w:pPr>
        <w:pStyle w:val="titreencadre"/>
        <w:spacing w:before="120" w:after="60" w:line="240" w:lineRule="auto"/>
      </w:pPr>
      <w:r w:rsidRPr="0098629B">
        <w:t xml:space="preserve">La modélisation du secteur industriel </w:t>
      </w:r>
    </w:p>
    <w:p w14:paraId="408AB302" w14:textId="77777777" w:rsidR="002F4FA6" w:rsidRPr="0098629B" w:rsidRDefault="002F4FA6" w:rsidP="002F4FA6">
      <w:pPr>
        <w:spacing w:before="240" w:after="240"/>
      </w:pPr>
      <w:r w:rsidRPr="0098629B">
        <w:t>Les évolutions des tonnages, de performances énergétiques, des taux de recyclage et de mix élaborées lors des précédents scénarios ont été actualisées dans le cadre d’un groupe d’experts en prenant en compte les évolutions récentes du secteur. Les consommations énergétiques associées ont été calculées à l’aide de l’outil GEStime.</w:t>
      </w:r>
    </w:p>
    <w:p w14:paraId="24022327" w14:textId="77777777" w:rsidR="002F4FA6" w:rsidRPr="0098629B" w:rsidRDefault="002F4FA6" w:rsidP="002F4FA6">
      <w:pPr>
        <w:pStyle w:val="titreencadre"/>
        <w:spacing w:before="120" w:after="60" w:line="240" w:lineRule="auto"/>
      </w:pPr>
      <w:r w:rsidRPr="0098629B">
        <w:t xml:space="preserve">La modélisation des gaz fluorés </w:t>
      </w:r>
    </w:p>
    <w:p w14:paraId="010B5754" w14:textId="77777777" w:rsidR="002F4FA6" w:rsidRPr="0098629B" w:rsidRDefault="002F4FA6" w:rsidP="002F4FA6">
      <w:pPr>
        <w:spacing w:before="240" w:after="240"/>
      </w:pPr>
      <w:r w:rsidRPr="0098629B">
        <w:t xml:space="preserve">Pour le secteur des gaz fluorés, l’évaluation des émissions de HFC a été réalisée à l’aide du logiciel RIEP développé par le Centre énergétique et procédés de MINES ParisTech. Dans le logiciel RIEP, les équipements contenant des gaz fluorés sont regroupés dans huit domaines d’application : le froid domestique, la réfrigération commerciale, le transport frigorifique, l’industrie, la climatisation à air, les groupes d’eau glacée, la climatisation embarquée (incluant la climatisation automobile) et les pompes à chaleur. Chaque base décrit, pour 41 sous-secteurs d’équipements, les marchés et productions nationales d’équipements, les caractéristiques techniques des équipements (liées à la charge, la puissance installée, la durée de vie, etc.) ainsi que les niveaux d’émissions et d’efficacité de récupération des filières de maintenance et de fin de vie. Les données marchés et productions sont issues de sources statistiques disponibles pour la métropole et référencées dans les études d’Inventaires Français mises à jour chaque année. Les autres hypothèses sont issues de résultats d’enquêtes de terrain, des communications de constructeurs d’équipements, des résultats de mesures expérimentales et des évaluations d’experts. </w:t>
      </w:r>
    </w:p>
    <w:p w14:paraId="2B21E1EC" w14:textId="77777777" w:rsidR="002F4FA6" w:rsidRPr="0098629B" w:rsidRDefault="002F4FA6" w:rsidP="002F4FA6">
      <w:pPr>
        <w:pStyle w:val="Titre4niveau4"/>
        <w:spacing w:before="240"/>
      </w:pPr>
      <w:r w:rsidRPr="0098629B">
        <w:t xml:space="preserve">La modélisation des scénarios énergétiques </w:t>
      </w:r>
    </w:p>
    <w:p w14:paraId="4DE4DB40" w14:textId="77777777" w:rsidR="002F4FA6" w:rsidRPr="0098629B" w:rsidRDefault="002F4FA6" w:rsidP="002F4FA6">
      <w:pPr>
        <w:spacing w:before="240" w:after="240"/>
      </w:pPr>
      <w:r w:rsidRPr="0098629B">
        <w:t xml:space="preserve">L’outil GEStime, développé en interne à la DGEC, a été utilisé pour agréger les consommations d’énergie, et modéliser les évolutions du secteur énergétique par pas de 5 ans. </w:t>
      </w:r>
    </w:p>
    <w:p w14:paraId="5FBBF449" w14:textId="77777777" w:rsidR="002F4FA6" w:rsidRPr="0098629B" w:rsidRDefault="002F4FA6" w:rsidP="002F4FA6">
      <w:pPr>
        <w:pStyle w:val="Titre4niveau4"/>
        <w:spacing w:before="240"/>
      </w:pPr>
      <w:r w:rsidRPr="0098629B">
        <w:t xml:space="preserve">La modélisation des émissions de gaz à effet de serre </w:t>
      </w:r>
    </w:p>
    <w:p w14:paraId="4897885C" w14:textId="77777777" w:rsidR="002F4FA6" w:rsidRPr="0098629B" w:rsidRDefault="002F4FA6" w:rsidP="002F4FA6">
      <w:pPr>
        <w:spacing w:before="240" w:after="240"/>
      </w:pPr>
      <w:r w:rsidRPr="0098629B">
        <w:t xml:space="preserve">À partir des scénarios d’activités décrits ci-dessus, le Citepa a élaboré les scénarios de projection d’émissions à l’horizon 2050. Les projections d’émissions sont cohérentes avec l’inventaire national d’émissions de gaz à effet de serre soumis à la CCNUCC. Les méthodes appliquées pour convertir les données d’activité en émissions sont donc conformes au rapport d’inventaire. </w:t>
      </w:r>
    </w:p>
    <w:p w14:paraId="78570437" w14:textId="77777777" w:rsidR="002F4FA6" w:rsidRPr="0098629B" w:rsidRDefault="002F4FA6" w:rsidP="00B04A7C">
      <w:pPr>
        <w:pStyle w:val="Titre3Niveau3"/>
      </w:pPr>
      <w:bookmarkStart w:id="184" w:name="_Toc121215538"/>
      <w:bookmarkStart w:id="185" w:name="_Toc122694265"/>
      <w:bookmarkStart w:id="186" w:name="_Toc138344622"/>
      <w:r w:rsidRPr="0098629B">
        <w:t>Hypothèses du scénario de référence</w:t>
      </w:r>
      <w:bookmarkEnd w:id="184"/>
      <w:bookmarkEnd w:id="185"/>
      <w:bookmarkEnd w:id="186"/>
      <w:r w:rsidRPr="0098629B">
        <w:t xml:space="preserve"> </w:t>
      </w:r>
    </w:p>
    <w:p w14:paraId="7DD074D1" w14:textId="4719655F" w:rsidR="006D1AF1" w:rsidRPr="00364545" w:rsidRDefault="002F4FA6" w:rsidP="006D1AF1">
      <w:pPr>
        <w:spacing w:before="240" w:after="240"/>
      </w:pPr>
      <w:r w:rsidRPr="0098629B">
        <w:t>Le cadrage économique utilisé pour l’élaboration des scénarios est le suivant</w:t>
      </w:r>
      <w:r w:rsidR="006D1AF1">
        <w:t>. Il est important de noter que les hypothèses sont différentes entre l’AME2021 et l’AMS2018 puisqu’ils n’ont pas été réalisés simultanément. De plus, les données disponibles dans la table CTF 5 sont les données relatives à l’AME 2021.</w:t>
      </w:r>
      <w:r w:rsidRPr="0098629B">
        <w:t xml:space="preserve"> </w:t>
      </w:r>
    </w:p>
    <w:p w14:paraId="3D49A72B" w14:textId="77777777" w:rsidR="002F4FA6" w:rsidRPr="0098629B" w:rsidRDefault="002F4FA6" w:rsidP="002F4FA6">
      <w:pPr>
        <w:spacing w:before="240" w:after="240"/>
      </w:pPr>
    </w:p>
    <w:p w14:paraId="4D9EF9C2" w14:textId="77777777" w:rsidR="002F4FA6" w:rsidRPr="0098629B" w:rsidRDefault="002F4FA6" w:rsidP="002F4FA6">
      <w:pPr>
        <w:pStyle w:val="Titre4niveau4"/>
        <w:spacing w:before="240"/>
      </w:pPr>
      <w:r w:rsidRPr="0098629B">
        <w:t xml:space="preserve">Hypothèses sur l’évolution des prix des énergies </w:t>
      </w:r>
    </w:p>
    <w:p w14:paraId="66E058D9" w14:textId="77777777" w:rsidR="002F4FA6" w:rsidRPr="0098629B" w:rsidRDefault="002F4FA6" w:rsidP="002F4FA6">
      <w:pPr>
        <w:spacing w:before="240" w:after="240"/>
      </w:pPr>
      <w:r w:rsidRPr="0098629B">
        <w:t xml:space="preserve">Les hypothèses retenues pour le prix des énergies fossiles proviennent du cadrage économique proposé par la Commission européenne à l’ensemble des pays de l’Union. </w:t>
      </w:r>
    </w:p>
    <w:tbl>
      <w:tblPr>
        <w:tblStyle w:val="TableGrid0"/>
        <w:tblW w:w="9941" w:type="dxa"/>
        <w:tblInd w:w="3" w:type="dxa"/>
        <w:tblCellMar>
          <w:top w:w="131" w:type="dxa"/>
          <w:left w:w="28" w:type="dxa"/>
          <w:right w:w="115" w:type="dxa"/>
        </w:tblCellMar>
        <w:tblLook w:val="04A0" w:firstRow="1" w:lastRow="0" w:firstColumn="1" w:lastColumn="0" w:noHBand="0" w:noVBand="1"/>
      </w:tblPr>
      <w:tblGrid>
        <w:gridCol w:w="3791"/>
        <w:gridCol w:w="1046"/>
        <w:gridCol w:w="1047"/>
        <w:gridCol w:w="1047"/>
        <w:gridCol w:w="1048"/>
        <w:gridCol w:w="981"/>
        <w:gridCol w:w="981"/>
      </w:tblGrid>
      <w:tr w:rsidR="002F4FA6" w:rsidRPr="0098629B" w14:paraId="566BE136" w14:textId="77777777" w:rsidTr="00635A2E">
        <w:trPr>
          <w:trHeight w:val="389"/>
        </w:trPr>
        <w:tc>
          <w:tcPr>
            <w:tcW w:w="3791" w:type="dxa"/>
            <w:tcBorders>
              <w:top w:val="single" w:sz="2" w:space="0" w:color="000000"/>
              <w:left w:val="single" w:sz="2" w:space="0" w:color="000000"/>
              <w:bottom w:val="single" w:sz="2" w:space="0" w:color="000000"/>
              <w:right w:val="single" w:sz="2" w:space="0" w:color="000000"/>
            </w:tcBorders>
            <w:shd w:val="clear" w:color="auto" w:fill="6D2A78"/>
          </w:tcPr>
          <w:p w14:paraId="47BD60B6" w14:textId="77777777" w:rsidR="002F4FA6" w:rsidRPr="0098629B" w:rsidRDefault="002F4FA6" w:rsidP="00635A2E">
            <w:pPr>
              <w:spacing w:line="259" w:lineRule="auto"/>
              <w:ind w:left="136"/>
              <w:jc w:val="center"/>
            </w:pPr>
            <w:r w:rsidRPr="0098629B">
              <w:t>AME 2021</w:t>
            </w:r>
          </w:p>
        </w:tc>
        <w:tc>
          <w:tcPr>
            <w:tcW w:w="1046" w:type="dxa"/>
            <w:tcBorders>
              <w:top w:val="single" w:sz="2" w:space="0" w:color="000000"/>
              <w:left w:val="single" w:sz="2" w:space="0" w:color="000000"/>
              <w:bottom w:val="single" w:sz="2" w:space="0" w:color="000000"/>
              <w:right w:val="single" w:sz="2" w:space="0" w:color="000000"/>
            </w:tcBorders>
            <w:shd w:val="clear" w:color="auto" w:fill="6D2A78"/>
          </w:tcPr>
          <w:p w14:paraId="473404D4" w14:textId="77777777" w:rsidR="002F4FA6" w:rsidRPr="0098629B" w:rsidRDefault="002F4FA6" w:rsidP="00635A2E">
            <w:pPr>
              <w:spacing w:line="259" w:lineRule="auto"/>
              <w:ind w:left="88"/>
              <w:jc w:val="center"/>
            </w:pPr>
            <w:r w:rsidRPr="0098629B">
              <w:rPr>
                <w:b/>
                <w:color w:val="FFFFFF"/>
                <w:sz w:val="18"/>
              </w:rPr>
              <w:t xml:space="preserve">2020 </w:t>
            </w:r>
          </w:p>
        </w:tc>
        <w:tc>
          <w:tcPr>
            <w:tcW w:w="1047" w:type="dxa"/>
            <w:tcBorders>
              <w:top w:val="single" w:sz="2" w:space="0" w:color="000000"/>
              <w:left w:val="single" w:sz="2" w:space="0" w:color="000000"/>
              <w:bottom w:val="single" w:sz="2" w:space="0" w:color="000000"/>
              <w:right w:val="single" w:sz="2" w:space="0" w:color="000000"/>
            </w:tcBorders>
            <w:shd w:val="clear" w:color="auto" w:fill="6D2A78"/>
          </w:tcPr>
          <w:p w14:paraId="31AA0345" w14:textId="77777777" w:rsidR="002F4FA6" w:rsidRPr="0098629B" w:rsidRDefault="002F4FA6" w:rsidP="00635A2E">
            <w:pPr>
              <w:spacing w:line="259" w:lineRule="auto"/>
              <w:ind w:left="86"/>
              <w:jc w:val="center"/>
            </w:pPr>
            <w:r w:rsidRPr="0098629B">
              <w:rPr>
                <w:b/>
                <w:color w:val="FFFFFF"/>
                <w:sz w:val="18"/>
              </w:rPr>
              <w:t xml:space="preserve">2025 </w:t>
            </w:r>
          </w:p>
        </w:tc>
        <w:tc>
          <w:tcPr>
            <w:tcW w:w="1047" w:type="dxa"/>
            <w:tcBorders>
              <w:top w:val="single" w:sz="2" w:space="0" w:color="000000"/>
              <w:left w:val="single" w:sz="2" w:space="0" w:color="000000"/>
              <w:bottom w:val="single" w:sz="2" w:space="0" w:color="000000"/>
              <w:right w:val="single" w:sz="2" w:space="0" w:color="000000"/>
            </w:tcBorders>
            <w:shd w:val="clear" w:color="auto" w:fill="6D2A78"/>
          </w:tcPr>
          <w:p w14:paraId="624C4821" w14:textId="77777777" w:rsidR="002F4FA6" w:rsidRPr="0098629B" w:rsidRDefault="002F4FA6" w:rsidP="00635A2E">
            <w:pPr>
              <w:spacing w:line="259" w:lineRule="auto"/>
              <w:ind w:left="87"/>
              <w:jc w:val="center"/>
            </w:pPr>
            <w:r w:rsidRPr="0098629B">
              <w:rPr>
                <w:b/>
                <w:color w:val="FFFFFF"/>
                <w:sz w:val="18"/>
              </w:rPr>
              <w:t xml:space="preserve">2030 </w:t>
            </w:r>
          </w:p>
        </w:tc>
        <w:tc>
          <w:tcPr>
            <w:tcW w:w="1048" w:type="dxa"/>
            <w:tcBorders>
              <w:top w:val="single" w:sz="2" w:space="0" w:color="000000"/>
              <w:left w:val="single" w:sz="2" w:space="0" w:color="000000"/>
              <w:bottom w:val="single" w:sz="2" w:space="0" w:color="000000"/>
              <w:right w:val="single" w:sz="2" w:space="0" w:color="000000"/>
            </w:tcBorders>
            <w:shd w:val="clear" w:color="auto" w:fill="6D2A78"/>
          </w:tcPr>
          <w:p w14:paraId="23780091" w14:textId="77777777" w:rsidR="002F4FA6" w:rsidRPr="0098629B" w:rsidRDefault="002F4FA6" w:rsidP="00635A2E">
            <w:pPr>
              <w:spacing w:line="259" w:lineRule="auto"/>
              <w:ind w:left="86"/>
              <w:jc w:val="center"/>
            </w:pPr>
            <w:r w:rsidRPr="0098629B">
              <w:rPr>
                <w:b/>
                <w:color w:val="FFFFFF"/>
                <w:sz w:val="18"/>
              </w:rPr>
              <w:t xml:space="preserve">2035 </w:t>
            </w:r>
          </w:p>
        </w:tc>
        <w:tc>
          <w:tcPr>
            <w:tcW w:w="981" w:type="dxa"/>
            <w:tcBorders>
              <w:top w:val="single" w:sz="2" w:space="0" w:color="000000"/>
              <w:left w:val="single" w:sz="2" w:space="0" w:color="000000"/>
              <w:bottom w:val="single" w:sz="2" w:space="0" w:color="000000"/>
              <w:right w:val="single" w:sz="2" w:space="0" w:color="000000"/>
            </w:tcBorders>
            <w:shd w:val="clear" w:color="auto" w:fill="6D2A78"/>
          </w:tcPr>
          <w:p w14:paraId="4DBA87B4" w14:textId="77777777" w:rsidR="002F4FA6" w:rsidRPr="0098629B" w:rsidRDefault="002F4FA6" w:rsidP="00635A2E">
            <w:pPr>
              <w:spacing w:line="259" w:lineRule="auto"/>
              <w:ind w:left="86"/>
              <w:jc w:val="center"/>
              <w:rPr>
                <w:b/>
                <w:color w:val="FFFFFF"/>
                <w:sz w:val="18"/>
              </w:rPr>
            </w:pPr>
            <w:r w:rsidRPr="0098629B">
              <w:rPr>
                <w:b/>
                <w:color w:val="FFFFFF"/>
                <w:sz w:val="18"/>
              </w:rPr>
              <w:t>2040</w:t>
            </w:r>
          </w:p>
        </w:tc>
        <w:tc>
          <w:tcPr>
            <w:tcW w:w="981" w:type="dxa"/>
            <w:tcBorders>
              <w:top w:val="single" w:sz="2" w:space="0" w:color="000000"/>
              <w:left w:val="single" w:sz="2" w:space="0" w:color="000000"/>
              <w:bottom w:val="single" w:sz="2" w:space="0" w:color="000000"/>
              <w:right w:val="single" w:sz="2" w:space="0" w:color="000000"/>
            </w:tcBorders>
            <w:shd w:val="clear" w:color="auto" w:fill="6D2A78"/>
          </w:tcPr>
          <w:p w14:paraId="07F4D3BE" w14:textId="77777777" w:rsidR="002F4FA6" w:rsidRPr="0098629B" w:rsidRDefault="002F4FA6" w:rsidP="00635A2E">
            <w:pPr>
              <w:spacing w:line="259" w:lineRule="auto"/>
              <w:ind w:left="86"/>
              <w:jc w:val="center"/>
              <w:rPr>
                <w:b/>
                <w:color w:val="FFFFFF"/>
                <w:sz w:val="18"/>
              </w:rPr>
            </w:pPr>
            <w:r w:rsidRPr="0098629B">
              <w:rPr>
                <w:b/>
                <w:color w:val="FFFFFF"/>
                <w:sz w:val="18"/>
              </w:rPr>
              <w:t>2050</w:t>
            </w:r>
          </w:p>
        </w:tc>
      </w:tr>
      <w:tr w:rsidR="002F4FA6" w:rsidRPr="0098629B" w14:paraId="2C6A9E64" w14:textId="77777777" w:rsidTr="00635A2E">
        <w:trPr>
          <w:trHeight w:val="407"/>
        </w:trPr>
        <w:tc>
          <w:tcPr>
            <w:tcW w:w="3791" w:type="dxa"/>
            <w:tcBorders>
              <w:top w:val="single" w:sz="2" w:space="0" w:color="000000"/>
              <w:left w:val="single" w:sz="2" w:space="0" w:color="000000"/>
              <w:bottom w:val="single" w:sz="2" w:space="0" w:color="000000"/>
              <w:right w:val="single" w:sz="2" w:space="0" w:color="000000"/>
            </w:tcBorders>
          </w:tcPr>
          <w:p w14:paraId="03ABAF82" w14:textId="77777777" w:rsidR="002F4FA6" w:rsidRPr="0098629B" w:rsidRDefault="002F4FA6" w:rsidP="00635A2E">
            <w:pPr>
              <w:spacing w:line="259" w:lineRule="auto"/>
            </w:pPr>
            <w:r w:rsidRPr="0098629B">
              <w:rPr>
                <w:sz w:val="18"/>
              </w:rPr>
              <w:t xml:space="preserve">Pétrole (Brent crude oil) </w:t>
            </w:r>
          </w:p>
        </w:tc>
        <w:tc>
          <w:tcPr>
            <w:tcW w:w="1046" w:type="dxa"/>
            <w:tcBorders>
              <w:top w:val="single" w:sz="2" w:space="0" w:color="000000"/>
              <w:left w:val="single" w:sz="2" w:space="0" w:color="000000"/>
              <w:bottom w:val="single" w:sz="2" w:space="0" w:color="000000"/>
              <w:right w:val="single" w:sz="2" w:space="0" w:color="000000"/>
            </w:tcBorders>
          </w:tcPr>
          <w:p w14:paraId="6C78CE5D" w14:textId="77777777" w:rsidR="002F4FA6" w:rsidRPr="0098629B" w:rsidRDefault="002F4FA6" w:rsidP="00635A2E">
            <w:pPr>
              <w:spacing w:line="259" w:lineRule="auto"/>
              <w:ind w:left="91"/>
              <w:jc w:val="center"/>
            </w:pPr>
            <w:r w:rsidRPr="0098629B">
              <w:t>38</w:t>
            </w:r>
          </w:p>
        </w:tc>
        <w:tc>
          <w:tcPr>
            <w:tcW w:w="1047" w:type="dxa"/>
            <w:tcBorders>
              <w:top w:val="single" w:sz="2" w:space="0" w:color="000000"/>
              <w:left w:val="single" w:sz="2" w:space="0" w:color="000000"/>
              <w:bottom w:val="single" w:sz="2" w:space="0" w:color="000000"/>
              <w:right w:val="single" w:sz="2" w:space="0" w:color="000000"/>
            </w:tcBorders>
          </w:tcPr>
          <w:p w14:paraId="7191B234" w14:textId="77777777" w:rsidR="002F4FA6" w:rsidRPr="0098629B" w:rsidRDefault="002F4FA6" w:rsidP="00635A2E">
            <w:pPr>
              <w:spacing w:line="259" w:lineRule="auto"/>
              <w:ind w:left="88"/>
              <w:jc w:val="center"/>
            </w:pPr>
            <w:r w:rsidRPr="0098629B">
              <w:t>67,4</w:t>
            </w:r>
          </w:p>
        </w:tc>
        <w:tc>
          <w:tcPr>
            <w:tcW w:w="1047" w:type="dxa"/>
            <w:tcBorders>
              <w:top w:val="single" w:sz="2" w:space="0" w:color="000000"/>
              <w:left w:val="single" w:sz="2" w:space="0" w:color="000000"/>
              <w:bottom w:val="single" w:sz="2" w:space="0" w:color="000000"/>
              <w:right w:val="single" w:sz="2" w:space="0" w:color="000000"/>
            </w:tcBorders>
          </w:tcPr>
          <w:p w14:paraId="7D6E6ECC" w14:textId="77777777" w:rsidR="002F4FA6" w:rsidRPr="0098629B" w:rsidRDefault="002F4FA6" w:rsidP="00635A2E">
            <w:pPr>
              <w:spacing w:line="259" w:lineRule="auto"/>
              <w:ind w:left="90"/>
              <w:jc w:val="center"/>
            </w:pPr>
            <w:r w:rsidRPr="0098629B">
              <w:t>80</w:t>
            </w:r>
          </w:p>
        </w:tc>
        <w:tc>
          <w:tcPr>
            <w:tcW w:w="1048" w:type="dxa"/>
            <w:tcBorders>
              <w:top w:val="single" w:sz="2" w:space="0" w:color="000000"/>
              <w:left w:val="single" w:sz="2" w:space="0" w:color="000000"/>
              <w:bottom w:val="single" w:sz="2" w:space="0" w:color="000000"/>
              <w:right w:val="single" w:sz="2" w:space="0" w:color="000000"/>
            </w:tcBorders>
          </w:tcPr>
          <w:p w14:paraId="109D7655" w14:textId="77777777" w:rsidR="002F4FA6" w:rsidRPr="0098629B" w:rsidRDefault="002F4FA6" w:rsidP="00635A2E">
            <w:pPr>
              <w:spacing w:line="259" w:lineRule="auto"/>
              <w:ind w:left="89"/>
              <w:jc w:val="center"/>
            </w:pPr>
            <w:r w:rsidRPr="0098629B">
              <w:t>86,4</w:t>
            </w:r>
          </w:p>
        </w:tc>
        <w:tc>
          <w:tcPr>
            <w:tcW w:w="981" w:type="dxa"/>
            <w:tcBorders>
              <w:top w:val="single" w:sz="2" w:space="0" w:color="000000"/>
              <w:left w:val="single" w:sz="2" w:space="0" w:color="000000"/>
              <w:bottom w:val="single" w:sz="2" w:space="0" w:color="000000"/>
              <w:right w:val="single" w:sz="2" w:space="0" w:color="000000"/>
            </w:tcBorders>
          </w:tcPr>
          <w:p w14:paraId="03D155DA" w14:textId="77777777" w:rsidR="002F4FA6" w:rsidRPr="0098629B" w:rsidRDefault="002F4FA6" w:rsidP="00635A2E">
            <w:pPr>
              <w:spacing w:line="259" w:lineRule="auto"/>
              <w:ind w:left="89"/>
              <w:jc w:val="center"/>
              <w:rPr>
                <w:sz w:val="18"/>
              </w:rPr>
            </w:pPr>
            <w:r w:rsidRPr="0098629B">
              <w:rPr>
                <w:sz w:val="18"/>
              </w:rPr>
              <w:t>92,8</w:t>
            </w:r>
          </w:p>
        </w:tc>
        <w:tc>
          <w:tcPr>
            <w:tcW w:w="981" w:type="dxa"/>
            <w:tcBorders>
              <w:top w:val="single" w:sz="2" w:space="0" w:color="000000"/>
              <w:left w:val="single" w:sz="2" w:space="0" w:color="000000"/>
              <w:bottom w:val="single" w:sz="2" w:space="0" w:color="000000"/>
              <w:right w:val="single" w:sz="2" w:space="0" w:color="000000"/>
            </w:tcBorders>
          </w:tcPr>
          <w:p w14:paraId="10D73DCD" w14:textId="77777777" w:rsidR="002F4FA6" w:rsidRPr="0098629B" w:rsidRDefault="002F4FA6" w:rsidP="00635A2E">
            <w:pPr>
              <w:spacing w:line="259" w:lineRule="auto"/>
              <w:ind w:left="89"/>
              <w:jc w:val="center"/>
              <w:rPr>
                <w:sz w:val="18"/>
              </w:rPr>
            </w:pPr>
            <w:r w:rsidRPr="0098629B">
              <w:rPr>
                <w:sz w:val="18"/>
              </w:rPr>
              <w:t>113,2</w:t>
            </w:r>
          </w:p>
        </w:tc>
      </w:tr>
      <w:tr w:rsidR="002F4FA6" w:rsidRPr="0098629B" w14:paraId="7DF393C5" w14:textId="77777777" w:rsidTr="00635A2E">
        <w:trPr>
          <w:trHeight w:val="385"/>
        </w:trPr>
        <w:tc>
          <w:tcPr>
            <w:tcW w:w="3791" w:type="dxa"/>
            <w:tcBorders>
              <w:top w:val="single" w:sz="2" w:space="0" w:color="000000"/>
              <w:left w:val="single" w:sz="2" w:space="0" w:color="000000"/>
              <w:bottom w:val="single" w:sz="2" w:space="0" w:color="000000"/>
              <w:right w:val="single" w:sz="2" w:space="0" w:color="000000"/>
            </w:tcBorders>
            <w:shd w:val="clear" w:color="auto" w:fill="ECE6E2"/>
          </w:tcPr>
          <w:p w14:paraId="114B2FA8" w14:textId="77777777" w:rsidR="002F4FA6" w:rsidRPr="0098629B" w:rsidRDefault="002F4FA6" w:rsidP="00635A2E">
            <w:pPr>
              <w:spacing w:line="259" w:lineRule="auto"/>
            </w:pPr>
            <w:r w:rsidRPr="0098629B">
              <w:rPr>
                <w:sz w:val="18"/>
              </w:rPr>
              <w:t xml:space="preserve">Charbon (CIF ARA 6000) </w:t>
            </w:r>
          </w:p>
        </w:tc>
        <w:tc>
          <w:tcPr>
            <w:tcW w:w="1046" w:type="dxa"/>
            <w:tcBorders>
              <w:top w:val="single" w:sz="2" w:space="0" w:color="000000"/>
              <w:left w:val="single" w:sz="2" w:space="0" w:color="000000"/>
              <w:bottom w:val="single" w:sz="2" w:space="0" w:color="000000"/>
              <w:right w:val="single" w:sz="2" w:space="0" w:color="000000"/>
            </w:tcBorders>
            <w:shd w:val="clear" w:color="auto" w:fill="ECE6E2"/>
          </w:tcPr>
          <w:p w14:paraId="0C7004E5" w14:textId="77777777" w:rsidR="002F4FA6" w:rsidRPr="0098629B" w:rsidRDefault="002F4FA6" w:rsidP="00635A2E">
            <w:pPr>
              <w:spacing w:line="259" w:lineRule="auto"/>
              <w:ind w:left="90"/>
              <w:jc w:val="center"/>
            </w:pPr>
            <w:r w:rsidRPr="0098629B">
              <w:t>74,2</w:t>
            </w:r>
          </w:p>
        </w:tc>
        <w:tc>
          <w:tcPr>
            <w:tcW w:w="1047" w:type="dxa"/>
            <w:tcBorders>
              <w:top w:val="single" w:sz="2" w:space="0" w:color="000000"/>
              <w:left w:val="single" w:sz="2" w:space="0" w:color="000000"/>
              <w:bottom w:val="single" w:sz="2" w:space="0" w:color="000000"/>
              <w:right w:val="single" w:sz="2" w:space="0" w:color="000000"/>
            </w:tcBorders>
            <w:shd w:val="clear" w:color="auto" w:fill="ECE6E2"/>
          </w:tcPr>
          <w:p w14:paraId="407875E5" w14:textId="77777777" w:rsidR="002F4FA6" w:rsidRPr="0098629B" w:rsidRDefault="002F4FA6" w:rsidP="00635A2E">
            <w:pPr>
              <w:spacing w:line="259" w:lineRule="auto"/>
              <w:ind w:left="88"/>
              <w:jc w:val="center"/>
            </w:pPr>
            <w:r w:rsidRPr="0098629B">
              <w:t>111,7</w:t>
            </w:r>
          </w:p>
        </w:tc>
        <w:tc>
          <w:tcPr>
            <w:tcW w:w="1047" w:type="dxa"/>
            <w:tcBorders>
              <w:top w:val="single" w:sz="2" w:space="0" w:color="000000"/>
              <w:left w:val="single" w:sz="2" w:space="0" w:color="000000"/>
              <w:bottom w:val="single" w:sz="2" w:space="0" w:color="000000"/>
              <w:right w:val="single" w:sz="2" w:space="0" w:color="000000"/>
            </w:tcBorders>
            <w:shd w:val="clear" w:color="auto" w:fill="ECE6E2"/>
          </w:tcPr>
          <w:p w14:paraId="684FAE93" w14:textId="77777777" w:rsidR="002F4FA6" w:rsidRPr="0098629B" w:rsidRDefault="002F4FA6" w:rsidP="00635A2E">
            <w:pPr>
              <w:spacing w:line="259" w:lineRule="auto"/>
              <w:ind w:left="90"/>
              <w:jc w:val="center"/>
            </w:pPr>
            <w:r w:rsidRPr="0098629B">
              <w:t>121,9</w:t>
            </w:r>
          </w:p>
        </w:tc>
        <w:tc>
          <w:tcPr>
            <w:tcW w:w="1048" w:type="dxa"/>
            <w:tcBorders>
              <w:top w:val="single" w:sz="2" w:space="0" w:color="000000"/>
              <w:left w:val="single" w:sz="2" w:space="0" w:color="000000"/>
              <w:bottom w:val="single" w:sz="2" w:space="0" w:color="000000"/>
              <w:right w:val="single" w:sz="2" w:space="0" w:color="000000"/>
            </w:tcBorders>
            <w:shd w:val="clear" w:color="auto" w:fill="ECE6E2"/>
          </w:tcPr>
          <w:p w14:paraId="53E93C2E" w14:textId="77777777" w:rsidR="002F4FA6" w:rsidRPr="0098629B" w:rsidRDefault="002F4FA6" w:rsidP="00635A2E">
            <w:pPr>
              <w:spacing w:line="259" w:lineRule="auto"/>
              <w:ind w:left="89"/>
              <w:jc w:val="center"/>
            </w:pPr>
            <w:r w:rsidRPr="0098629B">
              <w:t>131,3</w:t>
            </w:r>
          </w:p>
        </w:tc>
        <w:tc>
          <w:tcPr>
            <w:tcW w:w="981" w:type="dxa"/>
            <w:tcBorders>
              <w:top w:val="single" w:sz="2" w:space="0" w:color="000000"/>
              <w:left w:val="single" w:sz="2" w:space="0" w:color="000000"/>
              <w:bottom w:val="single" w:sz="2" w:space="0" w:color="000000"/>
              <w:right w:val="single" w:sz="2" w:space="0" w:color="000000"/>
            </w:tcBorders>
            <w:shd w:val="clear" w:color="auto" w:fill="ECE6E2"/>
          </w:tcPr>
          <w:p w14:paraId="35B69770" w14:textId="77777777" w:rsidR="002F4FA6" w:rsidRPr="0098629B" w:rsidRDefault="002F4FA6" w:rsidP="00635A2E">
            <w:pPr>
              <w:spacing w:line="259" w:lineRule="auto"/>
              <w:ind w:left="89"/>
              <w:jc w:val="center"/>
              <w:rPr>
                <w:sz w:val="18"/>
              </w:rPr>
            </w:pPr>
            <w:r w:rsidRPr="0098629B">
              <w:rPr>
                <w:sz w:val="18"/>
              </w:rPr>
              <w:t>137,8</w:t>
            </w:r>
          </w:p>
        </w:tc>
        <w:tc>
          <w:tcPr>
            <w:tcW w:w="981" w:type="dxa"/>
            <w:tcBorders>
              <w:top w:val="single" w:sz="2" w:space="0" w:color="000000"/>
              <w:left w:val="single" w:sz="2" w:space="0" w:color="000000"/>
              <w:bottom w:val="single" w:sz="2" w:space="0" w:color="000000"/>
              <w:right w:val="single" w:sz="2" w:space="0" w:color="000000"/>
            </w:tcBorders>
            <w:shd w:val="clear" w:color="auto" w:fill="ECE6E2"/>
          </w:tcPr>
          <w:p w14:paraId="38DC7EA7" w14:textId="77777777" w:rsidR="002F4FA6" w:rsidRPr="0098629B" w:rsidRDefault="002F4FA6" w:rsidP="00635A2E">
            <w:pPr>
              <w:spacing w:line="259" w:lineRule="auto"/>
              <w:ind w:left="89"/>
              <w:jc w:val="center"/>
              <w:rPr>
                <w:sz w:val="18"/>
              </w:rPr>
            </w:pPr>
            <w:r w:rsidRPr="0098629B">
              <w:rPr>
                <w:sz w:val="18"/>
              </w:rPr>
              <w:t>147,3</w:t>
            </w:r>
          </w:p>
        </w:tc>
      </w:tr>
      <w:tr w:rsidR="002F4FA6" w:rsidRPr="0098629B" w14:paraId="0F3DC2BA" w14:textId="77777777" w:rsidTr="00635A2E">
        <w:trPr>
          <w:trHeight w:val="407"/>
        </w:trPr>
        <w:tc>
          <w:tcPr>
            <w:tcW w:w="3791" w:type="dxa"/>
            <w:tcBorders>
              <w:top w:val="single" w:sz="2" w:space="0" w:color="000000"/>
              <w:left w:val="single" w:sz="2" w:space="0" w:color="000000"/>
              <w:bottom w:val="single" w:sz="2" w:space="0" w:color="000000"/>
              <w:right w:val="single" w:sz="2" w:space="0" w:color="000000"/>
            </w:tcBorders>
          </w:tcPr>
          <w:p w14:paraId="0478FB3C" w14:textId="77777777" w:rsidR="002F4FA6" w:rsidRPr="0098629B" w:rsidRDefault="002F4FA6" w:rsidP="00635A2E">
            <w:pPr>
              <w:spacing w:line="259" w:lineRule="auto"/>
            </w:pPr>
            <w:r w:rsidRPr="0098629B">
              <w:rPr>
                <w:sz w:val="18"/>
              </w:rPr>
              <w:t xml:space="preserve">Gaz (GCG average EU import) </w:t>
            </w:r>
          </w:p>
        </w:tc>
        <w:tc>
          <w:tcPr>
            <w:tcW w:w="1046" w:type="dxa"/>
            <w:tcBorders>
              <w:top w:val="single" w:sz="2" w:space="0" w:color="000000"/>
              <w:left w:val="single" w:sz="2" w:space="0" w:color="000000"/>
              <w:bottom w:val="single" w:sz="2" w:space="0" w:color="000000"/>
              <w:right w:val="single" w:sz="2" w:space="0" w:color="000000"/>
            </w:tcBorders>
          </w:tcPr>
          <w:p w14:paraId="304ADA48" w14:textId="77777777" w:rsidR="002F4FA6" w:rsidRPr="0098629B" w:rsidRDefault="002F4FA6" w:rsidP="00635A2E">
            <w:pPr>
              <w:spacing w:line="259" w:lineRule="auto"/>
              <w:ind w:left="90"/>
              <w:jc w:val="center"/>
            </w:pPr>
            <w:r w:rsidRPr="0098629B">
              <w:t>146,9</w:t>
            </w:r>
          </w:p>
        </w:tc>
        <w:tc>
          <w:tcPr>
            <w:tcW w:w="1047" w:type="dxa"/>
            <w:tcBorders>
              <w:top w:val="single" w:sz="2" w:space="0" w:color="000000"/>
              <w:left w:val="single" w:sz="2" w:space="0" w:color="000000"/>
              <w:bottom w:val="single" w:sz="2" w:space="0" w:color="000000"/>
              <w:right w:val="single" w:sz="2" w:space="0" w:color="000000"/>
            </w:tcBorders>
          </w:tcPr>
          <w:p w14:paraId="42A4B973" w14:textId="77777777" w:rsidR="002F4FA6" w:rsidRPr="0098629B" w:rsidRDefault="002F4FA6" w:rsidP="00635A2E">
            <w:pPr>
              <w:spacing w:line="259" w:lineRule="auto"/>
              <w:ind w:left="88"/>
              <w:jc w:val="center"/>
            </w:pPr>
            <w:r w:rsidRPr="0098629B">
              <w:t>238,2</w:t>
            </w:r>
          </w:p>
        </w:tc>
        <w:tc>
          <w:tcPr>
            <w:tcW w:w="1047" w:type="dxa"/>
            <w:tcBorders>
              <w:top w:val="single" w:sz="2" w:space="0" w:color="000000"/>
              <w:left w:val="single" w:sz="2" w:space="0" w:color="000000"/>
              <w:bottom w:val="single" w:sz="2" w:space="0" w:color="000000"/>
              <w:right w:val="single" w:sz="2" w:space="0" w:color="000000"/>
            </w:tcBorders>
          </w:tcPr>
          <w:p w14:paraId="446B3A95" w14:textId="77777777" w:rsidR="002F4FA6" w:rsidRPr="0098629B" w:rsidRDefault="002F4FA6" w:rsidP="00635A2E">
            <w:pPr>
              <w:spacing w:line="259" w:lineRule="auto"/>
              <w:ind w:left="90"/>
              <w:jc w:val="center"/>
            </w:pPr>
            <w:r w:rsidRPr="0098629B">
              <w:t>249,4</w:t>
            </w:r>
          </w:p>
        </w:tc>
        <w:tc>
          <w:tcPr>
            <w:tcW w:w="1048" w:type="dxa"/>
            <w:tcBorders>
              <w:top w:val="single" w:sz="2" w:space="0" w:color="000000"/>
              <w:left w:val="single" w:sz="2" w:space="0" w:color="000000"/>
              <w:bottom w:val="single" w:sz="2" w:space="0" w:color="000000"/>
              <w:right w:val="single" w:sz="2" w:space="0" w:color="000000"/>
            </w:tcBorders>
          </w:tcPr>
          <w:p w14:paraId="60B33CBF" w14:textId="77777777" w:rsidR="002F4FA6" w:rsidRPr="0098629B" w:rsidRDefault="002F4FA6" w:rsidP="00635A2E">
            <w:pPr>
              <w:spacing w:line="259" w:lineRule="auto"/>
              <w:ind w:left="89"/>
              <w:jc w:val="center"/>
            </w:pPr>
            <w:r w:rsidRPr="0098629B">
              <w:t>285,8</w:t>
            </w:r>
          </w:p>
        </w:tc>
        <w:tc>
          <w:tcPr>
            <w:tcW w:w="981" w:type="dxa"/>
            <w:tcBorders>
              <w:top w:val="single" w:sz="2" w:space="0" w:color="000000"/>
              <w:left w:val="single" w:sz="2" w:space="0" w:color="000000"/>
              <w:bottom w:val="single" w:sz="2" w:space="0" w:color="000000"/>
              <w:right w:val="single" w:sz="2" w:space="0" w:color="000000"/>
            </w:tcBorders>
          </w:tcPr>
          <w:p w14:paraId="572E4453" w14:textId="77777777" w:rsidR="002F4FA6" w:rsidRPr="0098629B" w:rsidRDefault="002F4FA6" w:rsidP="00635A2E">
            <w:pPr>
              <w:spacing w:line="259" w:lineRule="auto"/>
              <w:ind w:left="89"/>
              <w:jc w:val="center"/>
              <w:rPr>
                <w:sz w:val="18"/>
              </w:rPr>
            </w:pPr>
            <w:r w:rsidRPr="0098629B">
              <w:rPr>
                <w:sz w:val="18"/>
              </w:rPr>
              <w:t>341,4</w:t>
            </w:r>
          </w:p>
        </w:tc>
        <w:tc>
          <w:tcPr>
            <w:tcW w:w="981" w:type="dxa"/>
            <w:tcBorders>
              <w:top w:val="single" w:sz="2" w:space="0" w:color="000000"/>
              <w:left w:val="single" w:sz="2" w:space="0" w:color="000000"/>
              <w:bottom w:val="single" w:sz="2" w:space="0" w:color="000000"/>
              <w:right w:val="single" w:sz="2" w:space="0" w:color="000000"/>
            </w:tcBorders>
          </w:tcPr>
          <w:p w14:paraId="2500154C" w14:textId="77777777" w:rsidR="002F4FA6" w:rsidRPr="0098629B" w:rsidRDefault="002F4FA6" w:rsidP="00635A2E">
            <w:pPr>
              <w:spacing w:line="259" w:lineRule="auto"/>
              <w:ind w:left="89"/>
              <w:jc w:val="center"/>
              <w:rPr>
                <w:sz w:val="18"/>
              </w:rPr>
            </w:pPr>
            <w:r w:rsidRPr="0098629B">
              <w:rPr>
                <w:sz w:val="18"/>
              </w:rPr>
              <w:t>343,8</w:t>
            </w:r>
          </w:p>
        </w:tc>
      </w:tr>
    </w:tbl>
    <w:p w14:paraId="4F64234D" w14:textId="77777777" w:rsidR="002F4FA6" w:rsidRPr="0098629B" w:rsidRDefault="002F4FA6" w:rsidP="002F4FA6">
      <w:pPr>
        <w:spacing w:before="240" w:after="240"/>
      </w:pPr>
    </w:p>
    <w:tbl>
      <w:tblPr>
        <w:tblStyle w:val="TableGrid0"/>
        <w:tblW w:w="9917" w:type="dxa"/>
        <w:tblInd w:w="3" w:type="dxa"/>
        <w:tblCellMar>
          <w:top w:w="131" w:type="dxa"/>
          <w:left w:w="28" w:type="dxa"/>
          <w:right w:w="115" w:type="dxa"/>
        </w:tblCellMar>
        <w:tblLook w:val="04A0" w:firstRow="1" w:lastRow="0" w:firstColumn="1" w:lastColumn="0" w:noHBand="0" w:noVBand="1"/>
      </w:tblPr>
      <w:tblGrid>
        <w:gridCol w:w="4177"/>
        <w:gridCol w:w="1092"/>
        <w:gridCol w:w="1091"/>
        <w:gridCol w:w="1095"/>
        <w:gridCol w:w="1092"/>
        <w:gridCol w:w="1370"/>
      </w:tblGrid>
      <w:tr w:rsidR="002F4FA6" w:rsidRPr="0098629B" w14:paraId="47A7E1C1" w14:textId="77777777" w:rsidTr="00635A2E">
        <w:trPr>
          <w:trHeight w:val="389"/>
        </w:trPr>
        <w:tc>
          <w:tcPr>
            <w:tcW w:w="4177" w:type="dxa"/>
            <w:tcBorders>
              <w:top w:val="single" w:sz="2" w:space="0" w:color="000000"/>
              <w:left w:val="single" w:sz="2" w:space="0" w:color="000000"/>
              <w:bottom w:val="single" w:sz="2" w:space="0" w:color="000000"/>
              <w:right w:val="single" w:sz="2" w:space="0" w:color="000000"/>
            </w:tcBorders>
            <w:shd w:val="clear" w:color="auto" w:fill="6D2A78"/>
          </w:tcPr>
          <w:p w14:paraId="4FAB109F" w14:textId="77777777" w:rsidR="002F4FA6" w:rsidRPr="0098629B" w:rsidRDefault="002F4FA6" w:rsidP="00635A2E">
            <w:pPr>
              <w:spacing w:line="259" w:lineRule="auto"/>
              <w:ind w:left="136"/>
              <w:jc w:val="center"/>
            </w:pPr>
            <w:r w:rsidRPr="0098629B">
              <w:t>AMS 2018</w:t>
            </w:r>
          </w:p>
        </w:tc>
        <w:tc>
          <w:tcPr>
            <w:tcW w:w="1092" w:type="dxa"/>
            <w:tcBorders>
              <w:top w:val="single" w:sz="2" w:space="0" w:color="000000"/>
              <w:left w:val="single" w:sz="2" w:space="0" w:color="000000"/>
              <w:bottom w:val="single" w:sz="2" w:space="0" w:color="000000"/>
              <w:right w:val="single" w:sz="2" w:space="0" w:color="000000"/>
            </w:tcBorders>
            <w:shd w:val="clear" w:color="auto" w:fill="6D2A78"/>
          </w:tcPr>
          <w:p w14:paraId="70A980D2" w14:textId="77777777" w:rsidR="002F4FA6" w:rsidRPr="0098629B" w:rsidRDefault="002F4FA6" w:rsidP="00635A2E">
            <w:pPr>
              <w:spacing w:line="259" w:lineRule="auto"/>
              <w:ind w:left="87"/>
              <w:jc w:val="center"/>
            </w:pPr>
            <w:r w:rsidRPr="0098629B">
              <w:rPr>
                <w:b/>
                <w:color w:val="FFFFFF"/>
                <w:sz w:val="18"/>
              </w:rPr>
              <w:t xml:space="preserve">2015 </w:t>
            </w:r>
          </w:p>
        </w:tc>
        <w:tc>
          <w:tcPr>
            <w:tcW w:w="1091" w:type="dxa"/>
            <w:tcBorders>
              <w:top w:val="single" w:sz="2" w:space="0" w:color="000000"/>
              <w:left w:val="single" w:sz="2" w:space="0" w:color="000000"/>
              <w:bottom w:val="single" w:sz="2" w:space="0" w:color="000000"/>
              <w:right w:val="single" w:sz="2" w:space="0" w:color="000000"/>
            </w:tcBorders>
            <w:shd w:val="clear" w:color="auto" w:fill="6D2A78"/>
          </w:tcPr>
          <w:p w14:paraId="31BFE90F" w14:textId="77777777" w:rsidR="002F4FA6" w:rsidRPr="0098629B" w:rsidRDefault="002F4FA6" w:rsidP="00635A2E">
            <w:pPr>
              <w:spacing w:line="259" w:lineRule="auto"/>
              <w:ind w:left="88"/>
              <w:jc w:val="center"/>
            </w:pPr>
            <w:r w:rsidRPr="0098629B">
              <w:rPr>
                <w:b/>
                <w:color w:val="FFFFFF"/>
                <w:sz w:val="18"/>
              </w:rPr>
              <w:t xml:space="preserve">2020 </w:t>
            </w:r>
          </w:p>
        </w:tc>
        <w:tc>
          <w:tcPr>
            <w:tcW w:w="1095" w:type="dxa"/>
            <w:tcBorders>
              <w:top w:val="single" w:sz="2" w:space="0" w:color="000000"/>
              <w:left w:val="single" w:sz="2" w:space="0" w:color="000000"/>
              <w:bottom w:val="single" w:sz="2" w:space="0" w:color="000000"/>
              <w:right w:val="single" w:sz="2" w:space="0" w:color="000000"/>
            </w:tcBorders>
            <w:shd w:val="clear" w:color="auto" w:fill="6D2A78"/>
          </w:tcPr>
          <w:p w14:paraId="2A5CA62A" w14:textId="77777777" w:rsidR="002F4FA6" w:rsidRPr="0098629B" w:rsidRDefault="002F4FA6" w:rsidP="00635A2E">
            <w:pPr>
              <w:spacing w:line="259" w:lineRule="auto"/>
              <w:ind w:left="86"/>
              <w:jc w:val="center"/>
            </w:pPr>
            <w:r w:rsidRPr="0098629B">
              <w:rPr>
                <w:b/>
                <w:color w:val="FFFFFF"/>
                <w:sz w:val="18"/>
              </w:rPr>
              <w:t xml:space="preserve">2025 </w:t>
            </w:r>
          </w:p>
        </w:tc>
        <w:tc>
          <w:tcPr>
            <w:tcW w:w="1092" w:type="dxa"/>
            <w:tcBorders>
              <w:top w:val="single" w:sz="2" w:space="0" w:color="000000"/>
              <w:left w:val="single" w:sz="2" w:space="0" w:color="000000"/>
              <w:bottom w:val="single" w:sz="2" w:space="0" w:color="000000"/>
              <w:right w:val="single" w:sz="2" w:space="0" w:color="000000"/>
            </w:tcBorders>
            <w:shd w:val="clear" w:color="auto" w:fill="6D2A78"/>
          </w:tcPr>
          <w:p w14:paraId="3F5F5833" w14:textId="77777777" w:rsidR="002F4FA6" w:rsidRPr="0098629B" w:rsidRDefault="002F4FA6" w:rsidP="00635A2E">
            <w:pPr>
              <w:spacing w:line="259" w:lineRule="auto"/>
              <w:ind w:left="87"/>
              <w:jc w:val="center"/>
            </w:pPr>
            <w:r w:rsidRPr="0098629B">
              <w:rPr>
                <w:b/>
                <w:color w:val="FFFFFF"/>
                <w:sz w:val="18"/>
              </w:rPr>
              <w:t xml:space="preserve">2030 </w:t>
            </w:r>
          </w:p>
        </w:tc>
        <w:tc>
          <w:tcPr>
            <w:tcW w:w="1370" w:type="dxa"/>
            <w:tcBorders>
              <w:top w:val="single" w:sz="2" w:space="0" w:color="000000"/>
              <w:left w:val="single" w:sz="2" w:space="0" w:color="000000"/>
              <w:bottom w:val="single" w:sz="2" w:space="0" w:color="000000"/>
              <w:right w:val="single" w:sz="2" w:space="0" w:color="000000"/>
            </w:tcBorders>
            <w:shd w:val="clear" w:color="auto" w:fill="6D2A78"/>
          </w:tcPr>
          <w:p w14:paraId="47C7662F" w14:textId="77777777" w:rsidR="002F4FA6" w:rsidRPr="0098629B" w:rsidRDefault="002F4FA6" w:rsidP="00635A2E">
            <w:pPr>
              <w:spacing w:line="259" w:lineRule="auto"/>
              <w:ind w:left="86"/>
              <w:jc w:val="center"/>
            </w:pPr>
            <w:r w:rsidRPr="0098629B">
              <w:rPr>
                <w:b/>
                <w:color w:val="FFFFFF"/>
                <w:sz w:val="18"/>
              </w:rPr>
              <w:t xml:space="preserve">2035 </w:t>
            </w:r>
          </w:p>
        </w:tc>
      </w:tr>
      <w:tr w:rsidR="002F4FA6" w:rsidRPr="0098629B" w14:paraId="58A7A136" w14:textId="77777777" w:rsidTr="00635A2E">
        <w:trPr>
          <w:trHeight w:val="407"/>
        </w:trPr>
        <w:tc>
          <w:tcPr>
            <w:tcW w:w="4177" w:type="dxa"/>
            <w:tcBorders>
              <w:top w:val="single" w:sz="2" w:space="0" w:color="000000"/>
              <w:left w:val="single" w:sz="2" w:space="0" w:color="000000"/>
              <w:bottom w:val="single" w:sz="2" w:space="0" w:color="000000"/>
              <w:right w:val="single" w:sz="2" w:space="0" w:color="000000"/>
            </w:tcBorders>
          </w:tcPr>
          <w:p w14:paraId="0E8C8A4C" w14:textId="77777777" w:rsidR="002F4FA6" w:rsidRPr="0098629B" w:rsidRDefault="002F4FA6" w:rsidP="00635A2E">
            <w:pPr>
              <w:spacing w:line="259" w:lineRule="auto"/>
            </w:pPr>
            <w:r w:rsidRPr="0098629B">
              <w:rPr>
                <w:sz w:val="18"/>
              </w:rPr>
              <w:t xml:space="preserve">Pétrole (Brent crude oil) </w:t>
            </w:r>
          </w:p>
        </w:tc>
        <w:tc>
          <w:tcPr>
            <w:tcW w:w="1092" w:type="dxa"/>
            <w:tcBorders>
              <w:top w:val="single" w:sz="2" w:space="0" w:color="000000"/>
              <w:left w:val="single" w:sz="2" w:space="0" w:color="000000"/>
              <w:bottom w:val="single" w:sz="2" w:space="0" w:color="000000"/>
              <w:right w:val="single" w:sz="2" w:space="0" w:color="000000"/>
            </w:tcBorders>
          </w:tcPr>
          <w:p w14:paraId="40A24FA4" w14:textId="77777777" w:rsidR="002F4FA6" w:rsidRPr="0098629B" w:rsidRDefault="002F4FA6" w:rsidP="00635A2E">
            <w:pPr>
              <w:spacing w:line="259" w:lineRule="auto"/>
              <w:ind w:left="90"/>
              <w:jc w:val="center"/>
            </w:pPr>
            <w:r w:rsidRPr="0098629B">
              <w:rPr>
                <w:sz w:val="18"/>
              </w:rPr>
              <w:t xml:space="preserve">48,19 </w:t>
            </w:r>
          </w:p>
        </w:tc>
        <w:tc>
          <w:tcPr>
            <w:tcW w:w="1091" w:type="dxa"/>
            <w:tcBorders>
              <w:top w:val="single" w:sz="2" w:space="0" w:color="000000"/>
              <w:left w:val="single" w:sz="2" w:space="0" w:color="000000"/>
              <w:bottom w:val="single" w:sz="2" w:space="0" w:color="000000"/>
              <w:right w:val="single" w:sz="2" w:space="0" w:color="000000"/>
            </w:tcBorders>
          </w:tcPr>
          <w:p w14:paraId="2DD60BBD" w14:textId="77777777" w:rsidR="002F4FA6" w:rsidRPr="0098629B" w:rsidRDefault="002F4FA6" w:rsidP="00635A2E">
            <w:pPr>
              <w:spacing w:line="259" w:lineRule="auto"/>
              <w:ind w:left="91"/>
              <w:jc w:val="center"/>
            </w:pPr>
            <w:r w:rsidRPr="0098629B">
              <w:rPr>
                <w:sz w:val="18"/>
              </w:rPr>
              <w:t xml:space="preserve">75,01 </w:t>
            </w:r>
          </w:p>
        </w:tc>
        <w:tc>
          <w:tcPr>
            <w:tcW w:w="1095" w:type="dxa"/>
            <w:tcBorders>
              <w:top w:val="single" w:sz="2" w:space="0" w:color="000000"/>
              <w:left w:val="single" w:sz="2" w:space="0" w:color="000000"/>
              <w:bottom w:val="single" w:sz="2" w:space="0" w:color="000000"/>
              <w:right w:val="single" w:sz="2" w:space="0" w:color="000000"/>
            </w:tcBorders>
          </w:tcPr>
          <w:p w14:paraId="078D1E3E" w14:textId="77777777" w:rsidR="002F4FA6" w:rsidRPr="0098629B" w:rsidRDefault="002F4FA6" w:rsidP="00635A2E">
            <w:pPr>
              <w:spacing w:line="259" w:lineRule="auto"/>
              <w:ind w:left="88"/>
              <w:jc w:val="center"/>
            </w:pPr>
            <w:r w:rsidRPr="0098629B">
              <w:rPr>
                <w:sz w:val="18"/>
              </w:rPr>
              <w:t xml:space="preserve">85,15 </w:t>
            </w:r>
          </w:p>
        </w:tc>
        <w:tc>
          <w:tcPr>
            <w:tcW w:w="1092" w:type="dxa"/>
            <w:tcBorders>
              <w:top w:val="single" w:sz="2" w:space="0" w:color="000000"/>
              <w:left w:val="single" w:sz="2" w:space="0" w:color="000000"/>
              <w:bottom w:val="single" w:sz="2" w:space="0" w:color="000000"/>
              <w:right w:val="single" w:sz="2" w:space="0" w:color="000000"/>
            </w:tcBorders>
          </w:tcPr>
          <w:p w14:paraId="4BCDD610" w14:textId="77777777" w:rsidR="002F4FA6" w:rsidRPr="0098629B" w:rsidRDefault="002F4FA6" w:rsidP="00635A2E">
            <w:pPr>
              <w:spacing w:line="259" w:lineRule="auto"/>
              <w:ind w:left="90"/>
              <w:jc w:val="center"/>
            </w:pPr>
            <w:r w:rsidRPr="0098629B">
              <w:rPr>
                <w:sz w:val="18"/>
              </w:rPr>
              <w:t xml:space="preserve">93,8 </w:t>
            </w:r>
          </w:p>
        </w:tc>
        <w:tc>
          <w:tcPr>
            <w:tcW w:w="1370" w:type="dxa"/>
            <w:tcBorders>
              <w:top w:val="single" w:sz="2" w:space="0" w:color="000000"/>
              <w:left w:val="single" w:sz="2" w:space="0" w:color="000000"/>
              <w:bottom w:val="single" w:sz="2" w:space="0" w:color="000000"/>
              <w:right w:val="single" w:sz="2" w:space="0" w:color="000000"/>
            </w:tcBorders>
          </w:tcPr>
          <w:p w14:paraId="3299FDBA" w14:textId="77777777" w:rsidR="002F4FA6" w:rsidRPr="0098629B" w:rsidRDefault="002F4FA6" w:rsidP="00635A2E">
            <w:pPr>
              <w:spacing w:line="259" w:lineRule="auto"/>
              <w:ind w:left="89"/>
              <w:jc w:val="center"/>
            </w:pPr>
            <w:r w:rsidRPr="0098629B">
              <w:rPr>
                <w:sz w:val="18"/>
              </w:rPr>
              <w:t xml:space="preserve">97,85 </w:t>
            </w:r>
          </w:p>
        </w:tc>
      </w:tr>
      <w:tr w:rsidR="002F4FA6" w:rsidRPr="0098629B" w14:paraId="2F541840" w14:textId="77777777" w:rsidTr="00635A2E">
        <w:trPr>
          <w:trHeight w:val="385"/>
        </w:trPr>
        <w:tc>
          <w:tcPr>
            <w:tcW w:w="4177" w:type="dxa"/>
            <w:tcBorders>
              <w:top w:val="single" w:sz="2" w:space="0" w:color="000000"/>
              <w:left w:val="single" w:sz="2" w:space="0" w:color="000000"/>
              <w:bottom w:val="single" w:sz="2" w:space="0" w:color="000000"/>
              <w:right w:val="single" w:sz="2" w:space="0" w:color="000000"/>
            </w:tcBorders>
            <w:shd w:val="clear" w:color="auto" w:fill="ECE6E2"/>
          </w:tcPr>
          <w:p w14:paraId="31E069E3" w14:textId="77777777" w:rsidR="002F4FA6" w:rsidRPr="0098629B" w:rsidRDefault="002F4FA6" w:rsidP="00635A2E">
            <w:pPr>
              <w:spacing w:line="259" w:lineRule="auto"/>
            </w:pPr>
            <w:r w:rsidRPr="0098629B">
              <w:rPr>
                <w:sz w:val="18"/>
              </w:rPr>
              <w:t xml:space="preserve">Charbon (CIF ARA 6000) </w:t>
            </w:r>
          </w:p>
        </w:tc>
        <w:tc>
          <w:tcPr>
            <w:tcW w:w="1092" w:type="dxa"/>
            <w:tcBorders>
              <w:top w:val="single" w:sz="2" w:space="0" w:color="000000"/>
              <w:left w:val="single" w:sz="2" w:space="0" w:color="000000"/>
              <w:bottom w:val="single" w:sz="2" w:space="0" w:color="000000"/>
              <w:right w:val="single" w:sz="2" w:space="0" w:color="000000"/>
            </w:tcBorders>
            <w:shd w:val="clear" w:color="auto" w:fill="ECE6E2"/>
          </w:tcPr>
          <w:p w14:paraId="094AF811" w14:textId="77777777" w:rsidR="002F4FA6" w:rsidRPr="0098629B" w:rsidRDefault="002F4FA6" w:rsidP="00635A2E">
            <w:pPr>
              <w:spacing w:line="259" w:lineRule="auto"/>
              <w:ind w:left="90"/>
              <w:jc w:val="center"/>
            </w:pPr>
            <w:r w:rsidRPr="0098629B">
              <w:rPr>
                <w:sz w:val="18"/>
              </w:rPr>
              <w:t xml:space="preserve">11,47 </w:t>
            </w:r>
          </w:p>
        </w:tc>
        <w:tc>
          <w:tcPr>
            <w:tcW w:w="1091" w:type="dxa"/>
            <w:tcBorders>
              <w:top w:val="single" w:sz="2" w:space="0" w:color="000000"/>
              <w:left w:val="single" w:sz="2" w:space="0" w:color="000000"/>
              <w:bottom w:val="single" w:sz="2" w:space="0" w:color="000000"/>
              <w:right w:val="single" w:sz="2" w:space="0" w:color="000000"/>
            </w:tcBorders>
            <w:shd w:val="clear" w:color="auto" w:fill="ECE6E2"/>
          </w:tcPr>
          <w:p w14:paraId="1C1B6C69" w14:textId="77777777" w:rsidR="002F4FA6" w:rsidRPr="0098629B" w:rsidRDefault="002F4FA6" w:rsidP="00635A2E">
            <w:pPr>
              <w:spacing w:line="259" w:lineRule="auto"/>
              <w:ind w:left="90"/>
              <w:jc w:val="center"/>
            </w:pPr>
            <w:r w:rsidRPr="0098629B">
              <w:rPr>
                <w:sz w:val="18"/>
              </w:rPr>
              <w:t xml:space="preserve">14,31 </w:t>
            </w:r>
          </w:p>
        </w:tc>
        <w:tc>
          <w:tcPr>
            <w:tcW w:w="1095" w:type="dxa"/>
            <w:tcBorders>
              <w:top w:val="single" w:sz="2" w:space="0" w:color="000000"/>
              <w:left w:val="single" w:sz="2" w:space="0" w:color="000000"/>
              <w:bottom w:val="single" w:sz="2" w:space="0" w:color="000000"/>
              <w:right w:val="single" w:sz="2" w:space="0" w:color="000000"/>
            </w:tcBorders>
            <w:shd w:val="clear" w:color="auto" w:fill="ECE6E2"/>
          </w:tcPr>
          <w:p w14:paraId="631AAF84" w14:textId="77777777" w:rsidR="002F4FA6" w:rsidRPr="0098629B" w:rsidRDefault="002F4FA6" w:rsidP="00635A2E">
            <w:pPr>
              <w:spacing w:line="259" w:lineRule="auto"/>
              <w:ind w:left="88"/>
              <w:jc w:val="center"/>
            </w:pPr>
            <w:r w:rsidRPr="0098629B">
              <w:rPr>
                <w:sz w:val="18"/>
              </w:rPr>
              <w:t xml:space="preserve">17,09 </w:t>
            </w:r>
          </w:p>
        </w:tc>
        <w:tc>
          <w:tcPr>
            <w:tcW w:w="1092" w:type="dxa"/>
            <w:tcBorders>
              <w:top w:val="single" w:sz="2" w:space="0" w:color="000000"/>
              <w:left w:val="single" w:sz="2" w:space="0" w:color="000000"/>
              <w:bottom w:val="single" w:sz="2" w:space="0" w:color="000000"/>
              <w:right w:val="single" w:sz="2" w:space="0" w:color="000000"/>
            </w:tcBorders>
            <w:shd w:val="clear" w:color="auto" w:fill="ECE6E2"/>
          </w:tcPr>
          <w:p w14:paraId="11CC3DB6" w14:textId="77777777" w:rsidR="002F4FA6" w:rsidRPr="0098629B" w:rsidRDefault="002F4FA6" w:rsidP="00635A2E">
            <w:pPr>
              <w:spacing w:line="259" w:lineRule="auto"/>
              <w:ind w:left="90"/>
              <w:jc w:val="center"/>
            </w:pPr>
            <w:r w:rsidRPr="0098629B">
              <w:rPr>
                <w:sz w:val="18"/>
              </w:rPr>
              <w:t xml:space="preserve">20,51 </w:t>
            </w:r>
          </w:p>
        </w:tc>
        <w:tc>
          <w:tcPr>
            <w:tcW w:w="1370" w:type="dxa"/>
            <w:tcBorders>
              <w:top w:val="single" w:sz="2" w:space="0" w:color="000000"/>
              <w:left w:val="single" w:sz="2" w:space="0" w:color="000000"/>
              <w:bottom w:val="single" w:sz="2" w:space="0" w:color="000000"/>
              <w:right w:val="single" w:sz="2" w:space="0" w:color="000000"/>
            </w:tcBorders>
            <w:shd w:val="clear" w:color="auto" w:fill="ECE6E2"/>
          </w:tcPr>
          <w:p w14:paraId="63683207" w14:textId="77777777" w:rsidR="002F4FA6" w:rsidRPr="0098629B" w:rsidRDefault="002F4FA6" w:rsidP="00635A2E">
            <w:pPr>
              <w:spacing w:line="259" w:lineRule="auto"/>
              <w:ind w:left="89"/>
              <w:jc w:val="center"/>
            </w:pPr>
            <w:r w:rsidRPr="0098629B">
              <w:rPr>
                <w:sz w:val="18"/>
              </w:rPr>
              <w:t xml:space="preserve">21,72 </w:t>
            </w:r>
          </w:p>
        </w:tc>
      </w:tr>
      <w:tr w:rsidR="002F4FA6" w:rsidRPr="0098629B" w14:paraId="5C9E0092" w14:textId="77777777" w:rsidTr="00635A2E">
        <w:trPr>
          <w:trHeight w:val="407"/>
        </w:trPr>
        <w:tc>
          <w:tcPr>
            <w:tcW w:w="4177" w:type="dxa"/>
            <w:tcBorders>
              <w:top w:val="single" w:sz="2" w:space="0" w:color="000000"/>
              <w:left w:val="single" w:sz="2" w:space="0" w:color="000000"/>
              <w:bottom w:val="single" w:sz="2" w:space="0" w:color="000000"/>
              <w:right w:val="single" w:sz="2" w:space="0" w:color="000000"/>
            </w:tcBorders>
          </w:tcPr>
          <w:p w14:paraId="483323B2" w14:textId="77777777" w:rsidR="002F4FA6" w:rsidRPr="0098629B" w:rsidRDefault="002F4FA6" w:rsidP="00635A2E">
            <w:pPr>
              <w:spacing w:line="259" w:lineRule="auto"/>
            </w:pPr>
            <w:r w:rsidRPr="0098629B">
              <w:rPr>
                <w:sz w:val="18"/>
              </w:rPr>
              <w:t xml:space="preserve">Gaz (NCV, CIF average EU import) </w:t>
            </w:r>
          </w:p>
        </w:tc>
        <w:tc>
          <w:tcPr>
            <w:tcW w:w="1092" w:type="dxa"/>
            <w:tcBorders>
              <w:top w:val="single" w:sz="2" w:space="0" w:color="000000"/>
              <w:left w:val="single" w:sz="2" w:space="0" w:color="000000"/>
              <w:bottom w:val="single" w:sz="2" w:space="0" w:color="000000"/>
              <w:right w:val="single" w:sz="2" w:space="0" w:color="000000"/>
            </w:tcBorders>
          </w:tcPr>
          <w:p w14:paraId="6CED3256" w14:textId="77777777" w:rsidR="002F4FA6" w:rsidRPr="0098629B" w:rsidRDefault="002F4FA6" w:rsidP="00635A2E">
            <w:pPr>
              <w:spacing w:line="259" w:lineRule="auto"/>
              <w:ind w:left="90"/>
              <w:jc w:val="center"/>
            </w:pPr>
            <w:r w:rsidRPr="0098629B">
              <w:rPr>
                <w:sz w:val="18"/>
              </w:rPr>
              <w:t xml:space="preserve">38,8 </w:t>
            </w:r>
          </w:p>
        </w:tc>
        <w:tc>
          <w:tcPr>
            <w:tcW w:w="1091" w:type="dxa"/>
            <w:tcBorders>
              <w:top w:val="single" w:sz="2" w:space="0" w:color="000000"/>
              <w:left w:val="single" w:sz="2" w:space="0" w:color="000000"/>
              <w:bottom w:val="single" w:sz="2" w:space="0" w:color="000000"/>
              <w:right w:val="single" w:sz="2" w:space="0" w:color="000000"/>
            </w:tcBorders>
          </w:tcPr>
          <w:p w14:paraId="62B102CE" w14:textId="77777777" w:rsidR="002F4FA6" w:rsidRPr="0098629B" w:rsidRDefault="002F4FA6" w:rsidP="00635A2E">
            <w:pPr>
              <w:spacing w:line="259" w:lineRule="auto"/>
              <w:ind w:left="90"/>
              <w:jc w:val="center"/>
            </w:pPr>
            <w:r w:rsidRPr="0098629B">
              <w:rPr>
                <w:sz w:val="18"/>
              </w:rPr>
              <w:t xml:space="preserve">48,25 </w:t>
            </w:r>
          </w:p>
        </w:tc>
        <w:tc>
          <w:tcPr>
            <w:tcW w:w="1095" w:type="dxa"/>
            <w:tcBorders>
              <w:top w:val="single" w:sz="2" w:space="0" w:color="000000"/>
              <w:left w:val="single" w:sz="2" w:space="0" w:color="000000"/>
              <w:bottom w:val="single" w:sz="2" w:space="0" w:color="000000"/>
              <w:right w:val="single" w:sz="2" w:space="0" w:color="000000"/>
            </w:tcBorders>
          </w:tcPr>
          <w:p w14:paraId="3BC57287" w14:textId="77777777" w:rsidR="002F4FA6" w:rsidRPr="0098629B" w:rsidRDefault="002F4FA6" w:rsidP="00635A2E">
            <w:pPr>
              <w:spacing w:line="259" w:lineRule="auto"/>
              <w:ind w:left="88"/>
              <w:jc w:val="center"/>
            </w:pPr>
            <w:r w:rsidRPr="0098629B">
              <w:rPr>
                <w:sz w:val="18"/>
              </w:rPr>
              <w:t xml:space="preserve">52,21 </w:t>
            </w:r>
          </w:p>
        </w:tc>
        <w:tc>
          <w:tcPr>
            <w:tcW w:w="1092" w:type="dxa"/>
            <w:tcBorders>
              <w:top w:val="single" w:sz="2" w:space="0" w:color="000000"/>
              <w:left w:val="single" w:sz="2" w:space="0" w:color="000000"/>
              <w:bottom w:val="single" w:sz="2" w:space="0" w:color="000000"/>
              <w:right w:val="single" w:sz="2" w:space="0" w:color="000000"/>
            </w:tcBorders>
          </w:tcPr>
          <w:p w14:paraId="20C768C8" w14:textId="77777777" w:rsidR="002F4FA6" w:rsidRPr="0098629B" w:rsidRDefault="002F4FA6" w:rsidP="00635A2E">
            <w:pPr>
              <w:spacing w:line="259" w:lineRule="auto"/>
              <w:ind w:left="90"/>
              <w:jc w:val="center"/>
            </w:pPr>
            <w:r w:rsidRPr="0098629B">
              <w:rPr>
                <w:sz w:val="18"/>
              </w:rPr>
              <w:t xml:space="preserve">56,77 </w:t>
            </w:r>
          </w:p>
        </w:tc>
        <w:tc>
          <w:tcPr>
            <w:tcW w:w="1370" w:type="dxa"/>
            <w:tcBorders>
              <w:top w:val="single" w:sz="2" w:space="0" w:color="000000"/>
              <w:left w:val="single" w:sz="2" w:space="0" w:color="000000"/>
              <w:bottom w:val="single" w:sz="2" w:space="0" w:color="000000"/>
              <w:right w:val="single" w:sz="2" w:space="0" w:color="000000"/>
            </w:tcBorders>
          </w:tcPr>
          <w:p w14:paraId="1D0B7BED" w14:textId="77777777" w:rsidR="002F4FA6" w:rsidRPr="0098629B" w:rsidRDefault="002F4FA6" w:rsidP="00635A2E">
            <w:pPr>
              <w:spacing w:line="259" w:lineRule="auto"/>
              <w:ind w:left="89"/>
              <w:jc w:val="center"/>
            </w:pPr>
            <w:r w:rsidRPr="0098629B">
              <w:rPr>
                <w:sz w:val="18"/>
              </w:rPr>
              <w:t xml:space="preserve">60,63 </w:t>
            </w:r>
          </w:p>
        </w:tc>
      </w:tr>
    </w:tbl>
    <w:p w14:paraId="3488DA33" w14:textId="5B9E981C" w:rsidR="002F4FA6" w:rsidRPr="0098629B" w:rsidRDefault="002F4FA6" w:rsidP="002F4FA6">
      <w:pPr>
        <w:pStyle w:val="Caption"/>
      </w:pPr>
      <w:bookmarkStart w:id="187" w:name="_Toc122694458"/>
      <w:bookmarkStart w:id="188" w:name="_Toc123916661"/>
      <w:r w:rsidRPr="0098629B">
        <w:t xml:space="preserve">Tableau </w:t>
      </w:r>
      <w:fldSimple w:instr=" SEQ Tableau \* ARABIC ">
        <w:r w:rsidR="00677B3C">
          <w:rPr>
            <w:noProof/>
          </w:rPr>
          <w:t>26</w:t>
        </w:r>
      </w:fldSimple>
      <w:r w:rsidRPr="0098629B">
        <w:t xml:space="preserve"> : </w:t>
      </w:r>
      <w:r w:rsidRPr="0098629B">
        <w:rPr>
          <w:sz w:val="21"/>
          <w:szCs w:val="24"/>
        </w:rPr>
        <w:t>Hypothèses de prix des énergies importées (en € 2013/boe)</w:t>
      </w:r>
      <w:r w:rsidRPr="0098629B">
        <w:t xml:space="preserve"> dans l’AME 21 et l’AMS 18</w:t>
      </w:r>
      <w:bookmarkEnd w:id="187"/>
      <w:bookmarkEnd w:id="188"/>
    </w:p>
    <w:p w14:paraId="0127A55B" w14:textId="77777777" w:rsidR="002F4FA6" w:rsidRPr="0098629B" w:rsidRDefault="002F4FA6" w:rsidP="002F4FA6">
      <w:pPr>
        <w:pStyle w:val="Caption"/>
      </w:pPr>
      <w:r w:rsidRPr="0098629B">
        <w:t>Source : Cadrage économique de l’UE</w:t>
      </w:r>
    </w:p>
    <w:p w14:paraId="68FF4AD4" w14:textId="77777777" w:rsidR="002F4FA6" w:rsidRPr="0098629B" w:rsidRDefault="002F4FA6" w:rsidP="002F4FA6">
      <w:pPr>
        <w:pStyle w:val="Titre4niveau4"/>
        <w:spacing w:before="240"/>
      </w:pPr>
      <w:r w:rsidRPr="0098629B">
        <w:t xml:space="preserve">Hypothèses sur l’évolution du prix du carbone sous l’ETS </w:t>
      </w:r>
    </w:p>
    <w:p w14:paraId="24E69EC1" w14:textId="77777777" w:rsidR="002F4FA6" w:rsidRPr="0098629B" w:rsidRDefault="002F4FA6" w:rsidP="002F4FA6">
      <w:pPr>
        <w:spacing w:before="240" w:after="240"/>
      </w:pPr>
      <w:r w:rsidRPr="0098629B">
        <w:t xml:space="preserve">Les hypothèses d’évolution du prix du carbone pour les entreprises incluses dans l’ETS proviennent du cadrage économique proposé par la Commission européenne à l’ensemble des pays de l’Union. </w:t>
      </w:r>
    </w:p>
    <w:tbl>
      <w:tblPr>
        <w:tblStyle w:val="TableGrid0"/>
        <w:tblW w:w="9943" w:type="dxa"/>
        <w:tblInd w:w="1" w:type="dxa"/>
        <w:tblCellMar>
          <w:top w:w="124" w:type="dxa"/>
          <w:left w:w="28" w:type="dxa"/>
          <w:right w:w="115" w:type="dxa"/>
        </w:tblCellMar>
        <w:tblLook w:val="04A0" w:firstRow="1" w:lastRow="0" w:firstColumn="1" w:lastColumn="0" w:noHBand="0" w:noVBand="1"/>
      </w:tblPr>
      <w:tblGrid>
        <w:gridCol w:w="2987"/>
        <w:gridCol w:w="915"/>
        <w:gridCol w:w="924"/>
        <w:gridCol w:w="924"/>
        <w:gridCol w:w="924"/>
        <w:gridCol w:w="923"/>
        <w:gridCol w:w="811"/>
        <w:gridCol w:w="811"/>
        <w:gridCol w:w="724"/>
      </w:tblGrid>
      <w:tr w:rsidR="002F4FA6" w:rsidRPr="0098629B" w14:paraId="61EAF3D9" w14:textId="77777777" w:rsidTr="00635A2E">
        <w:trPr>
          <w:trHeight w:val="378"/>
        </w:trPr>
        <w:tc>
          <w:tcPr>
            <w:tcW w:w="2987" w:type="dxa"/>
            <w:tcBorders>
              <w:top w:val="single" w:sz="2" w:space="0" w:color="000000"/>
              <w:left w:val="single" w:sz="2" w:space="0" w:color="000000"/>
              <w:bottom w:val="single" w:sz="2" w:space="0" w:color="000000"/>
              <w:right w:val="single" w:sz="2" w:space="0" w:color="000000"/>
            </w:tcBorders>
            <w:shd w:val="clear" w:color="auto" w:fill="6D2A78"/>
          </w:tcPr>
          <w:p w14:paraId="3E651B18" w14:textId="77777777" w:rsidR="002F4FA6" w:rsidRPr="0098629B" w:rsidRDefault="002F4FA6" w:rsidP="00635A2E">
            <w:pPr>
              <w:spacing w:line="259" w:lineRule="auto"/>
              <w:ind w:left="133"/>
              <w:jc w:val="center"/>
            </w:pPr>
            <w:r w:rsidRPr="0098629B">
              <w:rPr>
                <w:sz w:val="18"/>
              </w:rPr>
              <w:t>EU ETS carbon price</w:t>
            </w:r>
          </w:p>
        </w:tc>
        <w:tc>
          <w:tcPr>
            <w:tcW w:w="915" w:type="dxa"/>
            <w:tcBorders>
              <w:top w:val="single" w:sz="2" w:space="0" w:color="000000"/>
              <w:left w:val="single" w:sz="2" w:space="0" w:color="000000"/>
              <w:bottom w:val="single" w:sz="2" w:space="0" w:color="000000"/>
              <w:right w:val="single" w:sz="2" w:space="0" w:color="000000"/>
            </w:tcBorders>
            <w:shd w:val="clear" w:color="auto" w:fill="6D2A78"/>
          </w:tcPr>
          <w:p w14:paraId="47CD3E69" w14:textId="77777777" w:rsidR="002F4FA6" w:rsidRPr="0098629B" w:rsidRDefault="002F4FA6" w:rsidP="00635A2E">
            <w:pPr>
              <w:spacing w:line="259" w:lineRule="auto"/>
              <w:ind w:left="85"/>
              <w:jc w:val="center"/>
            </w:pPr>
            <w:r w:rsidRPr="0098629B">
              <w:rPr>
                <w:b/>
                <w:color w:val="FFFFFF"/>
                <w:sz w:val="18"/>
              </w:rPr>
              <w:t xml:space="preserve">2015 </w:t>
            </w:r>
          </w:p>
        </w:tc>
        <w:tc>
          <w:tcPr>
            <w:tcW w:w="924" w:type="dxa"/>
            <w:tcBorders>
              <w:top w:val="single" w:sz="2" w:space="0" w:color="000000"/>
              <w:left w:val="single" w:sz="2" w:space="0" w:color="000000"/>
              <w:bottom w:val="single" w:sz="2" w:space="0" w:color="000000"/>
              <w:right w:val="single" w:sz="2" w:space="0" w:color="000000"/>
            </w:tcBorders>
            <w:shd w:val="clear" w:color="auto" w:fill="6D2A78"/>
          </w:tcPr>
          <w:p w14:paraId="27E0220E" w14:textId="77777777" w:rsidR="002F4FA6" w:rsidRPr="0098629B" w:rsidRDefault="002F4FA6" w:rsidP="00635A2E">
            <w:pPr>
              <w:spacing w:line="259" w:lineRule="auto"/>
              <w:ind w:left="85"/>
              <w:jc w:val="center"/>
            </w:pPr>
            <w:r w:rsidRPr="0098629B">
              <w:rPr>
                <w:b/>
                <w:color w:val="FFFFFF"/>
                <w:sz w:val="18"/>
              </w:rPr>
              <w:t xml:space="preserve">2020 </w:t>
            </w:r>
          </w:p>
        </w:tc>
        <w:tc>
          <w:tcPr>
            <w:tcW w:w="924" w:type="dxa"/>
            <w:tcBorders>
              <w:top w:val="single" w:sz="2" w:space="0" w:color="000000"/>
              <w:left w:val="single" w:sz="2" w:space="0" w:color="000000"/>
              <w:bottom w:val="single" w:sz="2" w:space="0" w:color="000000"/>
              <w:right w:val="single" w:sz="2" w:space="0" w:color="000000"/>
            </w:tcBorders>
            <w:shd w:val="clear" w:color="auto" w:fill="6D2A78"/>
          </w:tcPr>
          <w:p w14:paraId="5C8739BE" w14:textId="77777777" w:rsidR="002F4FA6" w:rsidRPr="0098629B" w:rsidRDefault="002F4FA6" w:rsidP="00635A2E">
            <w:pPr>
              <w:spacing w:line="259" w:lineRule="auto"/>
              <w:ind w:left="85"/>
              <w:jc w:val="center"/>
            </w:pPr>
            <w:r w:rsidRPr="0098629B">
              <w:rPr>
                <w:b/>
                <w:color w:val="FFFFFF"/>
                <w:sz w:val="18"/>
              </w:rPr>
              <w:t xml:space="preserve">2025 </w:t>
            </w:r>
          </w:p>
        </w:tc>
        <w:tc>
          <w:tcPr>
            <w:tcW w:w="924" w:type="dxa"/>
            <w:tcBorders>
              <w:top w:val="single" w:sz="2" w:space="0" w:color="000000"/>
              <w:left w:val="single" w:sz="2" w:space="0" w:color="000000"/>
              <w:bottom w:val="single" w:sz="2" w:space="0" w:color="000000"/>
              <w:right w:val="single" w:sz="2" w:space="0" w:color="000000"/>
            </w:tcBorders>
            <w:shd w:val="clear" w:color="auto" w:fill="6D2A78"/>
          </w:tcPr>
          <w:p w14:paraId="4ABF12E0" w14:textId="77777777" w:rsidR="002F4FA6" w:rsidRPr="0098629B" w:rsidRDefault="002F4FA6" w:rsidP="00635A2E">
            <w:pPr>
              <w:spacing w:line="259" w:lineRule="auto"/>
              <w:ind w:left="86"/>
              <w:jc w:val="center"/>
            </w:pPr>
            <w:r w:rsidRPr="0098629B">
              <w:rPr>
                <w:b/>
                <w:color w:val="FFFFFF"/>
                <w:sz w:val="18"/>
              </w:rPr>
              <w:t xml:space="preserve">2030 </w:t>
            </w:r>
          </w:p>
        </w:tc>
        <w:tc>
          <w:tcPr>
            <w:tcW w:w="923" w:type="dxa"/>
            <w:tcBorders>
              <w:top w:val="single" w:sz="2" w:space="0" w:color="000000"/>
              <w:left w:val="single" w:sz="2" w:space="0" w:color="000000"/>
              <w:bottom w:val="single" w:sz="2" w:space="0" w:color="000000"/>
              <w:right w:val="single" w:sz="2" w:space="0" w:color="000000"/>
            </w:tcBorders>
            <w:shd w:val="clear" w:color="auto" w:fill="6D2A78"/>
          </w:tcPr>
          <w:p w14:paraId="1F4407F3" w14:textId="77777777" w:rsidR="002F4FA6" w:rsidRPr="0098629B" w:rsidRDefault="002F4FA6" w:rsidP="00635A2E">
            <w:pPr>
              <w:spacing w:line="259" w:lineRule="auto"/>
              <w:ind w:left="84"/>
              <w:jc w:val="center"/>
            </w:pPr>
            <w:r w:rsidRPr="0098629B">
              <w:rPr>
                <w:b/>
                <w:color w:val="FFFFFF"/>
                <w:sz w:val="18"/>
              </w:rPr>
              <w:t xml:space="preserve">2035 </w:t>
            </w:r>
          </w:p>
        </w:tc>
        <w:tc>
          <w:tcPr>
            <w:tcW w:w="811" w:type="dxa"/>
            <w:tcBorders>
              <w:top w:val="single" w:sz="2" w:space="0" w:color="000000"/>
              <w:left w:val="single" w:sz="2" w:space="0" w:color="000000"/>
              <w:bottom w:val="single" w:sz="2" w:space="0" w:color="000000"/>
              <w:right w:val="single" w:sz="2" w:space="0" w:color="000000"/>
            </w:tcBorders>
            <w:shd w:val="clear" w:color="auto" w:fill="6D2A78"/>
          </w:tcPr>
          <w:p w14:paraId="0FF1B053" w14:textId="77777777" w:rsidR="002F4FA6" w:rsidRPr="0098629B" w:rsidRDefault="002F4FA6" w:rsidP="00635A2E">
            <w:pPr>
              <w:spacing w:line="259" w:lineRule="auto"/>
              <w:ind w:left="84"/>
              <w:jc w:val="center"/>
              <w:rPr>
                <w:b/>
                <w:color w:val="FFFFFF"/>
                <w:sz w:val="18"/>
              </w:rPr>
            </w:pPr>
            <w:r w:rsidRPr="0098629B">
              <w:rPr>
                <w:b/>
                <w:color w:val="FFFFFF"/>
                <w:sz w:val="18"/>
              </w:rPr>
              <w:t>2040</w:t>
            </w:r>
          </w:p>
        </w:tc>
        <w:tc>
          <w:tcPr>
            <w:tcW w:w="811" w:type="dxa"/>
            <w:tcBorders>
              <w:top w:val="single" w:sz="2" w:space="0" w:color="000000"/>
              <w:left w:val="single" w:sz="2" w:space="0" w:color="000000"/>
              <w:bottom w:val="single" w:sz="2" w:space="0" w:color="000000"/>
              <w:right w:val="single" w:sz="2" w:space="0" w:color="000000"/>
            </w:tcBorders>
            <w:shd w:val="clear" w:color="auto" w:fill="6D2A78"/>
          </w:tcPr>
          <w:p w14:paraId="460618B9" w14:textId="77777777" w:rsidR="002F4FA6" w:rsidRPr="0098629B" w:rsidRDefault="002F4FA6" w:rsidP="00635A2E">
            <w:pPr>
              <w:spacing w:line="259" w:lineRule="auto"/>
              <w:ind w:left="84"/>
              <w:jc w:val="center"/>
              <w:rPr>
                <w:b/>
                <w:color w:val="FFFFFF"/>
                <w:sz w:val="18"/>
              </w:rPr>
            </w:pPr>
            <w:r w:rsidRPr="0098629B">
              <w:rPr>
                <w:b/>
                <w:color w:val="FFFFFF"/>
                <w:sz w:val="18"/>
              </w:rPr>
              <w:t>2045</w:t>
            </w:r>
          </w:p>
        </w:tc>
        <w:tc>
          <w:tcPr>
            <w:tcW w:w="724" w:type="dxa"/>
            <w:tcBorders>
              <w:top w:val="single" w:sz="2" w:space="0" w:color="000000"/>
              <w:left w:val="single" w:sz="2" w:space="0" w:color="000000"/>
              <w:bottom w:val="single" w:sz="2" w:space="0" w:color="000000"/>
              <w:right w:val="single" w:sz="2" w:space="0" w:color="000000"/>
            </w:tcBorders>
            <w:shd w:val="clear" w:color="auto" w:fill="6D2A78"/>
          </w:tcPr>
          <w:p w14:paraId="72EF505D" w14:textId="77777777" w:rsidR="002F4FA6" w:rsidRPr="0098629B" w:rsidRDefault="002F4FA6" w:rsidP="00635A2E">
            <w:pPr>
              <w:spacing w:line="259" w:lineRule="auto"/>
              <w:ind w:left="84"/>
              <w:jc w:val="center"/>
              <w:rPr>
                <w:b/>
                <w:color w:val="FFFFFF"/>
                <w:sz w:val="18"/>
              </w:rPr>
            </w:pPr>
            <w:r w:rsidRPr="0098629B">
              <w:rPr>
                <w:b/>
                <w:color w:val="FFFFFF"/>
                <w:sz w:val="18"/>
              </w:rPr>
              <w:t>2050</w:t>
            </w:r>
          </w:p>
        </w:tc>
      </w:tr>
      <w:tr w:rsidR="002F4FA6" w:rsidRPr="0098629B" w14:paraId="4598EA16" w14:textId="77777777" w:rsidTr="00635A2E">
        <w:trPr>
          <w:trHeight w:val="407"/>
        </w:trPr>
        <w:tc>
          <w:tcPr>
            <w:tcW w:w="2987" w:type="dxa"/>
            <w:tcBorders>
              <w:top w:val="single" w:sz="2" w:space="0" w:color="000000"/>
              <w:left w:val="single" w:sz="2" w:space="0" w:color="000000"/>
              <w:bottom w:val="single" w:sz="2" w:space="0" w:color="000000"/>
              <w:right w:val="single" w:sz="2" w:space="0" w:color="000000"/>
            </w:tcBorders>
          </w:tcPr>
          <w:p w14:paraId="0D99B39C" w14:textId="67E6275D" w:rsidR="002F4FA6" w:rsidRPr="0098629B" w:rsidRDefault="002F4FA6" w:rsidP="00635A2E">
            <w:pPr>
              <w:rPr>
                <w:i/>
                <w:iCs/>
                <w:sz w:val="16"/>
                <w:szCs w:val="16"/>
              </w:rPr>
            </w:pPr>
            <w:r w:rsidRPr="0098629B">
              <w:rPr>
                <w:sz w:val="18"/>
              </w:rPr>
              <w:t>AMS 2018 (</w:t>
            </w:r>
            <w:r w:rsidRPr="0098629B">
              <w:rPr>
                <w:sz w:val="18"/>
                <w:szCs w:val="18"/>
              </w:rPr>
              <w:t>€</w:t>
            </w:r>
            <w:r w:rsidRPr="0098629B">
              <w:rPr>
                <w:sz w:val="12"/>
                <w:szCs w:val="12"/>
              </w:rPr>
              <w:t>2013</w:t>
            </w:r>
            <w:r w:rsidRPr="0098629B">
              <w:rPr>
                <w:sz w:val="18"/>
                <w:szCs w:val="18"/>
              </w:rPr>
              <w:t>/t</w:t>
            </w:r>
            <w:r w:rsidR="00811B0F" w:rsidRPr="0098629B">
              <w:t>CO</w:t>
            </w:r>
            <w:r w:rsidR="00811B0F" w:rsidRPr="0098629B">
              <w:rPr>
                <w:vertAlign w:val="subscript"/>
              </w:rPr>
              <w:t>2</w:t>
            </w:r>
            <w:r w:rsidRPr="0098629B">
              <w:rPr>
                <w:sz w:val="18"/>
                <w:szCs w:val="18"/>
              </w:rPr>
              <w:t>)</w:t>
            </w:r>
          </w:p>
        </w:tc>
        <w:tc>
          <w:tcPr>
            <w:tcW w:w="915" w:type="dxa"/>
            <w:tcBorders>
              <w:top w:val="single" w:sz="2" w:space="0" w:color="000000"/>
              <w:left w:val="single" w:sz="2" w:space="0" w:color="000000"/>
              <w:bottom w:val="single" w:sz="2" w:space="0" w:color="000000"/>
              <w:right w:val="single" w:sz="2" w:space="0" w:color="000000"/>
            </w:tcBorders>
          </w:tcPr>
          <w:p w14:paraId="5C8C311A" w14:textId="77777777" w:rsidR="002F4FA6" w:rsidRPr="0098629B" w:rsidRDefault="002F4FA6" w:rsidP="00635A2E">
            <w:pPr>
              <w:spacing w:line="259" w:lineRule="auto"/>
              <w:ind w:left="88"/>
              <w:jc w:val="center"/>
            </w:pPr>
            <w:r w:rsidRPr="0098629B">
              <w:rPr>
                <w:sz w:val="18"/>
              </w:rPr>
              <w:t xml:space="preserve">7,5 </w:t>
            </w:r>
          </w:p>
        </w:tc>
        <w:tc>
          <w:tcPr>
            <w:tcW w:w="924" w:type="dxa"/>
            <w:tcBorders>
              <w:top w:val="single" w:sz="2" w:space="0" w:color="000000"/>
              <w:left w:val="single" w:sz="2" w:space="0" w:color="000000"/>
              <w:bottom w:val="single" w:sz="2" w:space="0" w:color="000000"/>
              <w:right w:val="single" w:sz="2" w:space="0" w:color="000000"/>
            </w:tcBorders>
          </w:tcPr>
          <w:p w14:paraId="09448C96" w14:textId="77777777" w:rsidR="002F4FA6" w:rsidRPr="0098629B" w:rsidRDefault="002F4FA6" w:rsidP="00635A2E">
            <w:pPr>
              <w:spacing w:line="259" w:lineRule="auto"/>
              <w:ind w:left="86"/>
              <w:jc w:val="center"/>
            </w:pPr>
            <w:r w:rsidRPr="0098629B">
              <w:rPr>
                <w:sz w:val="18"/>
              </w:rPr>
              <w:t xml:space="preserve">15 </w:t>
            </w:r>
          </w:p>
        </w:tc>
        <w:tc>
          <w:tcPr>
            <w:tcW w:w="924" w:type="dxa"/>
            <w:tcBorders>
              <w:top w:val="single" w:sz="2" w:space="0" w:color="000000"/>
              <w:left w:val="single" w:sz="2" w:space="0" w:color="000000"/>
              <w:bottom w:val="single" w:sz="2" w:space="0" w:color="000000"/>
              <w:right w:val="single" w:sz="2" w:space="0" w:color="000000"/>
            </w:tcBorders>
          </w:tcPr>
          <w:p w14:paraId="25D21DAD" w14:textId="77777777" w:rsidR="002F4FA6" w:rsidRPr="0098629B" w:rsidRDefault="002F4FA6" w:rsidP="00635A2E">
            <w:pPr>
              <w:spacing w:line="259" w:lineRule="auto"/>
              <w:ind w:left="88"/>
              <w:jc w:val="center"/>
            </w:pPr>
            <w:r w:rsidRPr="0098629B">
              <w:rPr>
                <w:sz w:val="18"/>
              </w:rPr>
              <w:t xml:space="preserve">22,5 </w:t>
            </w:r>
          </w:p>
        </w:tc>
        <w:tc>
          <w:tcPr>
            <w:tcW w:w="924" w:type="dxa"/>
            <w:tcBorders>
              <w:top w:val="single" w:sz="2" w:space="0" w:color="000000"/>
              <w:left w:val="single" w:sz="2" w:space="0" w:color="000000"/>
              <w:bottom w:val="single" w:sz="2" w:space="0" w:color="000000"/>
              <w:right w:val="single" w:sz="2" w:space="0" w:color="000000"/>
            </w:tcBorders>
          </w:tcPr>
          <w:p w14:paraId="08C93EC2" w14:textId="77777777" w:rsidR="002F4FA6" w:rsidRPr="0098629B" w:rsidRDefault="002F4FA6" w:rsidP="00635A2E">
            <w:pPr>
              <w:spacing w:line="259" w:lineRule="auto"/>
              <w:ind w:left="89"/>
              <w:jc w:val="center"/>
            </w:pPr>
            <w:r w:rsidRPr="0098629B">
              <w:rPr>
                <w:sz w:val="18"/>
              </w:rPr>
              <w:t xml:space="preserve">33,5 </w:t>
            </w:r>
          </w:p>
        </w:tc>
        <w:tc>
          <w:tcPr>
            <w:tcW w:w="923" w:type="dxa"/>
            <w:tcBorders>
              <w:top w:val="single" w:sz="2" w:space="0" w:color="000000"/>
              <w:left w:val="single" w:sz="2" w:space="0" w:color="000000"/>
              <w:bottom w:val="single" w:sz="2" w:space="0" w:color="000000"/>
              <w:right w:val="single" w:sz="2" w:space="0" w:color="000000"/>
            </w:tcBorders>
          </w:tcPr>
          <w:p w14:paraId="2B7941D7" w14:textId="77777777" w:rsidR="002F4FA6" w:rsidRPr="0098629B" w:rsidRDefault="002F4FA6" w:rsidP="00635A2E">
            <w:pPr>
              <w:spacing w:line="259" w:lineRule="auto"/>
              <w:ind w:left="85"/>
              <w:jc w:val="center"/>
              <w:rPr>
                <w:sz w:val="18"/>
              </w:rPr>
            </w:pPr>
            <w:r w:rsidRPr="0098629B">
              <w:rPr>
                <w:sz w:val="18"/>
              </w:rPr>
              <w:t xml:space="preserve">42 </w:t>
            </w:r>
          </w:p>
        </w:tc>
        <w:tc>
          <w:tcPr>
            <w:tcW w:w="811" w:type="dxa"/>
            <w:tcBorders>
              <w:top w:val="single" w:sz="2" w:space="0" w:color="000000"/>
              <w:left w:val="single" w:sz="2" w:space="0" w:color="000000"/>
              <w:bottom w:val="single" w:sz="2" w:space="0" w:color="000000"/>
              <w:right w:val="single" w:sz="2" w:space="0" w:color="000000"/>
            </w:tcBorders>
          </w:tcPr>
          <w:p w14:paraId="65DF92C5" w14:textId="77777777" w:rsidR="002F4FA6" w:rsidRPr="0098629B" w:rsidRDefault="002F4FA6" w:rsidP="00635A2E">
            <w:pPr>
              <w:spacing w:line="259" w:lineRule="auto"/>
              <w:ind w:left="85"/>
              <w:jc w:val="center"/>
              <w:rPr>
                <w:sz w:val="18"/>
              </w:rPr>
            </w:pPr>
          </w:p>
        </w:tc>
        <w:tc>
          <w:tcPr>
            <w:tcW w:w="811" w:type="dxa"/>
            <w:tcBorders>
              <w:top w:val="single" w:sz="2" w:space="0" w:color="000000"/>
              <w:left w:val="single" w:sz="2" w:space="0" w:color="000000"/>
              <w:bottom w:val="single" w:sz="2" w:space="0" w:color="000000"/>
              <w:right w:val="single" w:sz="2" w:space="0" w:color="000000"/>
            </w:tcBorders>
          </w:tcPr>
          <w:p w14:paraId="4D0E7C36" w14:textId="77777777" w:rsidR="002F4FA6" w:rsidRPr="0098629B" w:rsidRDefault="002F4FA6" w:rsidP="00635A2E">
            <w:pPr>
              <w:spacing w:line="259" w:lineRule="auto"/>
              <w:ind w:left="85"/>
              <w:jc w:val="center"/>
              <w:rPr>
                <w:sz w:val="18"/>
              </w:rPr>
            </w:pPr>
          </w:p>
        </w:tc>
        <w:tc>
          <w:tcPr>
            <w:tcW w:w="724" w:type="dxa"/>
            <w:tcBorders>
              <w:top w:val="single" w:sz="2" w:space="0" w:color="000000"/>
              <w:left w:val="single" w:sz="2" w:space="0" w:color="000000"/>
              <w:bottom w:val="single" w:sz="2" w:space="0" w:color="000000"/>
              <w:right w:val="single" w:sz="2" w:space="0" w:color="000000"/>
            </w:tcBorders>
          </w:tcPr>
          <w:p w14:paraId="3FC00BFE" w14:textId="77777777" w:rsidR="002F4FA6" w:rsidRPr="0098629B" w:rsidRDefault="002F4FA6" w:rsidP="00635A2E">
            <w:pPr>
              <w:spacing w:line="259" w:lineRule="auto"/>
              <w:ind w:left="85"/>
              <w:jc w:val="center"/>
              <w:rPr>
                <w:sz w:val="18"/>
              </w:rPr>
            </w:pPr>
          </w:p>
        </w:tc>
      </w:tr>
      <w:tr w:rsidR="002F4FA6" w:rsidRPr="0098629B" w14:paraId="2A89B3F8" w14:textId="77777777" w:rsidTr="00635A2E">
        <w:trPr>
          <w:trHeight w:val="407"/>
        </w:trPr>
        <w:tc>
          <w:tcPr>
            <w:tcW w:w="2987" w:type="dxa"/>
            <w:tcBorders>
              <w:top w:val="single" w:sz="2" w:space="0" w:color="000000"/>
              <w:left w:val="single" w:sz="2" w:space="0" w:color="000000"/>
              <w:bottom w:val="single" w:sz="2" w:space="0" w:color="000000"/>
              <w:right w:val="single" w:sz="2" w:space="0" w:color="000000"/>
            </w:tcBorders>
          </w:tcPr>
          <w:p w14:paraId="16592D87" w14:textId="09825E45" w:rsidR="002F4FA6" w:rsidRPr="0098629B" w:rsidDel="0084154F" w:rsidRDefault="002F4FA6" w:rsidP="00635A2E">
            <w:pPr>
              <w:rPr>
                <w:sz w:val="18"/>
              </w:rPr>
            </w:pPr>
            <w:r w:rsidRPr="0098629B">
              <w:rPr>
                <w:sz w:val="18"/>
              </w:rPr>
              <w:t>AME 2021 (€</w:t>
            </w:r>
            <w:r w:rsidRPr="0098629B">
              <w:rPr>
                <w:sz w:val="18"/>
                <w:vertAlign w:val="subscript"/>
              </w:rPr>
              <w:t>2016</w:t>
            </w:r>
            <w:r w:rsidRPr="0098629B">
              <w:rPr>
                <w:sz w:val="18"/>
              </w:rPr>
              <w:t>/t</w:t>
            </w:r>
            <w:r w:rsidR="00811B0F" w:rsidRPr="0098629B">
              <w:t>CO</w:t>
            </w:r>
            <w:r w:rsidR="00811B0F" w:rsidRPr="0098629B">
              <w:rPr>
                <w:vertAlign w:val="subscript"/>
              </w:rPr>
              <w:t>2</w:t>
            </w:r>
            <w:r w:rsidRPr="0098629B">
              <w:rPr>
                <w:sz w:val="18"/>
              </w:rPr>
              <w:t>)</w:t>
            </w:r>
          </w:p>
        </w:tc>
        <w:tc>
          <w:tcPr>
            <w:tcW w:w="915" w:type="dxa"/>
            <w:tcBorders>
              <w:top w:val="single" w:sz="2" w:space="0" w:color="000000"/>
              <w:left w:val="single" w:sz="2" w:space="0" w:color="000000"/>
              <w:bottom w:val="single" w:sz="2" w:space="0" w:color="000000"/>
              <w:right w:val="single" w:sz="2" w:space="0" w:color="000000"/>
            </w:tcBorders>
          </w:tcPr>
          <w:p w14:paraId="76345E38" w14:textId="77777777" w:rsidR="002F4FA6" w:rsidRPr="0098629B" w:rsidRDefault="002F4FA6" w:rsidP="00635A2E">
            <w:pPr>
              <w:spacing w:line="259" w:lineRule="auto"/>
              <w:ind w:left="88"/>
              <w:jc w:val="center"/>
              <w:rPr>
                <w:sz w:val="18"/>
              </w:rPr>
            </w:pPr>
          </w:p>
        </w:tc>
        <w:tc>
          <w:tcPr>
            <w:tcW w:w="924" w:type="dxa"/>
            <w:tcBorders>
              <w:top w:val="single" w:sz="2" w:space="0" w:color="000000"/>
              <w:left w:val="single" w:sz="2" w:space="0" w:color="000000"/>
              <w:bottom w:val="single" w:sz="2" w:space="0" w:color="000000"/>
              <w:right w:val="single" w:sz="2" w:space="0" w:color="000000"/>
            </w:tcBorders>
          </w:tcPr>
          <w:p w14:paraId="520F83CD" w14:textId="77777777" w:rsidR="002F4FA6" w:rsidRPr="0098629B" w:rsidRDefault="002F4FA6" w:rsidP="00635A2E">
            <w:pPr>
              <w:spacing w:line="259" w:lineRule="auto"/>
              <w:ind w:left="86"/>
              <w:jc w:val="center"/>
              <w:rPr>
                <w:sz w:val="18"/>
              </w:rPr>
            </w:pPr>
            <w:r w:rsidRPr="0098629B">
              <w:rPr>
                <w:sz w:val="18"/>
              </w:rPr>
              <w:t>25</w:t>
            </w:r>
          </w:p>
        </w:tc>
        <w:tc>
          <w:tcPr>
            <w:tcW w:w="924" w:type="dxa"/>
            <w:tcBorders>
              <w:top w:val="single" w:sz="2" w:space="0" w:color="000000"/>
              <w:left w:val="single" w:sz="2" w:space="0" w:color="000000"/>
              <w:bottom w:val="single" w:sz="2" w:space="0" w:color="000000"/>
              <w:right w:val="single" w:sz="2" w:space="0" w:color="000000"/>
            </w:tcBorders>
          </w:tcPr>
          <w:p w14:paraId="38403A3F" w14:textId="77777777" w:rsidR="002F4FA6" w:rsidRPr="0098629B" w:rsidRDefault="002F4FA6" w:rsidP="00635A2E">
            <w:pPr>
              <w:spacing w:line="259" w:lineRule="auto"/>
              <w:ind w:left="88"/>
              <w:jc w:val="center"/>
              <w:rPr>
                <w:sz w:val="18"/>
              </w:rPr>
            </w:pPr>
            <w:r w:rsidRPr="0098629B">
              <w:rPr>
                <w:sz w:val="18"/>
              </w:rPr>
              <w:t>28</w:t>
            </w:r>
          </w:p>
        </w:tc>
        <w:tc>
          <w:tcPr>
            <w:tcW w:w="924" w:type="dxa"/>
            <w:tcBorders>
              <w:top w:val="single" w:sz="2" w:space="0" w:color="000000"/>
              <w:left w:val="single" w:sz="2" w:space="0" w:color="000000"/>
              <w:bottom w:val="single" w:sz="2" w:space="0" w:color="000000"/>
              <w:right w:val="single" w:sz="2" w:space="0" w:color="000000"/>
            </w:tcBorders>
          </w:tcPr>
          <w:p w14:paraId="13075682" w14:textId="77777777" w:rsidR="002F4FA6" w:rsidRPr="0098629B" w:rsidRDefault="002F4FA6" w:rsidP="00635A2E">
            <w:pPr>
              <w:spacing w:line="259" w:lineRule="auto"/>
              <w:ind w:left="89"/>
              <w:jc w:val="center"/>
              <w:rPr>
                <w:sz w:val="18"/>
              </w:rPr>
            </w:pPr>
            <w:r w:rsidRPr="0098629B">
              <w:rPr>
                <w:sz w:val="18"/>
              </w:rPr>
              <w:t>30</w:t>
            </w:r>
          </w:p>
        </w:tc>
        <w:tc>
          <w:tcPr>
            <w:tcW w:w="923" w:type="dxa"/>
            <w:tcBorders>
              <w:top w:val="single" w:sz="2" w:space="0" w:color="000000"/>
              <w:left w:val="single" w:sz="2" w:space="0" w:color="000000"/>
              <w:bottom w:val="single" w:sz="2" w:space="0" w:color="000000"/>
              <w:right w:val="single" w:sz="2" w:space="0" w:color="000000"/>
            </w:tcBorders>
          </w:tcPr>
          <w:p w14:paraId="1B8E87FB" w14:textId="77777777" w:rsidR="002F4FA6" w:rsidRPr="0098629B" w:rsidRDefault="002F4FA6" w:rsidP="00635A2E">
            <w:pPr>
              <w:spacing w:line="259" w:lineRule="auto"/>
              <w:ind w:left="85"/>
              <w:jc w:val="center"/>
              <w:rPr>
                <w:sz w:val="18"/>
              </w:rPr>
            </w:pPr>
            <w:r w:rsidRPr="0098629B">
              <w:rPr>
                <w:sz w:val="18"/>
              </w:rPr>
              <w:t>40</w:t>
            </w:r>
          </w:p>
        </w:tc>
        <w:tc>
          <w:tcPr>
            <w:tcW w:w="811" w:type="dxa"/>
            <w:tcBorders>
              <w:top w:val="single" w:sz="2" w:space="0" w:color="000000"/>
              <w:left w:val="single" w:sz="2" w:space="0" w:color="000000"/>
              <w:bottom w:val="single" w:sz="2" w:space="0" w:color="000000"/>
              <w:right w:val="single" w:sz="2" w:space="0" w:color="000000"/>
            </w:tcBorders>
          </w:tcPr>
          <w:p w14:paraId="460357FD" w14:textId="77777777" w:rsidR="002F4FA6" w:rsidRPr="0098629B" w:rsidRDefault="002F4FA6" w:rsidP="00635A2E">
            <w:pPr>
              <w:spacing w:line="259" w:lineRule="auto"/>
              <w:ind w:left="85"/>
              <w:jc w:val="center"/>
              <w:rPr>
                <w:sz w:val="18"/>
              </w:rPr>
            </w:pPr>
            <w:r w:rsidRPr="0098629B">
              <w:rPr>
                <w:sz w:val="18"/>
              </w:rPr>
              <w:t>53</w:t>
            </w:r>
          </w:p>
        </w:tc>
        <w:tc>
          <w:tcPr>
            <w:tcW w:w="811" w:type="dxa"/>
            <w:tcBorders>
              <w:top w:val="single" w:sz="2" w:space="0" w:color="000000"/>
              <w:left w:val="single" w:sz="2" w:space="0" w:color="000000"/>
              <w:bottom w:val="single" w:sz="2" w:space="0" w:color="000000"/>
              <w:right w:val="single" w:sz="2" w:space="0" w:color="000000"/>
            </w:tcBorders>
          </w:tcPr>
          <w:p w14:paraId="09535A68" w14:textId="77777777" w:rsidR="002F4FA6" w:rsidRPr="0098629B" w:rsidRDefault="002F4FA6" w:rsidP="00635A2E">
            <w:pPr>
              <w:spacing w:line="259" w:lineRule="auto"/>
              <w:ind w:left="85"/>
              <w:jc w:val="center"/>
              <w:rPr>
                <w:sz w:val="18"/>
              </w:rPr>
            </w:pPr>
            <w:r w:rsidRPr="0098629B">
              <w:rPr>
                <w:sz w:val="18"/>
              </w:rPr>
              <w:t>70,1</w:t>
            </w:r>
          </w:p>
        </w:tc>
        <w:tc>
          <w:tcPr>
            <w:tcW w:w="724" w:type="dxa"/>
            <w:tcBorders>
              <w:top w:val="single" w:sz="2" w:space="0" w:color="000000"/>
              <w:left w:val="single" w:sz="2" w:space="0" w:color="000000"/>
              <w:bottom w:val="single" w:sz="2" w:space="0" w:color="000000"/>
              <w:right w:val="single" w:sz="2" w:space="0" w:color="000000"/>
            </w:tcBorders>
          </w:tcPr>
          <w:p w14:paraId="5DC004EC" w14:textId="77777777" w:rsidR="002F4FA6" w:rsidRPr="0098629B" w:rsidRDefault="002F4FA6" w:rsidP="00635A2E">
            <w:pPr>
              <w:spacing w:line="259" w:lineRule="auto"/>
              <w:ind w:left="85"/>
              <w:jc w:val="center"/>
              <w:rPr>
                <w:sz w:val="18"/>
              </w:rPr>
            </w:pPr>
            <w:r w:rsidRPr="0098629B">
              <w:rPr>
                <w:sz w:val="18"/>
              </w:rPr>
              <w:t>89,4</w:t>
            </w:r>
          </w:p>
        </w:tc>
      </w:tr>
    </w:tbl>
    <w:p w14:paraId="7FC9E996" w14:textId="73F2092B" w:rsidR="002F4FA6" w:rsidRPr="0098629B" w:rsidRDefault="002F4FA6" w:rsidP="002F4FA6">
      <w:pPr>
        <w:pStyle w:val="Caption"/>
      </w:pPr>
      <w:bookmarkStart w:id="189" w:name="_Toc122694459"/>
      <w:bookmarkStart w:id="190" w:name="_Toc123916662"/>
      <w:r w:rsidRPr="0098629B">
        <w:t xml:space="preserve">Tableau </w:t>
      </w:r>
      <w:fldSimple w:instr=" SEQ Tableau \* ARABIC ">
        <w:r w:rsidR="00677B3C">
          <w:rPr>
            <w:noProof/>
          </w:rPr>
          <w:t>27</w:t>
        </w:r>
      </w:fldSimple>
      <w:r w:rsidRPr="0098629B">
        <w:t> : Hypothèses de prix du carbone sous l'ETS</w:t>
      </w:r>
      <w:bookmarkEnd w:id="189"/>
      <w:bookmarkEnd w:id="190"/>
      <w:r w:rsidRPr="0098629B">
        <w:t xml:space="preserve"> </w:t>
      </w:r>
    </w:p>
    <w:p w14:paraId="00131E0D" w14:textId="77777777" w:rsidR="002F4FA6" w:rsidRPr="0098629B" w:rsidRDefault="002F4FA6" w:rsidP="002F4FA6">
      <w:pPr>
        <w:pStyle w:val="Caption"/>
      </w:pPr>
      <w:r w:rsidRPr="0098629B">
        <w:t>Source : Cadrage économique de l’UE</w:t>
      </w:r>
    </w:p>
    <w:p w14:paraId="78748441" w14:textId="77777777" w:rsidR="002F4FA6" w:rsidRPr="0098629B" w:rsidRDefault="002F4FA6" w:rsidP="002F4FA6">
      <w:pPr>
        <w:pStyle w:val="Titre4niveau4"/>
        <w:spacing w:before="240"/>
      </w:pPr>
      <w:r w:rsidRPr="0098629B">
        <w:t>Hypothèses démographiques</w:t>
      </w:r>
    </w:p>
    <w:p w14:paraId="29029FE9" w14:textId="77777777" w:rsidR="002F4FA6" w:rsidRPr="0098629B" w:rsidRDefault="002F4FA6" w:rsidP="002F4FA6">
      <w:pPr>
        <w:spacing w:before="240" w:after="240"/>
      </w:pPr>
      <w:r w:rsidRPr="0098629B">
        <w:t xml:space="preserve">Les hypothèses de croissance de la population pour l’AMS 2018 proviennent du scénario central de l’Insee (Institut national de la statistique et des études économiques) qui produit les projections démographiques de référence pour la France. </w:t>
      </w:r>
    </w:p>
    <w:p w14:paraId="64BD7D4B" w14:textId="77777777" w:rsidR="002F4FA6" w:rsidRPr="0098629B" w:rsidRDefault="002F4FA6" w:rsidP="002F4FA6">
      <w:pPr>
        <w:spacing w:before="240" w:after="240"/>
      </w:pPr>
      <w:r w:rsidRPr="0098629B">
        <w:t>Pour l’AME 2021, c’est le scénario issu d’Eurostat, fourni dans le cadrage de la Commission européenne qui a été utilisé. En effet, les données observées jusqu’à 2019 divergeaient déjà de celles du scénario de 2016 de l’INSEE, ce qui a justifié ce changement de source, qui induit une baisse de la population d’environ 2 millions d’habitants en 2050. Eurostat ne fournissant pas de chiffre désagrégé entre métropole et DROM, les chiffres du scénario INSEE fécondité basse recalés sur les totaux de Eurostat ont été repris pour calculer la population des DROM.</w:t>
      </w:r>
    </w:p>
    <w:p w14:paraId="547C834E" w14:textId="77777777" w:rsidR="002F4FA6" w:rsidRPr="0098629B" w:rsidRDefault="002F4FA6" w:rsidP="002F4FA6">
      <w:pPr>
        <w:pStyle w:val="titreencadre"/>
        <w:spacing w:before="120" w:after="60" w:line="240" w:lineRule="auto"/>
      </w:pPr>
      <w:r w:rsidRPr="0098629B">
        <w:t>AME 2021</w:t>
      </w:r>
    </w:p>
    <w:tbl>
      <w:tblPr>
        <w:tblStyle w:val="TableGrid0"/>
        <w:tblW w:w="9943" w:type="dxa"/>
        <w:tblInd w:w="1" w:type="dxa"/>
        <w:tblCellMar>
          <w:top w:w="124" w:type="dxa"/>
          <w:left w:w="28" w:type="dxa"/>
          <w:bottom w:w="20" w:type="dxa"/>
          <w:right w:w="115" w:type="dxa"/>
        </w:tblCellMar>
        <w:tblLook w:val="04A0" w:firstRow="1" w:lastRow="0" w:firstColumn="1" w:lastColumn="0" w:noHBand="0" w:noVBand="1"/>
      </w:tblPr>
      <w:tblGrid>
        <w:gridCol w:w="1981"/>
        <w:gridCol w:w="995"/>
        <w:gridCol w:w="995"/>
        <w:gridCol w:w="995"/>
        <w:gridCol w:w="996"/>
        <w:gridCol w:w="995"/>
        <w:gridCol w:w="995"/>
        <w:gridCol w:w="995"/>
        <w:gridCol w:w="996"/>
      </w:tblGrid>
      <w:tr w:rsidR="002F4FA6" w:rsidRPr="0098629B" w14:paraId="1499807F" w14:textId="77777777" w:rsidTr="00635A2E">
        <w:trPr>
          <w:trHeight w:val="378"/>
        </w:trPr>
        <w:tc>
          <w:tcPr>
            <w:tcW w:w="1981" w:type="dxa"/>
            <w:tcBorders>
              <w:top w:val="single" w:sz="2" w:space="0" w:color="000000"/>
              <w:left w:val="single" w:sz="2" w:space="0" w:color="000000"/>
              <w:bottom w:val="single" w:sz="2" w:space="0" w:color="000000"/>
              <w:right w:val="single" w:sz="4" w:space="0" w:color="auto"/>
            </w:tcBorders>
            <w:shd w:val="clear" w:color="auto" w:fill="6D2A78"/>
          </w:tcPr>
          <w:p w14:paraId="47C6381A" w14:textId="77777777" w:rsidR="002F4FA6" w:rsidRPr="0098629B" w:rsidRDefault="002F4FA6" w:rsidP="00635A2E">
            <w:pPr>
              <w:spacing w:line="259" w:lineRule="auto"/>
            </w:pPr>
            <w:r w:rsidRPr="0098629B">
              <w:rPr>
                <w:color w:val="FFFFFF"/>
                <w:sz w:val="18"/>
              </w:rPr>
              <w:t xml:space="preserve">Population (en milliers d’habitants) </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1A632573" w14:textId="77777777" w:rsidR="002F4FA6" w:rsidRPr="0098629B" w:rsidRDefault="002F4FA6" w:rsidP="00635A2E">
            <w:pPr>
              <w:spacing w:line="259" w:lineRule="auto"/>
              <w:ind w:left="85"/>
              <w:jc w:val="center"/>
            </w:pPr>
            <w:r w:rsidRPr="0098629B">
              <w:rPr>
                <w:b/>
                <w:color w:val="FFFFFF"/>
                <w:sz w:val="18"/>
              </w:rPr>
              <w:t>2019</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68A064BF" w14:textId="77777777" w:rsidR="002F4FA6" w:rsidRPr="0098629B" w:rsidRDefault="002F4FA6" w:rsidP="00635A2E">
            <w:pPr>
              <w:spacing w:line="259" w:lineRule="auto"/>
              <w:ind w:left="85"/>
              <w:jc w:val="center"/>
            </w:pPr>
            <w:r w:rsidRPr="0098629B">
              <w:rPr>
                <w:b/>
                <w:color w:val="FFFFFF"/>
                <w:sz w:val="18"/>
              </w:rPr>
              <w:t>2020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6C45E786" w14:textId="77777777" w:rsidR="002F4FA6" w:rsidRPr="0098629B" w:rsidRDefault="002F4FA6" w:rsidP="00635A2E">
            <w:pPr>
              <w:spacing w:line="259" w:lineRule="auto"/>
              <w:ind w:left="85"/>
              <w:jc w:val="center"/>
            </w:pPr>
            <w:r w:rsidRPr="0098629B">
              <w:rPr>
                <w:b/>
                <w:color w:val="FFFFFF"/>
                <w:sz w:val="18"/>
              </w:rPr>
              <w:t>2025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50CFEE59" w14:textId="77777777" w:rsidR="002F4FA6" w:rsidRPr="0098629B" w:rsidRDefault="002F4FA6" w:rsidP="00635A2E">
            <w:pPr>
              <w:spacing w:line="259" w:lineRule="auto"/>
              <w:ind w:left="86"/>
              <w:jc w:val="center"/>
            </w:pPr>
            <w:r w:rsidRPr="0098629B">
              <w:rPr>
                <w:b/>
                <w:color w:val="FFFFFF"/>
                <w:sz w:val="18"/>
              </w:rPr>
              <w:t>2030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53F7B11C" w14:textId="77777777" w:rsidR="002F4FA6" w:rsidRPr="0098629B" w:rsidRDefault="002F4FA6" w:rsidP="00635A2E">
            <w:pPr>
              <w:spacing w:line="259" w:lineRule="auto"/>
              <w:ind w:left="84"/>
              <w:jc w:val="center"/>
            </w:pPr>
            <w:r w:rsidRPr="0098629B">
              <w:rPr>
                <w:b/>
                <w:color w:val="FFFFFF"/>
                <w:sz w:val="18"/>
              </w:rPr>
              <w:t>2035</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605264C6" w14:textId="77777777" w:rsidR="002F4FA6" w:rsidRPr="0098629B" w:rsidRDefault="002F4FA6" w:rsidP="00635A2E">
            <w:pPr>
              <w:spacing w:line="259" w:lineRule="auto"/>
              <w:ind w:left="84"/>
              <w:jc w:val="center"/>
              <w:rPr>
                <w:b/>
                <w:color w:val="FFFFFF"/>
                <w:sz w:val="18"/>
              </w:rPr>
            </w:pPr>
            <w:r w:rsidRPr="0098629B">
              <w:rPr>
                <w:b/>
                <w:color w:val="FFFFFF"/>
                <w:sz w:val="18"/>
              </w:rPr>
              <w:t>2040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53F0E575" w14:textId="77777777" w:rsidR="002F4FA6" w:rsidRPr="0098629B" w:rsidRDefault="002F4FA6" w:rsidP="00635A2E">
            <w:pPr>
              <w:spacing w:line="259" w:lineRule="auto"/>
              <w:ind w:left="84"/>
              <w:jc w:val="center"/>
              <w:rPr>
                <w:b/>
                <w:color w:val="FFFFFF"/>
                <w:sz w:val="18"/>
              </w:rPr>
            </w:pPr>
            <w:r w:rsidRPr="0098629B">
              <w:rPr>
                <w:b/>
                <w:color w:val="FFFFFF"/>
                <w:sz w:val="18"/>
              </w:rPr>
              <w:t>2045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5B9F9810" w14:textId="77777777" w:rsidR="002F4FA6" w:rsidRPr="0098629B" w:rsidRDefault="002F4FA6" w:rsidP="00635A2E">
            <w:pPr>
              <w:spacing w:line="259" w:lineRule="auto"/>
              <w:ind w:left="84"/>
              <w:jc w:val="center"/>
              <w:rPr>
                <w:b/>
                <w:color w:val="FFFFFF"/>
                <w:sz w:val="18"/>
              </w:rPr>
            </w:pPr>
            <w:r w:rsidRPr="0098629B">
              <w:rPr>
                <w:b/>
                <w:color w:val="FFFFFF"/>
                <w:sz w:val="18"/>
              </w:rPr>
              <w:t>2050</w:t>
            </w:r>
          </w:p>
        </w:tc>
      </w:tr>
      <w:tr w:rsidR="002F4FA6" w:rsidRPr="0098629B" w14:paraId="79FBEA0E" w14:textId="77777777" w:rsidTr="00635A2E">
        <w:trPr>
          <w:trHeight w:val="359"/>
        </w:trPr>
        <w:tc>
          <w:tcPr>
            <w:tcW w:w="1981" w:type="dxa"/>
            <w:tcBorders>
              <w:top w:val="single" w:sz="2" w:space="0" w:color="000000"/>
              <w:left w:val="single" w:sz="2" w:space="0" w:color="000000"/>
              <w:bottom w:val="single" w:sz="2" w:space="0" w:color="000000"/>
              <w:right w:val="single" w:sz="4" w:space="0" w:color="auto"/>
            </w:tcBorders>
            <w:vAlign w:val="bottom"/>
          </w:tcPr>
          <w:p w14:paraId="5FE34414" w14:textId="77777777" w:rsidR="002F4FA6" w:rsidRPr="0098629B" w:rsidRDefault="002F4FA6" w:rsidP="00635A2E">
            <w:pPr>
              <w:spacing w:line="259" w:lineRule="auto"/>
            </w:pPr>
            <w:r w:rsidRPr="0098629B">
              <w:rPr>
                <w:sz w:val="18"/>
              </w:rPr>
              <w:t xml:space="preserve">France </w:t>
            </w:r>
          </w:p>
        </w:tc>
        <w:tc>
          <w:tcPr>
            <w:tcW w:w="995" w:type="dxa"/>
            <w:tcBorders>
              <w:top w:val="single" w:sz="4" w:space="0" w:color="auto"/>
              <w:left w:val="single" w:sz="4" w:space="0" w:color="auto"/>
              <w:bottom w:val="single" w:sz="4" w:space="0" w:color="auto"/>
              <w:right w:val="single" w:sz="4" w:space="0" w:color="auto"/>
            </w:tcBorders>
            <w:vAlign w:val="center"/>
          </w:tcPr>
          <w:p w14:paraId="2CB79918" w14:textId="77777777" w:rsidR="002F4FA6" w:rsidRPr="0098629B" w:rsidRDefault="002F4FA6" w:rsidP="00635A2E">
            <w:pPr>
              <w:spacing w:line="259" w:lineRule="auto"/>
              <w:jc w:val="center"/>
              <w:rPr>
                <w:sz w:val="18"/>
              </w:rPr>
            </w:pPr>
            <w:r w:rsidRPr="0098629B">
              <w:rPr>
                <w:sz w:val="18"/>
              </w:rPr>
              <w:t>67,0</w:t>
            </w:r>
          </w:p>
        </w:tc>
        <w:tc>
          <w:tcPr>
            <w:tcW w:w="995" w:type="dxa"/>
            <w:tcBorders>
              <w:top w:val="single" w:sz="4" w:space="0" w:color="auto"/>
              <w:left w:val="single" w:sz="4" w:space="0" w:color="auto"/>
              <w:bottom w:val="single" w:sz="4" w:space="0" w:color="auto"/>
              <w:right w:val="single" w:sz="4" w:space="0" w:color="auto"/>
            </w:tcBorders>
            <w:vAlign w:val="center"/>
          </w:tcPr>
          <w:p w14:paraId="1A7901CA" w14:textId="77777777" w:rsidR="002F4FA6" w:rsidRPr="0098629B" w:rsidRDefault="002F4FA6" w:rsidP="00635A2E">
            <w:pPr>
              <w:spacing w:line="259" w:lineRule="auto"/>
              <w:jc w:val="center"/>
              <w:rPr>
                <w:sz w:val="18"/>
              </w:rPr>
            </w:pPr>
            <w:r w:rsidRPr="0098629B">
              <w:rPr>
                <w:sz w:val="18"/>
              </w:rPr>
              <w:t>67,20</w:t>
            </w:r>
          </w:p>
        </w:tc>
        <w:tc>
          <w:tcPr>
            <w:tcW w:w="995" w:type="dxa"/>
            <w:tcBorders>
              <w:top w:val="single" w:sz="4" w:space="0" w:color="auto"/>
              <w:left w:val="single" w:sz="4" w:space="0" w:color="auto"/>
              <w:bottom w:val="single" w:sz="4" w:space="0" w:color="auto"/>
              <w:right w:val="single" w:sz="4" w:space="0" w:color="auto"/>
            </w:tcBorders>
            <w:vAlign w:val="center"/>
          </w:tcPr>
          <w:p w14:paraId="2F467495" w14:textId="77777777" w:rsidR="002F4FA6" w:rsidRPr="0098629B" w:rsidRDefault="002F4FA6" w:rsidP="00635A2E">
            <w:pPr>
              <w:spacing w:line="259" w:lineRule="auto"/>
              <w:jc w:val="center"/>
              <w:rPr>
                <w:sz w:val="18"/>
              </w:rPr>
            </w:pPr>
            <w:r w:rsidRPr="0098629B">
              <w:rPr>
                <w:sz w:val="18"/>
              </w:rPr>
              <w:t>68,15</w:t>
            </w:r>
          </w:p>
        </w:tc>
        <w:tc>
          <w:tcPr>
            <w:tcW w:w="996" w:type="dxa"/>
            <w:tcBorders>
              <w:top w:val="single" w:sz="4" w:space="0" w:color="auto"/>
              <w:left w:val="single" w:sz="4" w:space="0" w:color="auto"/>
              <w:bottom w:val="single" w:sz="4" w:space="0" w:color="auto"/>
              <w:right w:val="single" w:sz="4" w:space="0" w:color="auto"/>
            </w:tcBorders>
            <w:vAlign w:val="center"/>
          </w:tcPr>
          <w:p w14:paraId="3CF33592" w14:textId="77777777" w:rsidR="002F4FA6" w:rsidRPr="0098629B" w:rsidRDefault="002F4FA6" w:rsidP="00635A2E">
            <w:pPr>
              <w:spacing w:line="259" w:lineRule="auto"/>
              <w:jc w:val="center"/>
              <w:rPr>
                <w:sz w:val="18"/>
              </w:rPr>
            </w:pPr>
            <w:r w:rsidRPr="0098629B">
              <w:rPr>
                <w:sz w:val="18"/>
              </w:rPr>
              <w:t>69,12</w:t>
            </w:r>
          </w:p>
        </w:tc>
        <w:tc>
          <w:tcPr>
            <w:tcW w:w="995" w:type="dxa"/>
            <w:tcBorders>
              <w:top w:val="single" w:sz="4" w:space="0" w:color="auto"/>
              <w:left w:val="single" w:sz="4" w:space="0" w:color="auto"/>
              <w:bottom w:val="single" w:sz="4" w:space="0" w:color="auto"/>
              <w:right w:val="single" w:sz="4" w:space="0" w:color="auto"/>
            </w:tcBorders>
            <w:vAlign w:val="center"/>
          </w:tcPr>
          <w:p w14:paraId="595AF9C7" w14:textId="77777777" w:rsidR="002F4FA6" w:rsidRPr="0098629B" w:rsidRDefault="002F4FA6" w:rsidP="00635A2E">
            <w:pPr>
              <w:spacing w:line="259" w:lineRule="auto"/>
              <w:jc w:val="center"/>
              <w:rPr>
                <w:sz w:val="18"/>
              </w:rPr>
            </w:pPr>
            <w:r w:rsidRPr="0098629B">
              <w:rPr>
                <w:sz w:val="18"/>
              </w:rPr>
              <w:t>70,10</w:t>
            </w:r>
          </w:p>
        </w:tc>
        <w:tc>
          <w:tcPr>
            <w:tcW w:w="995" w:type="dxa"/>
            <w:tcBorders>
              <w:top w:val="single" w:sz="4" w:space="0" w:color="auto"/>
              <w:left w:val="single" w:sz="4" w:space="0" w:color="auto"/>
              <w:bottom w:val="single" w:sz="4" w:space="0" w:color="auto"/>
              <w:right w:val="single" w:sz="4" w:space="0" w:color="auto"/>
            </w:tcBorders>
            <w:vAlign w:val="center"/>
          </w:tcPr>
          <w:p w14:paraId="122D3C09" w14:textId="77777777" w:rsidR="002F4FA6" w:rsidRPr="0098629B" w:rsidRDefault="002F4FA6" w:rsidP="00635A2E">
            <w:pPr>
              <w:spacing w:line="259" w:lineRule="auto"/>
              <w:jc w:val="center"/>
              <w:rPr>
                <w:sz w:val="18"/>
              </w:rPr>
            </w:pPr>
            <w:r w:rsidRPr="0098629B">
              <w:rPr>
                <w:sz w:val="18"/>
              </w:rPr>
              <w:t>70,93</w:t>
            </w:r>
          </w:p>
        </w:tc>
        <w:tc>
          <w:tcPr>
            <w:tcW w:w="995" w:type="dxa"/>
            <w:tcBorders>
              <w:top w:val="single" w:sz="4" w:space="0" w:color="auto"/>
              <w:left w:val="single" w:sz="4" w:space="0" w:color="auto"/>
              <w:bottom w:val="single" w:sz="4" w:space="0" w:color="auto"/>
              <w:right w:val="single" w:sz="4" w:space="0" w:color="auto"/>
            </w:tcBorders>
            <w:vAlign w:val="center"/>
          </w:tcPr>
          <w:p w14:paraId="6C64D898" w14:textId="77777777" w:rsidR="002F4FA6" w:rsidRPr="0098629B" w:rsidRDefault="002F4FA6" w:rsidP="00635A2E">
            <w:pPr>
              <w:spacing w:line="259" w:lineRule="auto"/>
              <w:jc w:val="center"/>
              <w:rPr>
                <w:sz w:val="18"/>
              </w:rPr>
            </w:pPr>
            <w:r w:rsidRPr="0098629B">
              <w:rPr>
                <w:sz w:val="18"/>
              </w:rPr>
              <w:t>71,46</w:t>
            </w:r>
          </w:p>
        </w:tc>
        <w:tc>
          <w:tcPr>
            <w:tcW w:w="996" w:type="dxa"/>
            <w:tcBorders>
              <w:top w:val="single" w:sz="4" w:space="0" w:color="auto"/>
              <w:left w:val="single" w:sz="4" w:space="0" w:color="auto"/>
              <w:bottom w:val="single" w:sz="4" w:space="0" w:color="auto"/>
              <w:right w:val="single" w:sz="4" w:space="0" w:color="auto"/>
            </w:tcBorders>
            <w:vAlign w:val="center"/>
          </w:tcPr>
          <w:p w14:paraId="73D62950" w14:textId="77777777" w:rsidR="002F4FA6" w:rsidRPr="0098629B" w:rsidRDefault="002F4FA6" w:rsidP="00635A2E">
            <w:pPr>
              <w:spacing w:line="259" w:lineRule="auto"/>
              <w:jc w:val="center"/>
              <w:rPr>
                <w:sz w:val="18"/>
              </w:rPr>
            </w:pPr>
            <w:r w:rsidRPr="0098629B">
              <w:rPr>
                <w:sz w:val="18"/>
              </w:rPr>
              <w:t>71,78</w:t>
            </w:r>
          </w:p>
        </w:tc>
      </w:tr>
      <w:tr w:rsidR="002F4FA6" w:rsidRPr="0098629B" w14:paraId="693599EA" w14:textId="77777777" w:rsidTr="00635A2E">
        <w:trPr>
          <w:trHeight w:val="320"/>
        </w:trPr>
        <w:tc>
          <w:tcPr>
            <w:tcW w:w="1981" w:type="dxa"/>
            <w:tcBorders>
              <w:top w:val="single" w:sz="2" w:space="0" w:color="000000"/>
              <w:left w:val="single" w:sz="2" w:space="0" w:color="000000"/>
              <w:bottom w:val="single" w:sz="2" w:space="0" w:color="000000"/>
              <w:right w:val="single" w:sz="4" w:space="0" w:color="auto"/>
            </w:tcBorders>
            <w:shd w:val="clear" w:color="auto" w:fill="ECE6E2"/>
            <w:vAlign w:val="bottom"/>
          </w:tcPr>
          <w:p w14:paraId="504F0F00" w14:textId="77777777" w:rsidR="002F4FA6" w:rsidRPr="0098629B" w:rsidRDefault="002F4FA6" w:rsidP="00635A2E">
            <w:pPr>
              <w:spacing w:line="259" w:lineRule="auto"/>
            </w:pPr>
            <w:r w:rsidRPr="0098629B">
              <w:rPr>
                <w:sz w:val="18"/>
              </w:rPr>
              <w:t xml:space="preserve">  dont métropole </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03FF4CD8" w14:textId="77777777" w:rsidR="002F4FA6" w:rsidRPr="0098629B" w:rsidRDefault="002F4FA6" w:rsidP="00635A2E">
            <w:pPr>
              <w:spacing w:line="259" w:lineRule="auto"/>
              <w:jc w:val="center"/>
              <w:rPr>
                <w:sz w:val="18"/>
              </w:rPr>
            </w:pPr>
            <w:r w:rsidRPr="0098629B">
              <w:rPr>
                <w:sz w:val="18"/>
              </w:rPr>
              <w:t>64,90</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7433A5C6" w14:textId="77777777" w:rsidR="002F4FA6" w:rsidRPr="0098629B" w:rsidRDefault="002F4FA6" w:rsidP="00635A2E">
            <w:pPr>
              <w:spacing w:line="259" w:lineRule="auto"/>
              <w:jc w:val="center"/>
              <w:rPr>
                <w:sz w:val="18"/>
              </w:rPr>
            </w:pPr>
            <w:r w:rsidRPr="0098629B">
              <w:rPr>
                <w:sz w:val="18"/>
              </w:rPr>
              <w:t>65,09</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7C6B9CAE" w14:textId="77777777" w:rsidR="002F4FA6" w:rsidRPr="0098629B" w:rsidRDefault="002F4FA6" w:rsidP="00635A2E">
            <w:pPr>
              <w:spacing w:line="259" w:lineRule="auto"/>
              <w:jc w:val="center"/>
              <w:rPr>
                <w:sz w:val="18"/>
              </w:rPr>
            </w:pPr>
            <w:r w:rsidRPr="0098629B">
              <w:rPr>
                <w:sz w:val="18"/>
              </w:rPr>
              <w:t>66,01</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4766B3E0" w14:textId="77777777" w:rsidR="002F4FA6" w:rsidRPr="0098629B" w:rsidRDefault="002F4FA6" w:rsidP="00635A2E">
            <w:pPr>
              <w:spacing w:line="259" w:lineRule="auto"/>
              <w:jc w:val="center"/>
              <w:rPr>
                <w:sz w:val="18"/>
              </w:rPr>
            </w:pPr>
            <w:r w:rsidRPr="0098629B">
              <w:rPr>
                <w:sz w:val="18"/>
              </w:rPr>
              <w:t>66,95</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4A0F6B2C" w14:textId="77777777" w:rsidR="002F4FA6" w:rsidRPr="0098629B" w:rsidRDefault="002F4FA6" w:rsidP="00635A2E">
            <w:pPr>
              <w:spacing w:line="259" w:lineRule="auto"/>
              <w:jc w:val="center"/>
              <w:rPr>
                <w:sz w:val="18"/>
              </w:rPr>
            </w:pPr>
            <w:r w:rsidRPr="0098629B">
              <w:rPr>
                <w:sz w:val="18"/>
              </w:rPr>
              <w:t>67,91</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4C8F45CF" w14:textId="77777777" w:rsidR="002F4FA6" w:rsidRPr="0098629B" w:rsidRDefault="002F4FA6" w:rsidP="00635A2E">
            <w:pPr>
              <w:spacing w:line="259" w:lineRule="auto"/>
              <w:jc w:val="center"/>
              <w:rPr>
                <w:sz w:val="18"/>
              </w:rPr>
            </w:pPr>
            <w:r w:rsidRPr="0098629B">
              <w:rPr>
                <w:sz w:val="18"/>
              </w:rPr>
              <w:t>68,69</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2F75F356" w14:textId="77777777" w:rsidR="002F4FA6" w:rsidRPr="0098629B" w:rsidRDefault="002F4FA6" w:rsidP="00635A2E">
            <w:pPr>
              <w:spacing w:line="259" w:lineRule="auto"/>
              <w:jc w:val="center"/>
              <w:rPr>
                <w:sz w:val="18"/>
              </w:rPr>
            </w:pPr>
            <w:r w:rsidRPr="0098629B">
              <w:rPr>
                <w:sz w:val="18"/>
              </w:rPr>
              <w:t>69,20</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5B04FB9D" w14:textId="77777777" w:rsidR="002F4FA6" w:rsidRPr="0098629B" w:rsidRDefault="002F4FA6" w:rsidP="00635A2E">
            <w:pPr>
              <w:spacing w:line="259" w:lineRule="auto"/>
              <w:jc w:val="center"/>
              <w:rPr>
                <w:sz w:val="18"/>
              </w:rPr>
            </w:pPr>
            <w:r w:rsidRPr="0098629B">
              <w:rPr>
                <w:sz w:val="18"/>
              </w:rPr>
              <w:t>69,49</w:t>
            </w:r>
          </w:p>
        </w:tc>
      </w:tr>
      <w:tr w:rsidR="002F4FA6" w:rsidRPr="0098629B" w14:paraId="4D05875D" w14:textId="77777777" w:rsidTr="00635A2E">
        <w:trPr>
          <w:trHeight w:val="350"/>
        </w:trPr>
        <w:tc>
          <w:tcPr>
            <w:tcW w:w="1981" w:type="dxa"/>
            <w:tcBorders>
              <w:top w:val="single" w:sz="2" w:space="0" w:color="000000"/>
              <w:left w:val="single" w:sz="2" w:space="0" w:color="000000"/>
              <w:bottom w:val="single" w:sz="2" w:space="0" w:color="000000"/>
              <w:right w:val="single" w:sz="4" w:space="0" w:color="auto"/>
            </w:tcBorders>
            <w:vAlign w:val="bottom"/>
          </w:tcPr>
          <w:p w14:paraId="485E84B8" w14:textId="77777777" w:rsidR="002F4FA6" w:rsidRPr="0098629B" w:rsidRDefault="002F4FA6" w:rsidP="00635A2E">
            <w:pPr>
              <w:spacing w:line="259" w:lineRule="auto"/>
            </w:pPr>
            <w:r w:rsidRPr="0098629B">
              <w:rPr>
                <w:sz w:val="18"/>
              </w:rPr>
              <w:t xml:space="preserve">  dont Dom-Com </w:t>
            </w:r>
          </w:p>
        </w:tc>
        <w:tc>
          <w:tcPr>
            <w:tcW w:w="995" w:type="dxa"/>
            <w:tcBorders>
              <w:top w:val="single" w:sz="4" w:space="0" w:color="auto"/>
              <w:left w:val="single" w:sz="4" w:space="0" w:color="auto"/>
              <w:bottom w:val="single" w:sz="4" w:space="0" w:color="auto"/>
              <w:right w:val="single" w:sz="4" w:space="0" w:color="auto"/>
            </w:tcBorders>
            <w:vAlign w:val="center"/>
          </w:tcPr>
          <w:p w14:paraId="6D165118" w14:textId="77777777" w:rsidR="002F4FA6" w:rsidRPr="0098629B" w:rsidRDefault="002F4FA6" w:rsidP="00635A2E">
            <w:pPr>
              <w:spacing w:line="259" w:lineRule="auto"/>
              <w:jc w:val="center"/>
              <w:rPr>
                <w:sz w:val="18"/>
              </w:rPr>
            </w:pPr>
            <w:r w:rsidRPr="0098629B">
              <w:rPr>
                <w:sz w:val="18"/>
              </w:rPr>
              <w:t>2,11</w:t>
            </w:r>
          </w:p>
        </w:tc>
        <w:tc>
          <w:tcPr>
            <w:tcW w:w="995" w:type="dxa"/>
            <w:tcBorders>
              <w:top w:val="single" w:sz="4" w:space="0" w:color="auto"/>
              <w:left w:val="single" w:sz="4" w:space="0" w:color="auto"/>
              <w:bottom w:val="single" w:sz="4" w:space="0" w:color="auto"/>
              <w:right w:val="single" w:sz="4" w:space="0" w:color="auto"/>
            </w:tcBorders>
            <w:vAlign w:val="center"/>
          </w:tcPr>
          <w:p w14:paraId="0C320626" w14:textId="77777777" w:rsidR="002F4FA6" w:rsidRPr="0098629B" w:rsidRDefault="002F4FA6" w:rsidP="00635A2E">
            <w:pPr>
              <w:spacing w:line="259" w:lineRule="auto"/>
              <w:jc w:val="center"/>
              <w:rPr>
                <w:sz w:val="18"/>
              </w:rPr>
            </w:pPr>
            <w:r w:rsidRPr="0098629B">
              <w:rPr>
                <w:sz w:val="18"/>
              </w:rPr>
              <w:t>2,11</w:t>
            </w:r>
          </w:p>
        </w:tc>
        <w:tc>
          <w:tcPr>
            <w:tcW w:w="995" w:type="dxa"/>
            <w:tcBorders>
              <w:top w:val="single" w:sz="4" w:space="0" w:color="auto"/>
              <w:left w:val="single" w:sz="4" w:space="0" w:color="auto"/>
              <w:bottom w:val="single" w:sz="4" w:space="0" w:color="auto"/>
              <w:right w:val="single" w:sz="4" w:space="0" w:color="auto"/>
            </w:tcBorders>
            <w:vAlign w:val="center"/>
          </w:tcPr>
          <w:p w14:paraId="7622A02A" w14:textId="77777777" w:rsidR="002F4FA6" w:rsidRPr="0098629B" w:rsidRDefault="002F4FA6" w:rsidP="00635A2E">
            <w:pPr>
              <w:spacing w:line="259" w:lineRule="auto"/>
              <w:jc w:val="center"/>
              <w:rPr>
                <w:sz w:val="18"/>
              </w:rPr>
            </w:pPr>
            <w:r w:rsidRPr="0098629B">
              <w:rPr>
                <w:sz w:val="18"/>
              </w:rPr>
              <w:t>2,14</w:t>
            </w:r>
          </w:p>
        </w:tc>
        <w:tc>
          <w:tcPr>
            <w:tcW w:w="996" w:type="dxa"/>
            <w:tcBorders>
              <w:top w:val="single" w:sz="4" w:space="0" w:color="auto"/>
              <w:left w:val="single" w:sz="4" w:space="0" w:color="auto"/>
              <w:bottom w:val="single" w:sz="4" w:space="0" w:color="auto"/>
              <w:right w:val="single" w:sz="4" w:space="0" w:color="auto"/>
            </w:tcBorders>
            <w:vAlign w:val="center"/>
          </w:tcPr>
          <w:p w14:paraId="29676C96" w14:textId="77777777" w:rsidR="002F4FA6" w:rsidRPr="0098629B" w:rsidRDefault="002F4FA6" w:rsidP="00635A2E">
            <w:pPr>
              <w:spacing w:line="259" w:lineRule="auto"/>
              <w:jc w:val="center"/>
              <w:rPr>
                <w:sz w:val="18"/>
              </w:rPr>
            </w:pPr>
            <w:r w:rsidRPr="0098629B">
              <w:rPr>
                <w:sz w:val="18"/>
              </w:rPr>
              <w:t>2,16</w:t>
            </w:r>
          </w:p>
        </w:tc>
        <w:tc>
          <w:tcPr>
            <w:tcW w:w="995" w:type="dxa"/>
            <w:tcBorders>
              <w:top w:val="single" w:sz="4" w:space="0" w:color="auto"/>
              <w:left w:val="single" w:sz="4" w:space="0" w:color="auto"/>
              <w:bottom w:val="single" w:sz="4" w:space="0" w:color="auto"/>
              <w:right w:val="single" w:sz="4" w:space="0" w:color="auto"/>
            </w:tcBorders>
            <w:vAlign w:val="center"/>
          </w:tcPr>
          <w:p w14:paraId="7FBD7DBF" w14:textId="77777777" w:rsidR="002F4FA6" w:rsidRPr="0098629B" w:rsidRDefault="002F4FA6" w:rsidP="00635A2E">
            <w:pPr>
              <w:spacing w:line="259" w:lineRule="auto"/>
              <w:jc w:val="center"/>
              <w:rPr>
                <w:sz w:val="18"/>
              </w:rPr>
            </w:pPr>
            <w:r w:rsidRPr="0098629B">
              <w:rPr>
                <w:sz w:val="18"/>
              </w:rPr>
              <w:t>2,20</w:t>
            </w:r>
          </w:p>
        </w:tc>
        <w:tc>
          <w:tcPr>
            <w:tcW w:w="995" w:type="dxa"/>
            <w:tcBorders>
              <w:top w:val="single" w:sz="4" w:space="0" w:color="auto"/>
              <w:left w:val="single" w:sz="4" w:space="0" w:color="auto"/>
              <w:bottom w:val="single" w:sz="4" w:space="0" w:color="auto"/>
              <w:right w:val="single" w:sz="4" w:space="0" w:color="auto"/>
            </w:tcBorders>
            <w:vAlign w:val="center"/>
          </w:tcPr>
          <w:p w14:paraId="238DFEA0" w14:textId="77777777" w:rsidR="002F4FA6" w:rsidRPr="0098629B" w:rsidRDefault="002F4FA6" w:rsidP="00635A2E">
            <w:pPr>
              <w:spacing w:line="259" w:lineRule="auto"/>
              <w:jc w:val="center"/>
              <w:rPr>
                <w:sz w:val="18"/>
              </w:rPr>
            </w:pPr>
            <w:r w:rsidRPr="0098629B">
              <w:rPr>
                <w:sz w:val="18"/>
              </w:rPr>
              <w:t>2,23</w:t>
            </w:r>
          </w:p>
        </w:tc>
        <w:tc>
          <w:tcPr>
            <w:tcW w:w="995" w:type="dxa"/>
            <w:tcBorders>
              <w:top w:val="single" w:sz="4" w:space="0" w:color="auto"/>
              <w:left w:val="single" w:sz="4" w:space="0" w:color="auto"/>
              <w:bottom w:val="single" w:sz="4" w:space="0" w:color="auto"/>
              <w:right w:val="single" w:sz="4" w:space="0" w:color="auto"/>
            </w:tcBorders>
            <w:vAlign w:val="center"/>
          </w:tcPr>
          <w:p w14:paraId="196E0BE1" w14:textId="77777777" w:rsidR="002F4FA6" w:rsidRPr="0098629B" w:rsidRDefault="002F4FA6" w:rsidP="00635A2E">
            <w:pPr>
              <w:spacing w:line="259" w:lineRule="auto"/>
              <w:jc w:val="center"/>
              <w:rPr>
                <w:sz w:val="18"/>
              </w:rPr>
            </w:pPr>
            <w:r w:rsidRPr="0098629B">
              <w:rPr>
                <w:sz w:val="18"/>
              </w:rPr>
              <w:t>2,26</w:t>
            </w:r>
          </w:p>
        </w:tc>
        <w:tc>
          <w:tcPr>
            <w:tcW w:w="996" w:type="dxa"/>
            <w:tcBorders>
              <w:top w:val="single" w:sz="4" w:space="0" w:color="auto"/>
              <w:left w:val="single" w:sz="4" w:space="0" w:color="auto"/>
              <w:bottom w:val="single" w:sz="4" w:space="0" w:color="auto"/>
              <w:right w:val="single" w:sz="4" w:space="0" w:color="auto"/>
            </w:tcBorders>
            <w:vAlign w:val="center"/>
          </w:tcPr>
          <w:p w14:paraId="2DCA82B8" w14:textId="77777777" w:rsidR="002F4FA6" w:rsidRPr="0098629B" w:rsidRDefault="002F4FA6" w:rsidP="00635A2E">
            <w:pPr>
              <w:spacing w:line="259" w:lineRule="auto"/>
              <w:jc w:val="center"/>
              <w:rPr>
                <w:sz w:val="18"/>
              </w:rPr>
            </w:pPr>
            <w:r w:rsidRPr="0098629B">
              <w:rPr>
                <w:sz w:val="18"/>
              </w:rPr>
              <w:t>2,28</w:t>
            </w:r>
          </w:p>
        </w:tc>
      </w:tr>
    </w:tbl>
    <w:p w14:paraId="6826CF4D" w14:textId="51891FC2" w:rsidR="002F4FA6" w:rsidRPr="0098629B" w:rsidRDefault="002F4FA6" w:rsidP="002F4FA6">
      <w:pPr>
        <w:pStyle w:val="Caption"/>
      </w:pPr>
      <w:bookmarkStart w:id="191" w:name="_Toc122694460"/>
      <w:bookmarkStart w:id="192" w:name="_Toc123916663"/>
      <w:r w:rsidRPr="0098629B">
        <w:t xml:space="preserve">Tableau </w:t>
      </w:r>
      <w:fldSimple w:instr=" SEQ Tableau \* ARABIC ">
        <w:r w:rsidR="00677B3C">
          <w:rPr>
            <w:noProof/>
          </w:rPr>
          <w:t>28</w:t>
        </w:r>
      </w:fldSimple>
      <w:r w:rsidRPr="0098629B">
        <w:t> : Hypothèses de croissance de la population pour l’AME 2021</w:t>
      </w:r>
      <w:bookmarkEnd w:id="191"/>
      <w:bookmarkEnd w:id="192"/>
    </w:p>
    <w:p w14:paraId="33EBB8FB" w14:textId="77777777" w:rsidR="002F4FA6" w:rsidRPr="0098629B" w:rsidRDefault="002F4FA6" w:rsidP="002F4FA6">
      <w:pPr>
        <w:pStyle w:val="Caption"/>
        <w:rPr>
          <w:b/>
          <w:bCs/>
        </w:rPr>
      </w:pPr>
      <w:r w:rsidRPr="0098629B">
        <w:t xml:space="preserve">Source : Cadrage économique de l’UE, Insee, 2016 </w:t>
      </w:r>
    </w:p>
    <w:p w14:paraId="75244042" w14:textId="77777777" w:rsidR="002F4FA6" w:rsidRPr="0098629B" w:rsidRDefault="002F4FA6" w:rsidP="002F4FA6">
      <w:pPr>
        <w:spacing w:after="54" w:line="249" w:lineRule="auto"/>
        <w:ind w:left="-5" w:right="914" w:hanging="3"/>
        <w:jc w:val="left"/>
        <w:rPr>
          <w:b/>
          <w:bCs/>
          <w:sz w:val="18"/>
          <w:szCs w:val="18"/>
        </w:rPr>
      </w:pPr>
    </w:p>
    <w:p w14:paraId="0AC22455" w14:textId="77777777" w:rsidR="002F4FA6" w:rsidRPr="0098629B" w:rsidRDefault="002F4FA6" w:rsidP="002F4FA6">
      <w:pPr>
        <w:pStyle w:val="titreencadre"/>
        <w:spacing w:before="120" w:after="60" w:line="240" w:lineRule="auto"/>
      </w:pPr>
      <w:r w:rsidRPr="0098629B">
        <w:t>AMS 2018</w:t>
      </w:r>
    </w:p>
    <w:tbl>
      <w:tblPr>
        <w:tblStyle w:val="TableGrid0"/>
        <w:tblW w:w="9943" w:type="dxa"/>
        <w:tblInd w:w="1" w:type="dxa"/>
        <w:tblCellMar>
          <w:top w:w="124" w:type="dxa"/>
          <w:left w:w="28" w:type="dxa"/>
          <w:bottom w:w="20" w:type="dxa"/>
          <w:right w:w="115" w:type="dxa"/>
        </w:tblCellMar>
        <w:tblLook w:val="04A0" w:firstRow="1" w:lastRow="0" w:firstColumn="1" w:lastColumn="0" w:noHBand="0" w:noVBand="1"/>
      </w:tblPr>
      <w:tblGrid>
        <w:gridCol w:w="1981"/>
        <w:gridCol w:w="995"/>
        <w:gridCol w:w="995"/>
        <w:gridCol w:w="995"/>
        <w:gridCol w:w="996"/>
        <w:gridCol w:w="995"/>
        <w:gridCol w:w="995"/>
        <w:gridCol w:w="995"/>
        <w:gridCol w:w="996"/>
      </w:tblGrid>
      <w:tr w:rsidR="002F4FA6" w:rsidRPr="0098629B" w14:paraId="52B27871" w14:textId="77777777" w:rsidTr="00635A2E">
        <w:trPr>
          <w:trHeight w:val="378"/>
        </w:trPr>
        <w:tc>
          <w:tcPr>
            <w:tcW w:w="1981" w:type="dxa"/>
            <w:tcBorders>
              <w:top w:val="single" w:sz="2" w:space="0" w:color="000000"/>
              <w:left w:val="single" w:sz="2" w:space="0" w:color="000000"/>
              <w:bottom w:val="single" w:sz="2" w:space="0" w:color="000000"/>
              <w:right w:val="single" w:sz="4" w:space="0" w:color="auto"/>
            </w:tcBorders>
            <w:shd w:val="clear" w:color="auto" w:fill="6D2A78"/>
          </w:tcPr>
          <w:p w14:paraId="54F88A33" w14:textId="77777777" w:rsidR="002F4FA6" w:rsidRPr="0098629B" w:rsidRDefault="002F4FA6" w:rsidP="00635A2E">
            <w:pPr>
              <w:spacing w:line="259" w:lineRule="auto"/>
            </w:pPr>
            <w:r w:rsidRPr="0098629B">
              <w:rPr>
                <w:color w:val="FFFFFF"/>
                <w:sz w:val="18"/>
              </w:rPr>
              <w:t xml:space="preserve">Population (en milliers d’habitants) </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5DDA9EA4" w14:textId="77777777" w:rsidR="002F4FA6" w:rsidRPr="0098629B" w:rsidRDefault="002F4FA6" w:rsidP="00635A2E">
            <w:pPr>
              <w:spacing w:line="259" w:lineRule="auto"/>
              <w:ind w:left="85"/>
              <w:jc w:val="center"/>
            </w:pPr>
            <w:r w:rsidRPr="0098629B">
              <w:rPr>
                <w:b/>
                <w:color w:val="FFFFFF"/>
                <w:sz w:val="18"/>
              </w:rPr>
              <w:t>2015</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704EACC" w14:textId="77777777" w:rsidR="002F4FA6" w:rsidRPr="0098629B" w:rsidRDefault="002F4FA6" w:rsidP="00635A2E">
            <w:pPr>
              <w:spacing w:line="259" w:lineRule="auto"/>
              <w:ind w:left="85"/>
              <w:jc w:val="center"/>
            </w:pPr>
            <w:r w:rsidRPr="0098629B">
              <w:rPr>
                <w:b/>
                <w:color w:val="FFFFFF"/>
                <w:sz w:val="18"/>
              </w:rPr>
              <w:t>2020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02B05933" w14:textId="77777777" w:rsidR="002F4FA6" w:rsidRPr="0098629B" w:rsidRDefault="002F4FA6" w:rsidP="00635A2E">
            <w:pPr>
              <w:spacing w:line="259" w:lineRule="auto"/>
              <w:ind w:left="85"/>
              <w:jc w:val="center"/>
            </w:pPr>
            <w:r w:rsidRPr="0098629B">
              <w:rPr>
                <w:b/>
                <w:color w:val="FFFFFF"/>
                <w:sz w:val="18"/>
              </w:rPr>
              <w:t>2025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425A98C6" w14:textId="77777777" w:rsidR="002F4FA6" w:rsidRPr="0098629B" w:rsidRDefault="002F4FA6" w:rsidP="00635A2E">
            <w:pPr>
              <w:spacing w:line="259" w:lineRule="auto"/>
              <w:ind w:left="86"/>
              <w:jc w:val="center"/>
            </w:pPr>
            <w:r w:rsidRPr="0098629B">
              <w:rPr>
                <w:b/>
                <w:color w:val="FFFFFF"/>
                <w:sz w:val="18"/>
              </w:rPr>
              <w:t>2030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8A3B3F5" w14:textId="77777777" w:rsidR="002F4FA6" w:rsidRPr="0098629B" w:rsidRDefault="002F4FA6" w:rsidP="00635A2E">
            <w:pPr>
              <w:spacing w:line="259" w:lineRule="auto"/>
              <w:ind w:left="84"/>
              <w:jc w:val="center"/>
            </w:pPr>
            <w:r w:rsidRPr="0098629B">
              <w:rPr>
                <w:b/>
                <w:color w:val="FFFFFF"/>
                <w:sz w:val="18"/>
              </w:rPr>
              <w:t>2035</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B3B882F" w14:textId="77777777" w:rsidR="002F4FA6" w:rsidRPr="0098629B" w:rsidRDefault="002F4FA6" w:rsidP="00635A2E">
            <w:pPr>
              <w:spacing w:line="259" w:lineRule="auto"/>
              <w:ind w:left="84"/>
              <w:jc w:val="center"/>
              <w:rPr>
                <w:b/>
                <w:color w:val="FFFFFF"/>
                <w:sz w:val="18"/>
              </w:rPr>
            </w:pPr>
            <w:r w:rsidRPr="0098629B">
              <w:rPr>
                <w:b/>
                <w:color w:val="FFFFFF"/>
                <w:sz w:val="18"/>
              </w:rPr>
              <w:t>2040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5E4462C" w14:textId="77777777" w:rsidR="002F4FA6" w:rsidRPr="0098629B" w:rsidRDefault="002F4FA6" w:rsidP="00635A2E">
            <w:pPr>
              <w:spacing w:line="259" w:lineRule="auto"/>
              <w:ind w:left="84"/>
              <w:jc w:val="center"/>
              <w:rPr>
                <w:b/>
                <w:color w:val="FFFFFF"/>
                <w:sz w:val="18"/>
              </w:rPr>
            </w:pPr>
            <w:r w:rsidRPr="0098629B">
              <w:rPr>
                <w:b/>
                <w:color w:val="FFFFFF"/>
                <w:sz w:val="18"/>
              </w:rPr>
              <w:t>2045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4164CA52" w14:textId="77777777" w:rsidR="002F4FA6" w:rsidRPr="0098629B" w:rsidRDefault="002F4FA6" w:rsidP="00635A2E">
            <w:pPr>
              <w:spacing w:line="259" w:lineRule="auto"/>
              <w:ind w:left="84"/>
              <w:jc w:val="center"/>
              <w:rPr>
                <w:b/>
                <w:color w:val="FFFFFF"/>
                <w:sz w:val="18"/>
              </w:rPr>
            </w:pPr>
            <w:r w:rsidRPr="0098629B">
              <w:rPr>
                <w:b/>
                <w:color w:val="FFFFFF"/>
                <w:sz w:val="18"/>
              </w:rPr>
              <w:t>2050</w:t>
            </w:r>
          </w:p>
        </w:tc>
      </w:tr>
      <w:tr w:rsidR="002F4FA6" w:rsidRPr="0098629B" w14:paraId="3B4B0BFE" w14:textId="77777777" w:rsidTr="00635A2E">
        <w:trPr>
          <w:trHeight w:val="359"/>
        </w:trPr>
        <w:tc>
          <w:tcPr>
            <w:tcW w:w="1981" w:type="dxa"/>
            <w:tcBorders>
              <w:top w:val="single" w:sz="2" w:space="0" w:color="000000"/>
              <w:left w:val="single" w:sz="2" w:space="0" w:color="000000"/>
              <w:bottom w:val="single" w:sz="2" w:space="0" w:color="000000"/>
              <w:right w:val="single" w:sz="4" w:space="0" w:color="auto"/>
            </w:tcBorders>
            <w:vAlign w:val="bottom"/>
          </w:tcPr>
          <w:p w14:paraId="23C359EC" w14:textId="77777777" w:rsidR="002F4FA6" w:rsidRPr="0098629B" w:rsidRDefault="002F4FA6" w:rsidP="00635A2E">
            <w:pPr>
              <w:spacing w:line="259" w:lineRule="auto"/>
            </w:pPr>
            <w:r w:rsidRPr="0098629B">
              <w:rPr>
                <w:sz w:val="18"/>
              </w:rPr>
              <w:t xml:space="preserve">France </w:t>
            </w:r>
          </w:p>
        </w:tc>
        <w:tc>
          <w:tcPr>
            <w:tcW w:w="995" w:type="dxa"/>
            <w:tcBorders>
              <w:top w:val="single" w:sz="4" w:space="0" w:color="auto"/>
              <w:left w:val="single" w:sz="4" w:space="0" w:color="auto"/>
              <w:bottom w:val="single" w:sz="4" w:space="0" w:color="auto"/>
              <w:right w:val="single" w:sz="4" w:space="0" w:color="auto"/>
            </w:tcBorders>
            <w:vAlign w:val="center"/>
          </w:tcPr>
          <w:p w14:paraId="185D8888" w14:textId="77777777" w:rsidR="002F4FA6" w:rsidRPr="0098629B" w:rsidRDefault="002F4FA6" w:rsidP="00635A2E">
            <w:pPr>
              <w:spacing w:line="259" w:lineRule="auto"/>
              <w:ind w:left="85"/>
              <w:jc w:val="center"/>
            </w:pPr>
            <w:r w:rsidRPr="0098629B">
              <w:rPr>
                <w:sz w:val="18"/>
              </w:rPr>
              <w:t>66 391</w:t>
            </w:r>
          </w:p>
        </w:tc>
        <w:tc>
          <w:tcPr>
            <w:tcW w:w="995" w:type="dxa"/>
            <w:tcBorders>
              <w:top w:val="single" w:sz="4" w:space="0" w:color="auto"/>
              <w:left w:val="single" w:sz="4" w:space="0" w:color="auto"/>
              <w:bottom w:val="single" w:sz="4" w:space="0" w:color="auto"/>
              <w:right w:val="single" w:sz="4" w:space="0" w:color="auto"/>
            </w:tcBorders>
            <w:vAlign w:val="center"/>
          </w:tcPr>
          <w:p w14:paraId="574B7C0F" w14:textId="77777777" w:rsidR="002F4FA6" w:rsidRPr="0098629B" w:rsidRDefault="002F4FA6" w:rsidP="00635A2E">
            <w:pPr>
              <w:spacing w:line="259" w:lineRule="auto"/>
              <w:ind w:left="85"/>
              <w:jc w:val="center"/>
            </w:pPr>
            <w:r w:rsidRPr="0098629B">
              <w:rPr>
                <w:sz w:val="18"/>
              </w:rPr>
              <w:t>67 820</w:t>
            </w:r>
          </w:p>
        </w:tc>
        <w:tc>
          <w:tcPr>
            <w:tcW w:w="995" w:type="dxa"/>
            <w:tcBorders>
              <w:top w:val="single" w:sz="4" w:space="0" w:color="auto"/>
              <w:left w:val="single" w:sz="4" w:space="0" w:color="auto"/>
              <w:bottom w:val="single" w:sz="4" w:space="0" w:color="auto"/>
              <w:right w:val="single" w:sz="4" w:space="0" w:color="auto"/>
            </w:tcBorders>
            <w:vAlign w:val="center"/>
          </w:tcPr>
          <w:p w14:paraId="05E31D33" w14:textId="77777777" w:rsidR="002F4FA6" w:rsidRPr="0098629B" w:rsidRDefault="002F4FA6" w:rsidP="00635A2E">
            <w:pPr>
              <w:spacing w:line="259" w:lineRule="auto"/>
              <w:ind w:left="85"/>
              <w:jc w:val="center"/>
            </w:pPr>
            <w:r w:rsidRPr="0098629B">
              <w:rPr>
                <w:sz w:val="18"/>
              </w:rPr>
              <w:t>69 093</w:t>
            </w:r>
          </w:p>
        </w:tc>
        <w:tc>
          <w:tcPr>
            <w:tcW w:w="996" w:type="dxa"/>
            <w:tcBorders>
              <w:top w:val="single" w:sz="4" w:space="0" w:color="auto"/>
              <w:left w:val="single" w:sz="4" w:space="0" w:color="auto"/>
              <w:bottom w:val="single" w:sz="4" w:space="0" w:color="auto"/>
              <w:right w:val="single" w:sz="4" w:space="0" w:color="auto"/>
            </w:tcBorders>
            <w:vAlign w:val="center"/>
          </w:tcPr>
          <w:p w14:paraId="74E3E785" w14:textId="77777777" w:rsidR="002F4FA6" w:rsidRPr="0098629B" w:rsidRDefault="002F4FA6" w:rsidP="00635A2E">
            <w:pPr>
              <w:spacing w:line="259" w:lineRule="auto"/>
              <w:ind w:left="86"/>
              <w:jc w:val="center"/>
            </w:pPr>
            <w:r w:rsidRPr="0098629B">
              <w:rPr>
                <w:sz w:val="18"/>
              </w:rPr>
              <w:t>70 281</w:t>
            </w:r>
          </w:p>
        </w:tc>
        <w:tc>
          <w:tcPr>
            <w:tcW w:w="995" w:type="dxa"/>
            <w:tcBorders>
              <w:top w:val="single" w:sz="4" w:space="0" w:color="auto"/>
              <w:left w:val="single" w:sz="4" w:space="0" w:color="auto"/>
              <w:bottom w:val="single" w:sz="4" w:space="0" w:color="auto"/>
              <w:right w:val="single" w:sz="4" w:space="0" w:color="auto"/>
            </w:tcBorders>
            <w:vAlign w:val="center"/>
          </w:tcPr>
          <w:p w14:paraId="6635C9C8" w14:textId="77777777" w:rsidR="002F4FA6" w:rsidRPr="0098629B" w:rsidRDefault="002F4FA6" w:rsidP="00635A2E">
            <w:pPr>
              <w:spacing w:line="259" w:lineRule="auto"/>
              <w:ind w:left="85"/>
              <w:jc w:val="center"/>
            </w:pPr>
            <w:r w:rsidRPr="0098629B">
              <w:rPr>
                <w:sz w:val="18"/>
              </w:rPr>
              <w:t>71 417</w:t>
            </w:r>
          </w:p>
        </w:tc>
        <w:tc>
          <w:tcPr>
            <w:tcW w:w="995" w:type="dxa"/>
            <w:tcBorders>
              <w:top w:val="single" w:sz="4" w:space="0" w:color="auto"/>
              <w:left w:val="single" w:sz="4" w:space="0" w:color="auto"/>
              <w:bottom w:val="single" w:sz="4" w:space="0" w:color="auto"/>
              <w:right w:val="single" w:sz="4" w:space="0" w:color="auto"/>
            </w:tcBorders>
            <w:vAlign w:val="center"/>
          </w:tcPr>
          <w:p w14:paraId="388AF039" w14:textId="77777777" w:rsidR="002F4FA6" w:rsidRPr="0098629B" w:rsidRDefault="002F4FA6" w:rsidP="00635A2E">
            <w:pPr>
              <w:spacing w:line="259" w:lineRule="auto"/>
              <w:ind w:left="85"/>
              <w:jc w:val="center"/>
              <w:rPr>
                <w:sz w:val="18"/>
              </w:rPr>
            </w:pPr>
            <w:r w:rsidRPr="0098629B">
              <w:rPr>
                <w:sz w:val="18"/>
              </w:rPr>
              <w:t>72 449</w:t>
            </w:r>
          </w:p>
        </w:tc>
        <w:tc>
          <w:tcPr>
            <w:tcW w:w="995" w:type="dxa"/>
            <w:tcBorders>
              <w:top w:val="single" w:sz="4" w:space="0" w:color="auto"/>
              <w:left w:val="single" w:sz="4" w:space="0" w:color="auto"/>
              <w:bottom w:val="single" w:sz="4" w:space="0" w:color="auto"/>
              <w:right w:val="single" w:sz="4" w:space="0" w:color="auto"/>
            </w:tcBorders>
            <w:vAlign w:val="center"/>
          </w:tcPr>
          <w:p w14:paraId="452E8A22" w14:textId="77777777" w:rsidR="002F4FA6" w:rsidRPr="0098629B" w:rsidRDefault="002F4FA6" w:rsidP="00635A2E">
            <w:pPr>
              <w:spacing w:line="259" w:lineRule="auto"/>
              <w:ind w:left="85"/>
              <w:jc w:val="center"/>
              <w:rPr>
                <w:sz w:val="18"/>
              </w:rPr>
            </w:pPr>
            <w:r w:rsidRPr="0098629B">
              <w:rPr>
                <w:sz w:val="18"/>
              </w:rPr>
              <w:t>73 312</w:t>
            </w:r>
          </w:p>
        </w:tc>
        <w:tc>
          <w:tcPr>
            <w:tcW w:w="996" w:type="dxa"/>
            <w:tcBorders>
              <w:top w:val="single" w:sz="4" w:space="0" w:color="auto"/>
              <w:left w:val="single" w:sz="4" w:space="0" w:color="auto"/>
              <w:bottom w:val="single" w:sz="4" w:space="0" w:color="auto"/>
              <w:right w:val="single" w:sz="4" w:space="0" w:color="auto"/>
            </w:tcBorders>
            <w:vAlign w:val="center"/>
          </w:tcPr>
          <w:p w14:paraId="25760282" w14:textId="77777777" w:rsidR="002F4FA6" w:rsidRPr="0098629B" w:rsidRDefault="002F4FA6" w:rsidP="00635A2E">
            <w:pPr>
              <w:spacing w:line="259" w:lineRule="auto"/>
              <w:ind w:left="85"/>
              <w:jc w:val="center"/>
              <w:rPr>
                <w:sz w:val="18"/>
              </w:rPr>
            </w:pPr>
            <w:r w:rsidRPr="0098629B">
              <w:rPr>
                <w:sz w:val="18"/>
              </w:rPr>
              <w:t>74 025</w:t>
            </w:r>
          </w:p>
        </w:tc>
      </w:tr>
      <w:tr w:rsidR="002F4FA6" w:rsidRPr="0098629B" w14:paraId="3F985AA2" w14:textId="77777777" w:rsidTr="00635A2E">
        <w:trPr>
          <w:trHeight w:val="320"/>
        </w:trPr>
        <w:tc>
          <w:tcPr>
            <w:tcW w:w="1981" w:type="dxa"/>
            <w:tcBorders>
              <w:top w:val="single" w:sz="2" w:space="0" w:color="000000"/>
              <w:left w:val="single" w:sz="2" w:space="0" w:color="000000"/>
              <w:bottom w:val="single" w:sz="2" w:space="0" w:color="000000"/>
              <w:right w:val="single" w:sz="4" w:space="0" w:color="auto"/>
            </w:tcBorders>
            <w:shd w:val="clear" w:color="auto" w:fill="ECE6E2"/>
            <w:vAlign w:val="bottom"/>
          </w:tcPr>
          <w:p w14:paraId="4917F626" w14:textId="77777777" w:rsidR="002F4FA6" w:rsidRPr="0098629B" w:rsidRDefault="002F4FA6" w:rsidP="00635A2E">
            <w:pPr>
              <w:spacing w:line="259" w:lineRule="auto"/>
            </w:pPr>
            <w:r w:rsidRPr="0098629B">
              <w:rPr>
                <w:sz w:val="18"/>
              </w:rPr>
              <w:t xml:space="preserve">  dont métropole </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374AF8B5" w14:textId="77777777" w:rsidR="002F4FA6" w:rsidRPr="0098629B" w:rsidRDefault="002F4FA6" w:rsidP="00635A2E">
            <w:pPr>
              <w:spacing w:line="259" w:lineRule="auto"/>
              <w:ind w:left="85"/>
              <w:jc w:val="center"/>
            </w:pPr>
            <w:r w:rsidRPr="0098629B">
              <w:rPr>
                <w:sz w:val="18"/>
              </w:rPr>
              <w:t>64 293</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5233F69E" w14:textId="77777777" w:rsidR="002F4FA6" w:rsidRPr="0098629B" w:rsidRDefault="002F4FA6" w:rsidP="00635A2E">
            <w:pPr>
              <w:spacing w:line="259" w:lineRule="auto"/>
              <w:ind w:left="85"/>
              <w:jc w:val="center"/>
            </w:pPr>
            <w:r w:rsidRPr="0098629B">
              <w:rPr>
                <w:sz w:val="18"/>
              </w:rPr>
              <w:t>65 684</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2E88F473" w14:textId="77777777" w:rsidR="002F4FA6" w:rsidRPr="0098629B" w:rsidRDefault="002F4FA6" w:rsidP="00635A2E">
            <w:pPr>
              <w:spacing w:line="259" w:lineRule="auto"/>
              <w:ind w:left="85"/>
              <w:jc w:val="center"/>
            </w:pPr>
            <w:r w:rsidRPr="0098629B">
              <w:rPr>
                <w:sz w:val="18"/>
              </w:rPr>
              <w:t>66 918</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5716AC94" w14:textId="77777777" w:rsidR="002F4FA6" w:rsidRPr="0098629B" w:rsidRDefault="002F4FA6" w:rsidP="00635A2E">
            <w:pPr>
              <w:spacing w:line="259" w:lineRule="auto"/>
              <w:ind w:left="86"/>
              <w:jc w:val="center"/>
            </w:pPr>
            <w:r w:rsidRPr="0098629B">
              <w:rPr>
                <w:sz w:val="18"/>
              </w:rPr>
              <w:t>68 064</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1BE78A93" w14:textId="77777777" w:rsidR="002F4FA6" w:rsidRPr="0098629B" w:rsidRDefault="002F4FA6" w:rsidP="00635A2E">
            <w:pPr>
              <w:spacing w:line="259" w:lineRule="auto"/>
              <w:ind w:left="85"/>
              <w:jc w:val="center"/>
            </w:pPr>
            <w:r w:rsidRPr="0098629B">
              <w:rPr>
                <w:sz w:val="18"/>
              </w:rPr>
              <w:t>69 157</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1CBBF6F5" w14:textId="77777777" w:rsidR="002F4FA6" w:rsidRPr="0098629B" w:rsidRDefault="002F4FA6" w:rsidP="00635A2E">
            <w:pPr>
              <w:spacing w:line="259" w:lineRule="auto"/>
              <w:ind w:left="85"/>
              <w:jc w:val="center"/>
              <w:rPr>
                <w:sz w:val="18"/>
              </w:rPr>
            </w:pPr>
            <w:r w:rsidRPr="0098629B">
              <w:rPr>
                <w:sz w:val="18"/>
              </w:rPr>
              <w:t>70 143</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71FDC867" w14:textId="77777777" w:rsidR="002F4FA6" w:rsidRPr="0098629B" w:rsidRDefault="002F4FA6" w:rsidP="00635A2E">
            <w:pPr>
              <w:spacing w:line="259" w:lineRule="auto"/>
              <w:ind w:left="85"/>
              <w:jc w:val="center"/>
              <w:rPr>
                <w:sz w:val="18"/>
              </w:rPr>
            </w:pPr>
            <w:r w:rsidRPr="0098629B">
              <w:rPr>
                <w:sz w:val="18"/>
              </w:rPr>
              <w:t>70 961</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2FFE087C" w14:textId="77777777" w:rsidR="002F4FA6" w:rsidRPr="0098629B" w:rsidRDefault="002F4FA6" w:rsidP="00635A2E">
            <w:pPr>
              <w:spacing w:line="259" w:lineRule="auto"/>
              <w:ind w:left="85"/>
              <w:jc w:val="center"/>
              <w:rPr>
                <w:sz w:val="18"/>
              </w:rPr>
            </w:pPr>
            <w:r w:rsidRPr="0098629B">
              <w:rPr>
                <w:sz w:val="18"/>
              </w:rPr>
              <w:t>71 628</w:t>
            </w:r>
          </w:p>
        </w:tc>
      </w:tr>
      <w:tr w:rsidR="002F4FA6" w:rsidRPr="0098629B" w14:paraId="58D3CBF8" w14:textId="77777777" w:rsidTr="00635A2E">
        <w:trPr>
          <w:trHeight w:val="350"/>
        </w:trPr>
        <w:tc>
          <w:tcPr>
            <w:tcW w:w="1981" w:type="dxa"/>
            <w:tcBorders>
              <w:top w:val="single" w:sz="2" w:space="0" w:color="000000"/>
              <w:left w:val="single" w:sz="2" w:space="0" w:color="000000"/>
              <w:bottom w:val="single" w:sz="2" w:space="0" w:color="000000"/>
              <w:right w:val="single" w:sz="4" w:space="0" w:color="auto"/>
            </w:tcBorders>
            <w:vAlign w:val="bottom"/>
          </w:tcPr>
          <w:p w14:paraId="52D9CDAB" w14:textId="77777777" w:rsidR="002F4FA6" w:rsidRPr="0098629B" w:rsidRDefault="002F4FA6" w:rsidP="00635A2E">
            <w:pPr>
              <w:spacing w:line="259" w:lineRule="auto"/>
            </w:pPr>
            <w:r w:rsidRPr="0098629B">
              <w:rPr>
                <w:sz w:val="18"/>
              </w:rPr>
              <w:t xml:space="preserve">  dont Dom-Com </w:t>
            </w:r>
          </w:p>
        </w:tc>
        <w:tc>
          <w:tcPr>
            <w:tcW w:w="995" w:type="dxa"/>
            <w:tcBorders>
              <w:top w:val="single" w:sz="4" w:space="0" w:color="auto"/>
              <w:left w:val="single" w:sz="4" w:space="0" w:color="auto"/>
              <w:bottom w:val="single" w:sz="4" w:space="0" w:color="auto"/>
              <w:right w:val="single" w:sz="4" w:space="0" w:color="auto"/>
            </w:tcBorders>
            <w:vAlign w:val="center"/>
          </w:tcPr>
          <w:p w14:paraId="08B40AA4" w14:textId="77777777" w:rsidR="002F4FA6" w:rsidRPr="0098629B" w:rsidRDefault="002F4FA6" w:rsidP="00635A2E">
            <w:pPr>
              <w:spacing w:line="259" w:lineRule="auto"/>
              <w:ind w:left="87"/>
              <w:jc w:val="center"/>
            </w:pPr>
            <w:r w:rsidRPr="0098629B">
              <w:rPr>
                <w:sz w:val="18"/>
              </w:rPr>
              <w:t>2 098</w:t>
            </w:r>
          </w:p>
        </w:tc>
        <w:tc>
          <w:tcPr>
            <w:tcW w:w="995" w:type="dxa"/>
            <w:tcBorders>
              <w:top w:val="single" w:sz="4" w:space="0" w:color="auto"/>
              <w:left w:val="single" w:sz="4" w:space="0" w:color="auto"/>
              <w:bottom w:val="single" w:sz="4" w:space="0" w:color="auto"/>
              <w:right w:val="single" w:sz="4" w:space="0" w:color="auto"/>
            </w:tcBorders>
            <w:vAlign w:val="center"/>
          </w:tcPr>
          <w:p w14:paraId="7E08F02B" w14:textId="77777777" w:rsidR="002F4FA6" w:rsidRPr="0098629B" w:rsidRDefault="002F4FA6" w:rsidP="00635A2E">
            <w:pPr>
              <w:spacing w:line="259" w:lineRule="auto"/>
              <w:ind w:left="87"/>
              <w:jc w:val="center"/>
            </w:pPr>
            <w:r w:rsidRPr="0098629B">
              <w:rPr>
                <w:sz w:val="18"/>
              </w:rPr>
              <w:t>2 136</w:t>
            </w:r>
          </w:p>
        </w:tc>
        <w:tc>
          <w:tcPr>
            <w:tcW w:w="995" w:type="dxa"/>
            <w:tcBorders>
              <w:top w:val="single" w:sz="4" w:space="0" w:color="auto"/>
              <w:left w:val="single" w:sz="4" w:space="0" w:color="auto"/>
              <w:bottom w:val="single" w:sz="4" w:space="0" w:color="auto"/>
              <w:right w:val="single" w:sz="4" w:space="0" w:color="auto"/>
            </w:tcBorders>
            <w:vAlign w:val="center"/>
          </w:tcPr>
          <w:p w14:paraId="37F2A379" w14:textId="77777777" w:rsidR="002F4FA6" w:rsidRPr="0098629B" w:rsidRDefault="002F4FA6" w:rsidP="00635A2E">
            <w:pPr>
              <w:spacing w:line="259" w:lineRule="auto"/>
              <w:ind w:left="87"/>
              <w:jc w:val="center"/>
            </w:pPr>
            <w:r w:rsidRPr="0098629B">
              <w:rPr>
                <w:sz w:val="18"/>
              </w:rPr>
              <w:t>2 175</w:t>
            </w:r>
          </w:p>
        </w:tc>
        <w:tc>
          <w:tcPr>
            <w:tcW w:w="996" w:type="dxa"/>
            <w:tcBorders>
              <w:top w:val="single" w:sz="4" w:space="0" w:color="auto"/>
              <w:left w:val="single" w:sz="4" w:space="0" w:color="auto"/>
              <w:bottom w:val="single" w:sz="4" w:space="0" w:color="auto"/>
              <w:right w:val="single" w:sz="4" w:space="0" w:color="auto"/>
            </w:tcBorders>
            <w:vAlign w:val="center"/>
          </w:tcPr>
          <w:p w14:paraId="72762A8D" w14:textId="77777777" w:rsidR="002F4FA6" w:rsidRPr="0098629B" w:rsidRDefault="002F4FA6" w:rsidP="00635A2E">
            <w:pPr>
              <w:spacing w:line="259" w:lineRule="auto"/>
              <w:ind w:left="89"/>
              <w:jc w:val="center"/>
            </w:pPr>
            <w:r w:rsidRPr="0098629B">
              <w:rPr>
                <w:sz w:val="18"/>
              </w:rPr>
              <w:t>2 217</w:t>
            </w:r>
          </w:p>
        </w:tc>
        <w:tc>
          <w:tcPr>
            <w:tcW w:w="995" w:type="dxa"/>
            <w:tcBorders>
              <w:top w:val="single" w:sz="4" w:space="0" w:color="auto"/>
              <w:left w:val="single" w:sz="4" w:space="0" w:color="auto"/>
              <w:bottom w:val="single" w:sz="4" w:space="0" w:color="auto"/>
              <w:right w:val="single" w:sz="4" w:space="0" w:color="auto"/>
            </w:tcBorders>
            <w:vAlign w:val="center"/>
          </w:tcPr>
          <w:p w14:paraId="3A4B5C02" w14:textId="77777777" w:rsidR="002F4FA6" w:rsidRPr="0098629B" w:rsidRDefault="002F4FA6" w:rsidP="00635A2E">
            <w:pPr>
              <w:spacing w:line="259" w:lineRule="auto"/>
              <w:ind w:left="87"/>
              <w:jc w:val="center"/>
            </w:pPr>
            <w:r w:rsidRPr="0098629B">
              <w:rPr>
                <w:sz w:val="18"/>
              </w:rPr>
              <w:t>2 260</w:t>
            </w:r>
          </w:p>
        </w:tc>
        <w:tc>
          <w:tcPr>
            <w:tcW w:w="995" w:type="dxa"/>
            <w:tcBorders>
              <w:top w:val="single" w:sz="4" w:space="0" w:color="auto"/>
              <w:left w:val="single" w:sz="4" w:space="0" w:color="auto"/>
              <w:bottom w:val="single" w:sz="4" w:space="0" w:color="auto"/>
              <w:right w:val="single" w:sz="4" w:space="0" w:color="auto"/>
            </w:tcBorders>
            <w:vAlign w:val="center"/>
          </w:tcPr>
          <w:p w14:paraId="78158B12" w14:textId="77777777" w:rsidR="002F4FA6" w:rsidRPr="0098629B" w:rsidRDefault="002F4FA6" w:rsidP="00635A2E">
            <w:pPr>
              <w:spacing w:line="259" w:lineRule="auto"/>
              <w:ind w:left="87"/>
              <w:jc w:val="center"/>
              <w:rPr>
                <w:sz w:val="18"/>
              </w:rPr>
            </w:pPr>
            <w:r w:rsidRPr="0098629B">
              <w:rPr>
                <w:sz w:val="18"/>
              </w:rPr>
              <w:t>2 306</w:t>
            </w:r>
          </w:p>
        </w:tc>
        <w:tc>
          <w:tcPr>
            <w:tcW w:w="995" w:type="dxa"/>
            <w:tcBorders>
              <w:top w:val="single" w:sz="4" w:space="0" w:color="auto"/>
              <w:left w:val="single" w:sz="4" w:space="0" w:color="auto"/>
              <w:bottom w:val="single" w:sz="4" w:space="0" w:color="auto"/>
              <w:right w:val="single" w:sz="4" w:space="0" w:color="auto"/>
            </w:tcBorders>
            <w:vAlign w:val="center"/>
          </w:tcPr>
          <w:p w14:paraId="6D852347" w14:textId="77777777" w:rsidR="002F4FA6" w:rsidRPr="0098629B" w:rsidRDefault="002F4FA6" w:rsidP="00635A2E">
            <w:pPr>
              <w:spacing w:line="259" w:lineRule="auto"/>
              <w:ind w:left="87"/>
              <w:jc w:val="center"/>
              <w:rPr>
                <w:sz w:val="18"/>
              </w:rPr>
            </w:pPr>
            <w:r w:rsidRPr="0098629B">
              <w:rPr>
                <w:sz w:val="18"/>
              </w:rPr>
              <w:t>2 351</w:t>
            </w:r>
          </w:p>
        </w:tc>
        <w:tc>
          <w:tcPr>
            <w:tcW w:w="996" w:type="dxa"/>
            <w:tcBorders>
              <w:top w:val="single" w:sz="4" w:space="0" w:color="auto"/>
              <w:left w:val="single" w:sz="4" w:space="0" w:color="auto"/>
              <w:bottom w:val="single" w:sz="4" w:space="0" w:color="auto"/>
              <w:right w:val="single" w:sz="4" w:space="0" w:color="auto"/>
            </w:tcBorders>
            <w:vAlign w:val="center"/>
          </w:tcPr>
          <w:p w14:paraId="27A750CF" w14:textId="77777777" w:rsidR="002F4FA6" w:rsidRPr="0098629B" w:rsidRDefault="002F4FA6" w:rsidP="00635A2E">
            <w:pPr>
              <w:spacing w:line="259" w:lineRule="auto"/>
              <w:ind w:left="87"/>
              <w:jc w:val="center"/>
              <w:rPr>
                <w:sz w:val="18"/>
              </w:rPr>
            </w:pPr>
            <w:r w:rsidRPr="0098629B">
              <w:rPr>
                <w:sz w:val="18"/>
              </w:rPr>
              <w:t>2 397</w:t>
            </w:r>
          </w:p>
        </w:tc>
      </w:tr>
    </w:tbl>
    <w:p w14:paraId="5044E0D4" w14:textId="5399A004" w:rsidR="002F4FA6" w:rsidRPr="0098629B" w:rsidRDefault="002F4FA6" w:rsidP="002F4FA6">
      <w:pPr>
        <w:pStyle w:val="Caption"/>
      </w:pPr>
      <w:bookmarkStart w:id="193" w:name="_Toc122694461"/>
      <w:bookmarkStart w:id="194" w:name="_Toc123916664"/>
      <w:r w:rsidRPr="0098629B">
        <w:t xml:space="preserve">Tableau </w:t>
      </w:r>
      <w:fldSimple w:instr=" SEQ Tableau \* ARABIC ">
        <w:r w:rsidR="00677B3C">
          <w:rPr>
            <w:noProof/>
          </w:rPr>
          <w:t>29</w:t>
        </w:r>
      </w:fldSimple>
      <w:r w:rsidRPr="0098629B">
        <w:t> : Hypothèses de croissance de la population pour l’AMS 2018</w:t>
      </w:r>
      <w:bookmarkEnd w:id="193"/>
      <w:bookmarkEnd w:id="194"/>
    </w:p>
    <w:p w14:paraId="7D7208E4" w14:textId="77777777" w:rsidR="002F4FA6" w:rsidRPr="0098629B" w:rsidRDefault="002F4FA6" w:rsidP="002F4FA6">
      <w:pPr>
        <w:pStyle w:val="Caption"/>
      </w:pPr>
      <w:r w:rsidRPr="0098629B">
        <w:t xml:space="preserve">Source : Insee, 2016 </w:t>
      </w:r>
    </w:p>
    <w:p w14:paraId="1ACC17E7" w14:textId="77777777" w:rsidR="002F4FA6" w:rsidRPr="0098629B" w:rsidRDefault="002F4FA6" w:rsidP="002F4FA6">
      <w:pPr>
        <w:spacing w:after="54" w:line="249" w:lineRule="auto"/>
        <w:ind w:left="-5" w:right="914" w:hanging="3"/>
        <w:rPr>
          <w:b/>
          <w:bCs/>
          <w:sz w:val="18"/>
          <w:szCs w:val="18"/>
        </w:rPr>
      </w:pPr>
    </w:p>
    <w:p w14:paraId="22BDC32D" w14:textId="77777777" w:rsidR="002F4FA6" w:rsidRPr="0098629B" w:rsidRDefault="002F4FA6" w:rsidP="002F4FA6">
      <w:pPr>
        <w:spacing w:after="240"/>
        <w:jc w:val="center"/>
      </w:pPr>
      <w:r w:rsidRPr="0098629B">
        <w:rPr>
          <w:noProof/>
        </w:rPr>
        <w:drawing>
          <wp:inline distT="0" distB="0" distL="0" distR="0" wp14:anchorId="058A0146" wp14:editId="1A5F879D">
            <wp:extent cx="5398770" cy="3575050"/>
            <wp:effectExtent l="0" t="0" r="11430" b="6350"/>
            <wp:docPr id="28708" name="Graphique 28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F5490C" w14:textId="3452BC6A" w:rsidR="002F4FA6" w:rsidRPr="0098629B" w:rsidRDefault="002F4FA6" w:rsidP="002F4FA6">
      <w:pPr>
        <w:pStyle w:val="Caption"/>
      </w:pPr>
      <w:bookmarkStart w:id="195" w:name="_Toc122694407"/>
      <w:bookmarkStart w:id="196" w:name="_Toc123916634"/>
      <w:r w:rsidRPr="0098629B">
        <w:t xml:space="preserve">Figure </w:t>
      </w:r>
      <w:fldSimple w:instr=" SEQ Figure \* ARABIC ">
        <w:r w:rsidR="006B0E73">
          <w:rPr>
            <w:noProof/>
          </w:rPr>
          <w:t>28</w:t>
        </w:r>
      </w:fldSimple>
      <w:r w:rsidRPr="0098629B">
        <w:t> : Hypothèse de croissance de la population dans l’AME 2021 et l’AMS 2018</w:t>
      </w:r>
      <w:bookmarkEnd w:id="195"/>
      <w:bookmarkEnd w:id="196"/>
    </w:p>
    <w:p w14:paraId="310037F0" w14:textId="77777777" w:rsidR="002F4FA6" w:rsidRPr="0098629B" w:rsidRDefault="002F4FA6" w:rsidP="002F4FA6">
      <w:pPr>
        <w:pStyle w:val="Caption"/>
      </w:pPr>
      <w:r w:rsidRPr="0098629B">
        <w:t>Source : MTE/DGEC, INSEE</w:t>
      </w:r>
    </w:p>
    <w:p w14:paraId="706EBF36" w14:textId="77777777" w:rsidR="002F4FA6" w:rsidRPr="0098629B" w:rsidRDefault="002F4FA6" w:rsidP="00573042">
      <w:pPr>
        <w:pStyle w:val="Titre4niveau4"/>
        <w:numPr>
          <w:ilvl w:val="2"/>
          <w:numId w:val="43"/>
        </w:numPr>
        <w:spacing w:before="240"/>
      </w:pPr>
      <w:r w:rsidRPr="0098629B">
        <w:t xml:space="preserve">Hypothèses sur la croissance économique </w:t>
      </w:r>
    </w:p>
    <w:p w14:paraId="63AA7054" w14:textId="77777777" w:rsidR="002F4FA6" w:rsidRPr="0098629B" w:rsidRDefault="002F4FA6" w:rsidP="002F4FA6">
      <w:pPr>
        <w:spacing w:before="240" w:after="240"/>
      </w:pPr>
      <w:r w:rsidRPr="0098629B">
        <w:t>Les hypothèses sur la croissance économique sont celles recommandées pour la France par la Commission européenne. Ces hypothèses sont par ailleurs cohérentes avec les hypothèses retenues par le ministère de l’Économie français pour les cadrages économiques de long terme. La trajectoire de PIB pour l’AME 2021 inclut l’impact de la crise sanitaire liée au Covid-19, et fait l’hypothèse d’une reprise rapide de l’économie.</w:t>
      </w:r>
    </w:p>
    <w:tbl>
      <w:tblPr>
        <w:tblStyle w:val="TableGrid0"/>
        <w:tblW w:w="9943" w:type="dxa"/>
        <w:tblInd w:w="7" w:type="dxa"/>
        <w:tblLook w:val="04A0" w:firstRow="1" w:lastRow="0" w:firstColumn="1" w:lastColumn="0" w:noHBand="0" w:noVBand="1"/>
      </w:tblPr>
      <w:tblGrid>
        <w:gridCol w:w="5367"/>
        <w:gridCol w:w="651"/>
        <w:gridCol w:w="652"/>
        <w:gridCol w:w="653"/>
        <w:gridCol w:w="655"/>
        <w:gridCol w:w="655"/>
        <w:gridCol w:w="655"/>
        <w:gridCol w:w="655"/>
      </w:tblGrid>
      <w:tr w:rsidR="002F4FA6" w:rsidRPr="0098629B" w14:paraId="374460A9" w14:textId="77777777" w:rsidTr="00635A2E">
        <w:trPr>
          <w:trHeight w:val="407"/>
        </w:trPr>
        <w:tc>
          <w:tcPr>
            <w:tcW w:w="5367" w:type="dxa"/>
          </w:tcPr>
          <w:p w14:paraId="1CA42E25" w14:textId="77777777" w:rsidR="002F4FA6" w:rsidRPr="0098629B" w:rsidRDefault="002F4FA6" w:rsidP="002F4FA6">
            <w:pPr>
              <w:pStyle w:val="titreencadre"/>
              <w:spacing w:before="120" w:after="60" w:line="240" w:lineRule="auto"/>
            </w:pPr>
            <w:r w:rsidRPr="0098629B">
              <w:t>AMS 2018</w:t>
            </w:r>
          </w:p>
        </w:tc>
        <w:tc>
          <w:tcPr>
            <w:tcW w:w="651" w:type="dxa"/>
          </w:tcPr>
          <w:p w14:paraId="618AFCEF" w14:textId="77777777" w:rsidR="002F4FA6" w:rsidRPr="0098629B" w:rsidRDefault="002F4FA6" w:rsidP="00635A2E">
            <w:pPr>
              <w:spacing w:line="259" w:lineRule="auto"/>
              <w:ind w:left="114"/>
              <w:jc w:val="center"/>
            </w:pPr>
            <w:r w:rsidRPr="0098629B">
              <w:rPr>
                <w:sz w:val="18"/>
              </w:rPr>
              <w:t xml:space="preserve">1,31 </w:t>
            </w:r>
          </w:p>
        </w:tc>
        <w:tc>
          <w:tcPr>
            <w:tcW w:w="652" w:type="dxa"/>
          </w:tcPr>
          <w:p w14:paraId="2C163F35" w14:textId="77777777" w:rsidR="002F4FA6" w:rsidRPr="0098629B" w:rsidRDefault="002F4FA6" w:rsidP="00635A2E">
            <w:pPr>
              <w:spacing w:line="259" w:lineRule="auto"/>
              <w:ind w:left="115"/>
              <w:jc w:val="center"/>
            </w:pPr>
            <w:r w:rsidRPr="0098629B">
              <w:rPr>
                <w:sz w:val="18"/>
              </w:rPr>
              <w:t xml:space="preserve">-8,25 </w:t>
            </w:r>
          </w:p>
        </w:tc>
        <w:tc>
          <w:tcPr>
            <w:tcW w:w="653" w:type="dxa"/>
          </w:tcPr>
          <w:p w14:paraId="6C839AAF" w14:textId="77777777" w:rsidR="002F4FA6" w:rsidRPr="0098629B" w:rsidRDefault="002F4FA6" w:rsidP="00635A2E">
            <w:pPr>
              <w:spacing w:line="259" w:lineRule="auto"/>
              <w:ind w:left="116"/>
              <w:jc w:val="center"/>
            </w:pPr>
            <w:r w:rsidRPr="0098629B">
              <w:rPr>
                <w:sz w:val="18"/>
              </w:rPr>
              <w:t xml:space="preserve">7,4 </w:t>
            </w:r>
          </w:p>
        </w:tc>
        <w:tc>
          <w:tcPr>
            <w:tcW w:w="655" w:type="dxa"/>
          </w:tcPr>
          <w:p w14:paraId="0FD221E4" w14:textId="77777777" w:rsidR="002F4FA6" w:rsidRPr="0098629B" w:rsidRDefault="002F4FA6" w:rsidP="00635A2E">
            <w:pPr>
              <w:spacing w:line="259" w:lineRule="auto"/>
              <w:ind w:left="118"/>
              <w:jc w:val="center"/>
            </w:pPr>
            <w:r w:rsidRPr="0098629B">
              <w:rPr>
                <w:sz w:val="18"/>
              </w:rPr>
              <w:t>1,77</w:t>
            </w:r>
          </w:p>
        </w:tc>
        <w:tc>
          <w:tcPr>
            <w:tcW w:w="655" w:type="dxa"/>
          </w:tcPr>
          <w:p w14:paraId="0B6AD41D" w14:textId="77777777" w:rsidR="002F4FA6" w:rsidRPr="0098629B" w:rsidRDefault="002F4FA6" w:rsidP="00635A2E">
            <w:pPr>
              <w:spacing w:line="259" w:lineRule="auto"/>
              <w:ind w:left="118"/>
              <w:jc w:val="center"/>
              <w:rPr>
                <w:sz w:val="18"/>
              </w:rPr>
            </w:pPr>
            <w:r w:rsidRPr="0098629B">
              <w:rPr>
                <w:sz w:val="18"/>
              </w:rPr>
              <w:t>0,87</w:t>
            </w:r>
          </w:p>
        </w:tc>
        <w:tc>
          <w:tcPr>
            <w:tcW w:w="655" w:type="dxa"/>
          </w:tcPr>
          <w:p w14:paraId="1C581D6D" w14:textId="77777777" w:rsidR="002F4FA6" w:rsidRPr="0098629B" w:rsidRDefault="002F4FA6" w:rsidP="00635A2E">
            <w:pPr>
              <w:spacing w:line="259" w:lineRule="auto"/>
              <w:ind w:left="118"/>
              <w:jc w:val="center"/>
              <w:rPr>
                <w:sz w:val="18"/>
              </w:rPr>
            </w:pPr>
            <w:r w:rsidRPr="0098629B">
              <w:rPr>
                <w:sz w:val="18"/>
              </w:rPr>
              <w:t>1,33</w:t>
            </w:r>
          </w:p>
        </w:tc>
        <w:tc>
          <w:tcPr>
            <w:tcW w:w="655" w:type="dxa"/>
          </w:tcPr>
          <w:p w14:paraId="7B6D9D9C" w14:textId="77777777" w:rsidR="002F4FA6" w:rsidRPr="0098629B" w:rsidRDefault="002F4FA6" w:rsidP="00635A2E">
            <w:pPr>
              <w:spacing w:line="259" w:lineRule="auto"/>
              <w:ind w:left="118"/>
              <w:jc w:val="center"/>
              <w:rPr>
                <w:sz w:val="18"/>
              </w:rPr>
            </w:pPr>
            <w:r w:rsidRPr="0098629B">
              <w:rPr>
                <w:sz w:val="18"/>
              </w:rPr>
              <w:t>1,63</w:t>
            </w:r>
          </w:p>
        </w:tc>
      </w:tr>
      <w:tr w:rsidR="002F4FA6" w:rsidRPr="0098629B" w14:paraId="6367C893" w14:textId="77777777" w:rsidTr="00635A2E">
        <w:tblPrEx>
          <w:tblCellMar>
            <w:top w:w="37" w:type="dxa"/>
            <w:right w:w="115" w:type="dxa"/>
          </w:tblCellMar>
        </w:tblPrEx>
        <w:trPr>
          <w:trHeight w:val="389"/>
        </w:trPr>
        <w:tc>
          <w:tcPr>
            <w:tcW w:w="5367" w:type="dxa"/>
            <w:tcBorders>
              <w:top w:val="single" w:sz="2" w:space="0" w:color="000000"/>
              <w:left w:val="single" w:sz="2" w:space="0" w:color="000000"/>
              <w:bottom w:val="single" w:sz="2" w:space="0" w:color="000000"/>
              <w:right w:val="single" w:sz="2" w:space="0" w:color="000000"/>
            </w:tcBorders>
            <w:shd w:val="clear" w:color="auto" w:fill="6D2A78"/>
          </w:tcPr>
          <w:p w14:paraId="553CF7F4" w14:textId="77777777" w:rsidR="002F4FA6" w:rsidRPr="0098629B" w:rsidRDefault="002F4FA6" w:rsidP="00635A2E">
            <w:pPr>
              <w:spacing w:line="259" w:lineRule="auto"/>
              <w:ind w:left="28"/>
            </w:pPr>
            <w:r w:rsidRPr="0098629B">
              <w:rPr>
                <w:b/>
                <w:color w:val="FFFFFF"/>
                <w:sz w:val="18"/>
              </w:rPr>
              <w:t>Taux de croissance annuel moyen du PIB</w:t>
            </w:r>
          </w:p>
        </w:tc>
        <w:tc>
          <w:tcPr>
            <w:tcW w:w="651" w:type="dxa"/>
            <w:tcBorders>
              <w:top w:val="single" w:sz="2" w:space="0" w:color="000000"/>
              <w:left w:val="single" w:sz="2" w:space="0" w:color="000000"/>
              <w:bottom w:val="single" w:sz="2" w:space="0" w:color="000000"/>
              <w:right w:val="single" w:sz="2" w:space="0" w:color="000000"/>
            </w:tcBorders>
            <w:shd w:val="clear" w:color="auto" w:fill="6D2A78"/>
          </w:tcPr>
          <w:p w14:paraId="1F012D33" w14:textId="77777777" w:rsidR="002F4FA6" w:rsidRPr="0098629B" w:rsidRDefault="002F4FA6" w:rsidP="00635A2E">
            <w:pPr>
              <w:spacing w:line="259" w:lineRule="auto"/>
              <w:ind w:left="116"/>
              <w:jc w:val="center"/>
            </w:pPr>
            <w:r w:rsidRPr="0098629B">
              <w:rPr>
                <w:b/>
                <w:color w:val="FFFFFF"/>
                <w:sz w:val="18"/>
              </w:rPr>
              <w:t xml:space="preserve">2015-2020 </w:t>
            </w:r>
          </w:p>
        </w:tc>
        <w:tc>
          <w:tcPr>
            <w:tcW w:w="652" w:type="dxa"/>
            <w:tcBorders>
              <w:top w:val="single" w:sz="2" w:space="0" w:color="000000"/>
              <w:left w:val="single" w:sz="2" w:space="0" w:color="000000"/>
              <w:bottom w:val="single" w:sz="2" w:space="0" w:color="000000"/>
              <w:right w:val="single" w:sz="2" w:space="0" w:color="000000"/>
            </w:tcBorders>
            <w:shd w:val="clear" w:color="auto" w:fill="6D2A78"/>
          </w:tcPr>
          <w:p w14:paraId="0B2FC40A" w14:textId="77777777" w:rsidR="002F4FA6" w:rsidRPr="0098629B" w:rsidRDefault="002F4FA6" w:rsidP="00635A2E">
            <w:pPr>
              <w:spacing w:line="259" w:lineRule="auto"/>
              <w:ind w:left="117"/>
              <w:jc w:val="center"/>
            </w:pPr>
            <w:r w:rsidRPr="0098629B">
              <w:rPr>
                <w:b/>
                <w:color w:val="FFFFFF"/>
                <w:sz w:val="18"/>
              </w:rPr>
              <w:t xml:space="preserve">2020-2025 </w:t>
            </w:r>
          </w:p>
        </w:tc>
        <w:tc>
          <w:tcPr>
            <w:tcW w:w="653" w:type="dxa"/>
            <w:tcBorders>
              <w:top w:val="single" w:sz="2" w:space="0" w:color="000000"/>
              <w:left w:val="single" w:sz="2" w:space="0" w:color="000000"/>
              <w:bottom w:val="single" w:sz="2" w:space="0" w:color="000000"/>
              <w:right w:val="single" w:sz="2" w:space="0" w:color="000000"/>
            </w:tcBorders>
            <w:shd w:val="clear" w:color="auto" w:fill="6D2A78"/>
          </w:tcPr>
          <w:p w14:paraId="42806430" w14:textId="77777777" w:rsidR="002F4FA6" w:rsidRPr="0098629B" w:rsidRDefault="002F4FA6" w:rsidP="00635A2E">
            <w:pPr>
              <w:spacing w:line="259" w:lineRule="auto"/>
              <w:ind w:left="118"/>
              <w:jc w:val="center"/>
            </w:pPr>
            <w:r w:rsidRPr="0098629B">
              <w:rPr>
                <w:b/>
                <w:color w:val="FFFFFF"/>
                <w:sz w:val="18"/>
              </w:rPr>
              <w:t xml:space="preserve">2025-2030 </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529053E3" w14:textId="77777777" w:rsidR="002F4FA6" w:rsidRPr="0098629B" w:rsidRDefault="002F4FA6" w:rsidP="00635A2E">
            <w:pPr>
              <w:spacing w:line="259" w:lineRule="auto"/>
              <w:ind w:left="120"/>
              <w:jc w:val="center"/>
            </w:pPr>
            <w:r w:rsidRPr="0098629B">
              <w:rPr>
                <w:b/>
                <w:color w:val="FFFFFF"/>
                <w:sz w:val="18"/>
              </w:rPr>
              <w:t xml:space="preserve">2030-2035 </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05EF0C20" w14:textId="77777777" w:rsidR="002F4FA6" w:rsidRPr="0098629B" w:rsidRDefault="002F4FA6" w:rsidP="00635A2E">
            <w:pPr>
              <w:spacing w:line="259" w:lineRule="auto"/>
              <w:ind w:left="120"/>
              <w:jc w:val="center"/>
              <w:rPr>
                <w:b/>
                <w:color w:val="FFFFFF"/>
                <w:sz w:val="18"/>
              </w:rPr>
            </w:pPr>
            <w:r w:rsidRPr="0098629B">
              <w:rPr>
                <w:b/>
                <w:color w:val="FFFFFF"/>
                <w:sz w:val="18"/>
              </w:rPr>
              <w:t>2035-2040</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3EB0E73D" w14:textId="77777777" w:rsidR="002F4FA6" w:rsidRPr="0098629B" w:rsidRDefault="002F4FA6" w:rsidP="00635A2E">
            <w:pPr>
              <w:spacing w:line="259" w:lineRule="auto"/>
              <w:ind w:left="120"/>
              <w:jc w:val="center"/>
              <w:rPr>
                <w:b/>
                <w:color w:val="FFFFFF"/>
                <w:sz w:val="18"/>
              </w:rPr>
            </w:pPr>
            <w:r w:rsidRPr="0098629B">
              <w:rPr>
                <w:b/>
                <w:color w:val="FFFFFF"/>
                <w:sz w:val="18"/>
              </w:rPr>
              <w:t>2040-2045</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23A3F12B" w14:textId="77777777" w:rsidR="002F4FA6" w:rsidRPr="0098629B" w:rsidRDefault="002F4FA6" w:rsidP="00635A2E">
            <w:pPr>
              <w:spacing w:line="259" w:lineRule="auto"/>
              <w:ind w:left="120"/>
              <w:jc w:val="center"/>
              <w:rPr>
                <w:b/>
                <w:color w:val="FFFFFF"/>
                <w:sz w:val="18"/>
              </w:rPr>
            </w:pPr>
            <w:r w:rsidRPr="0098629B">
              <w:rPr>
                <w:b/>
                <w:color w:val="FFFFFF"/>
                <w:sz w:val="18"/>
              </w:rPr>
              <w:t>2045-2050</w:t>
            </w:r>
          </w:p>
        </w:tc>
      </w:tr>
      <w:tr w:rsidR="002F4FA6" w:rsidRPr="0098629B" w14:paraId="207E61EA" w14:textId="77777777" w:rsidTr="00635A2E">
        <w:tblPrEx>
          <w:tblCellMar>
            <w:top w:w="37" w:type="dxa"/>
            <w:right w:w="115" w:type="dxa"/>
          </w:tblCellMar>
        </w:tblPrEx>
        <w:trPr>
          <w:trHeight w:val="407"/>
        </w:trPr>
        <w:tc>
          <w:tcPr>
            <w:tcW w:w="5367" w:type="dxa"/>
            <w:tcBorders>
              <w:top w:val="single" w:sz="2" w:space="0" w:color="000000"/>
              <w:left w:val="single" w:sz="2" w:space="0" w:color="000000"/>
              <w:bottom w:val="single" w:sz="2" w:space="0" w:color="000000"/>
              <w:right w:val="single" w:sz="2" w:space="0" w:color="000000"/>
            </w:tcBorders>
          </w:tcPr>
          <w:p w14:paraId="1F8693F5" w14:textId="77777777" w:rsidR="002F4FA6" w:rsidRPr="0098629B" w:rsidRDefault="002F4FA6" w:rsidP="00635A2E">
            <w:pPr>
              <w:spacing w:line="259" w:lineRule="auto"/>
              <w:ind w:left="28"/>
            </w:pPr>
            <w:r w:rsidRPr="0098629B">
              <w:rPr>
                <w:sz w:val="18"/>
              </w:rPr>
              <w:t>AMS 2018</w:t>
            </w:r>
          </w:p>
        </w:tc>
        <w:tc>
          <w:tcPr>
            <w:tcW w:w="651" w:type="dxa"/>
            <w:tcBorders>
              <w:top w:val="single" w:sz="2" w:space="0" w:color="000000"/>
              <w:left w:val="single" w:sz="2" w:space="0" w:color="000000"/>
              <w:bottom w:val="single" w:sz="2" w:space="0" w:color="000000"/>
              <w:right w:val="single" w:sz="2" w:space="0" w:color="000000"/>
            </w:tcBorders>
          </w:tcPr>
          <w:p w14:paraId="08E6EEB5" w14:textId="77777777" w:rsidR="002F4FA6" w:rsidRPr="0098629B" w:rsidRDefault="002F4FA6" w:rsidP="00635A2E">
            <w:pPr>
              <w:spacing w:line="259" w:lineRule="auto"/>
              <w:ind w:left="114"/>
              <w:jc w:val="center"/>
            </w:pPr>
            <w:r w:rsidRPr="0098629B">
              <w:rPr>
                <w:sz w:val="18"/>
              </w:rPr>
              <w:t xml:space="preserve">1,6 </w:t>
            </w:r>
          </w:p>
        </w:tc>
        <w:tc>
          <w:tcPr>
            <w:tcW w:w="652" w:type="dxa"/>
            <w:tcBorders>
              <w:top w:val="single" w:sz="2" w:space="0" w:color="000000"/>
              <w:left w:val="single" w:sz="2" w:space="0" w:color="000000"/>
              <w:bottom w:val="single" w:sz="2" w:space="0" w:color="000000"/>
              <w:right w:val="single" w:sz="2" w:space="0" w:color="000000"/>
            </w:tcBorders>
          </w:tcPr>
          <w:p w14:paraId="1E603AEC" w14:textId="77777777" w:rsidR="002F4FA6" w:rsidRPr="0098629B" w:rsidRDefault="002F4FA6" w:rsidP="00635A2E">
            <w:pPr>
              <w:spacing w:line="259" w:lineRule="auto"/>
              <w:ind w:left="115"/>
              <w:jc w:val="center"/>
            </w:pPr>
            <w:r w:rsidRPr="0098629B">
              <w:rPr>
                <w:sz w:val="18"/>
              </w:rPr>
              <w:t xml:space="preserve">1,3 </w:t>
            </w:r>
          </w:p>
        </w:tc>
        <w:tc>
          <w:tcPr>
            <w:tcW w:w="653" w:type="dxa"/>
            <w:tcBorders>
              <w:top w:val="single" w:sz="2" w:space="0" w:color="000000"/>
              <w:left w:val="single" w:sz="2" w:space="0" w:color="000000"/>
              <w:bottom w:val="single" w:sz="2" w:space="0" w:color="000000"/>
              <w:right w:val="single" w:sz="2" w:space="0" w:color="000000"/>
            </w:tcBorders>
          </w:tcPr>
          <w:p w14:paraId="6CC126CE" w14:textId="77777777" w:rsidR="002F4FA6" w:rsidRPr="0098629B" w:rsidRDefault="002F4FA6" w:rsidP="00635A2E">
            <w:pPr>
              <w:spacing w:line="259" w:lineRule="auto"/>
              <w:ind w:left="116"/>
              <w:jc w:val="center"/>
            </w:pPr>
            <w:r w:rsidRPr="0098629B">
              <w:rPr>
                <w:sz w:val="18"/>
              </w:rPr>
              <w:t xml:space="preserve">1,4 </w:t>
            </w:r>
          </w:p>
        </w:tc>
        <w:tc>
          <w:tcPr>
            <w:tcW w:w="655" w:type="dxa"/>
            <w:tcBorders>
              <w:top w:val="single" w:sz="2" w:space="0" w:color="000000"/>
              <w:left w:val="single" w:sz="2" w:space="0" w:color="000000"/>
              <w:bottom w:val="single" w:sz="2" w:space="0" w:color="000000"/>
              <w:right w:val="single" w:sz="2" w:space="0" w:color="000000"/>
            </w:tcBorders>
          </w:tcPr>
          <w:p w14:paraId="48FA9A15" w14:textId="77777777" w:rsidR="002F4FA6" w:rsidRPr="0098629B" w:rsidRDefault="002F4FA6" w:rsidP="00635A2E">
            <w:pPr>
              <w:spacing w:line="259" w:lineRule="auto"/>
              <w:ind w:left="118"/>
              <w:jc w:val="center"/>
            </w:pPr>
            <w:r w:rsidRPr="0098629B">
              <w:rPr>
                <w:sz w:val="18"/>
              </w:rPr>
              <w:t xml:space="preserve">1,7 </w:t>
            </w:r>
          </w:p>
        </w:tc>
        <w:tc>
          <w:tcPr>
            <w:tcW w:w="655" w:type="dxa"/>
            <w:tcBorders>
              <w:top w:val="single" w:sz="2" w:space="0" w:color="000000"/>
              <w:left w:val="single" w:sz="2" w:space="0" w:color="000000"/>
              <w:bottom w:val="single" w:sz="2" w:space="0" w:color="000000"/>
              <w:right w:val="single" w:sz="2" w:space="0" w:color="000000"/>
            </w:tcBorders>
          </w:tcPr>
          <w:p w14:paraId="50F5EB2C" w14:textId="77777777" w:rsidR="002F4FA6" w:rsidRPr="0098629B" w:rsidRDefault="002F4FA6" w:rsidP="00635A2E">
            <w:pPr>
              <w:spacing w:line="259" w:lineRule="auto"/>
              <w:ind w:left="118"/>
              <w:jc w:val="center"/>
              <w:rPr>
                <w:sz w:val="18"/>
              </w:rPr>
            </w:pPr>
            <w:r w:rsidRPr="0098629B">
              <w:rPr>
                <w:sz w:val="18"/>
              </w:rPr>
              <w:t>1,7</w:t>
            </w:r>
          </w:p>
        </w:tc>
        <w:tc>
          <w:tcPr>
            <w:tcW w:w="655" w:type="dxa"/>
            <w:tcBorders>
              <w:top w:val="single" w:sz="2" w:space="0" w:color="000000"/>
              <w:left w:val="single" w:sz="2" w:space="0" w:color="000000"/>
              <w:bottom w:val="single" w:sz="2" w:space="0" w:color="000000"/>
              <w:right w:val="single" w:sz="2" w:space="0" w:color="000000"/>
            </w:tcBorders>
          </w:tcPr>
          <w:p w14:paraId="054BE522" w14:textId="77777777" w:rsidR="002F4FA6" w:rsidRPr="0098629B" w:rsidRDefault="002F4FA6" w:rsidP="00635A2E">
            <w:pPr>
              <w:spacing w:line="259" w:lineRule="auto"/>
              <w:ind w:left="118"/>
              <w:jc w:val="center"/>
              <w:rPr>
                <w:sz w:val="18"/>
              </w:rPr>
            </w:pPr>
            <w:r w:rsidRPr="0098629B">
              <w:rPr>
                <w:sz w:val="18"/>
              </w:rPr>
              <w:t>1,7</w:t>
            </w:r>
          </w:p>
        </w:tc>
        <w:tc>
          <w:tcPr>
            <w:tcW w:w="655" w:type="dxa"/>
            <w:tcBorders>
              <w:top w:val="single" w:sz="2" w:space="0" w:color="000000"/>
              <w:left w:val="single" w:sz="2" w:space="0" w:color="000000"/>
              <w:bottom w:val="single" w:sz="2" w:space="0" w:color="000000"/>
              <w:right w:val="single" w:sz="2" w:space="0" w:color="000000"/>
            </w:tcBorders>
          </w:tcPr>
          <w:p w14:paraId="4BA1FD47" w14:textId="77777777" w:rsidR="002F4FA6" w:rsidRPr="0098629B" w:rsidRDefault="002F4FA6" w:rsidP="00635A2E">
            <w:pPr>
              <w:spacing w:line="259" w:lineRule="auto"/>
              <w:ind w:left="118"/>
              <w:jc w:val="center"/>
              <w:rPr>
                <w:sz w:val="18"/>
              </w:rPr>
            </w:pPr>
            <w:r w:rsidRPr="0098629B">
              <w:rPr>
                <w:sz w:val="18"/>
              </w:rPr>
              <w:t>1,7</w:t>
            </w:r>
          </w:p>
        </w:tc>
      </w:tr>
    </w:tbl>
    <w:p w14:paraId="2B7F0EAC" w14:textId="55A7BBDE" w:rsidR="002F4FA6" w:rsidRPr="0098629B" w:rsidRDefault="002F4FA6" w:rsidP="002F4FA6">
      <w:pPr>
        <w:pStyle w:val="Caption"/>
      </w:pPr>
      <w:bookmarkStart w:id="197" w:name="_Toc122694462"/>
      <w:bookmarkStart w:id="198" w:name="_Toc123916665"/>
      <w:r w:rsidRPr="0098629B">
        <w:t xml:space="preserve">Tableau </w:t>
      </w:r>
      <w:fldSimple w:instr=" SEQ Tableau \* ARABIC ">
        <w:r w:rsidR="00677B3C">
          <w:rPr>
            <w:noProof/>
          </w:rPr>
          <w:t>30</w:t>
        </w:r>
      </w:fldSimple>
      <w:r w:rsidRPr="0098629B">
        <w:t> : Hypothèses de croissance du PIB</w:t>
      </w:r>
      <w:bookmarkEnd w:id="197"/>
      <w:bookmarkEnd w:id="198"/>
      <w:r w:rsidRPr="0098629B">
        <w:t xml:space="preserve"> </w:t>
      </w:r>
    </w:p>
    <w:p w14:paraId="4462ACF5" w14:textId="77777777" w:rsidR="002F4FA6" w:rsidRPr="0098629B" w:rsidRDefault="002F4FA6" w:rsidP="002F4FA6">
      <w:pPr>
        <w:pStyle w:val="Caption"/>
        <w:rPr>
          <w:color w:val="auto"/>
          <w:sz w:val="21"/>
        </w:rPr>
      </w:pPr>
      <w:r w:rsidRPr="0098629B">
        <w:t xml:space="preserve">Source : Cadrage économique de l’UE pour la France  </w:t>
      </w:r>
    </w:p>
    <w:p w14:paraId="18920FFE" w14:textId="77777777" w:rsidR="002F4FA6" w:rsidRPr="0098629B" w:rsidRDefault="002F4FA6" w:rsidP="002F4FA6">
      <w:pPr>
        <w:pStyle w:val="Titre4niveau4"/>
        <w:spacing w:before="240"/>
      </w:pPr>
      <w:r w:rsidRPr="0098629B">
        <w:t>Hypothèses sur la production industrielle</w:t>
      </w:r>
    </w:p>
    <w:p w14:paraId="367C46B6" w14:textId="77777777" w:rsidR="002F4FA6" w:rsidRPr="0098629B" w:rsidRDefault="002F4FA6" w:rsidP="002F4FA6">
      <w:pPr>
        <w:spacing w:after="43" w:line="259" w:lineRule="auto"/>
        <w:ind w:left="-1"/>
      </w:pPr>
      <w:r w:rsidRPr="0098629B">
        <w:t>La valeur ajoutée industrielle a été indexée sur le PIB jusqu’à 2025 de manière à refléter l’impact de la crise sanitaire, puis reprend la trajectoire de l’AMS 2018 ensuite (la trajectoire de l’AME 2018, avec une forte croissance jusqu’à 2030 puis un ralentissement marqué ayant été jugée obsolète). La trajectoire de l’AME 21 est par ailleurs globalement alignée avec celle incluse dans le scénario de référence de la Commission européenne («</w:t>
      </w:r>
      <w:r w:rsidRPr="0098629B">
        <w:rPr>
          <w:rFonts w:ascii="Tahoma" w:hAnsi="Tahoma" w:cs="Tahoma"/>
        </w:rPr>
        <w:t> </w:t>
      </w:r>
      <w:r w:rsidRPr="0098629B">
        <w:t>EC ref</w:t>
      </w:r>
      <w:r w:rsidRPr="0098629B">
        <w:rPr>
          <w:rFonts w:ascii="Tahoma" w:hAnsi="Tahoma" w:cs="Tahoma"/>
        </w:rPr>
        <w:t> </w:t>
      </w:r>
      <w:r w:rsidRPr="0098629B">
        <w:t>»), même si plus dynamique entre 2025 et 2040.</w:t>
      </w:r>
    </w:p>
    <w:p w14:paraId="58B179E0" w14:textId="77777777" w:rsidR="002F4FA6" w:rsidRPr="0098629B" w:rsidRDefault="002F4FA6" w:rsidP="002F4FA6"/>
    <w:p w14:paraId="2B9D6456" w14:textId="77777777" w:rsidR="002F4FA6" w:rsidRPr="0098629B" w:rsidRDefault="002F4FA6" w:rsidP="002F4FA6">
      <w:pPr>
        <w:jc w:val="center"/>
      </w:pPr>
      <w:r w:rsidRPr="0098629B">
        <w:rPr>
          <w:noProof/>
        </w:rPr>
        <w:drawing>
          <wp:inline distT="0" distB="0" distL="0" distR="0" wp14:anchorId="5DE259D1" wp14:editId="4F9C8137">
            <wp:extent cx="4593981" cy="3143738"/>
            <wp:effectExtent l="0" t="0" r="16510" b="0"/>
            <wp:docPr id="28710" name="Graphique 28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1F088A" w14:textId="77777777" w:rsidR="002F4FA6" w:rsidRPr="0098629B" w:rsidRDefault="002F4FA6" w:rsidP="002F4FA6"/>
    <w:tbl>
      <w:tblPr>
        <w:tblStyle w:val="TableGrid0"/>
        <w:tblW w:w="9943" w:type="dxa"/>
        <w:tblInd w:w="7" w:type="dxa"/>
        <w:tblCellMar>
          <w:top w:w="37" w:type="dxa"/>
          <w:right w:w="115" w:type="dxa"/>
        </w:tblCellMar>
        <w:tblLook w:val="04A0" w:firstRow="1" w:lastRow="0" w:firstColumn="1" w:lastColumn="0" w:noHBand="0" w:noVBand="1"/>
      </w:tblPr>
      <w:tblGrid>
        <w:gridCol w:w="3959"/>
        <w:gridCol w:w="1701"/>
        <w:gridCol w:w="720"/>
        <w:gridCol w:w="716"/>
        <w:gridCol w:w="718"/>
        <w:gridCol w:w="718"/>
        <w:gridCol w:w="693"/>
        <w:gridCol w:w="718"/>
      </w:tblGrid>
      <w:tr w:rsidR="002F4FA6" w:rsidRPr="0098629B" w14:paraId="003415D0" w14:textId="77777777" w:rsidTr="00D0046F">
        <w:trPr>
          <w:trHeight w:val="378"/>
        </w:trPr>
        <w:tc>
          <w:tcPr>
            <w:tcW w:w="3959" w:type="dxa"/>
            <w:tcBorders>
              <w:top w:val="single" w:sz="2" w:space="0" w:color="000000"/>
              <w:left w:val="single" w:sz="2" w:space="0" w:color="000000"/>
              <w:bottom w:val="single" w:sz="2" w:space="0" w:color="000000"/>
              <w:right w:val="single" w:sz="2" w:space="0" w:color="000000"/>
            </w:tcBorders>
            <w:shd w:val="clear" w:color="auto" w:fill="6D2A78"/>
          </w:tcPr>
          <w:p w14:paraId="5197730B" w14:textId="77777777" w:rsidR="002F4FA6" w:rsidRPr="0098629B" w:rsidRDefault="002F4FA6" w:rsidP="00635A2E">
            <w:pPr>
              <w:spacing w:line="259" w:lineRule="auto"/>
              <w:ind w:left="28"/>
            </w:pPr>
            <w:r w:rsidRPr="0098629B">
              <w:rPr>
                <w:b/>
                <w:color w:val="FFFFFF"/>
                <w:sz w:val="18"/>
              </w:rPr>
              <w:t>Taux de croissance annuel moyen  de la valeur ajoutée industrielle</w:t>
            </w:r>
          </w:p>
        </w:tc>
        <w:tc>
          <w:tcPr>
            <w:tcW w:w="1701" w:type="dxa"/>
            <w:tcBorders>
              <w:top w:val="single" w:sz="2" w:space="0" w:color="000000"/>
              <w:left w:val="single" w:sz="2" w:space="0" w:color="000000"/>
              <w:bottom w:val="single" w:sz="2" w:space="0" w:color="000000"/>
              <w:right w:val="single" w:sz="2" w:space="0" w:color="000000"/>
            </w:tcBorders>
            <w:shd w:val="clear" w:color="auto" w:fill="6D2A78"/>
          </w:tcPr>
          <w:p w14:paraId="3A254FD4" w14:textId="77777777" w:rsidR="002F4FA6" w:rsidRPr="0098629B" w:rsidRDefault="002F4FA6" w:rsidP="00635A2E">
            <w:pPr>
              <w:spacing w:line="259" w:lineRule="auto"/>
              <w:ind w:left="116"/>
              <w:jc w:val="center"/>
            </w:pPr>
            <w:r w:rsidRPr="0098629B">
              <w:rPr>
                <w:b/>
                <w:color w:val="FFFFFF"/>
                <w:sz w:val="18"/>
              </w:rPr>
              <w:t xml:space="preserve">2015-2020 </w:t>
            </w:r>
          </w:p>
        </w:tc>
        <w:tc>
          <w:tcPr>
            <w:tcW w:w="720" w:type="dxa"/>
            <w:tcBorders>
              <w:top w:val="single" w:sz="2" w:space="0" w:color="000000"/>
              <w:left w:val="single" w:sz="2" w:space="0" w:color="000000"/>
              <w:bottom w:val="single" w:sz="2" w:space="0" w:color="000000"/>
              <w:right w:val="single" w:sz="2" w:space="0" w:color="000000"/>
            </w:tcBorders>
            <w:shd w:val="clear" w:color="auto" w:fill="6D2A78"/>
          </w:tcPr>
          <w:p w14:paraId="447441E5" w14:textId="77777777" w:rsidR="002F4FA6" w:rsidRPr="0098629B" w:rsidRDefault="002F4FA6" w:rsidP="00635A2E">
            <w:pPr>
              <w:spacing w:line="259" w:lineRule="auto"/>
              <w:ind w:left="117"/>
              <w:jc w:val="center"/>
            </w:pPr>
            <w:r w:rsidRPr="0098629B">
              <w:rPr>
                <w:b/>
                <w:color w:val="FFFFFF"/>
                <w:sz w:val="18"/>
              </w:rPr>
              <w:t xml:space="preserve">2020-2025 </w:t>
            </w:r>
          </w:p>
        </w:tc>
        <w:tc>
          <w:tcPr>
            <w:tcW w:w="716" w:type="dxa"/>
            <w:tcBorders>
              <w:top w:val="single" w:sz="2" w:space="0" w:color="000000"/>
              <w:left w:val="single" w:sz="2" w:space="0" w:color="000000"/>
              <w:bottom w:val="single" w:sz="2" w:space="0" w:color="000000"/>
              <w:right w:val="single" w:sz="2" w:space="0" w:color="000000"/>
            </w:tcBorders>
            <w:shd w:val="clear" w:color="auto" w:fill="6D2A78"/>
          </w:tcPr>
          <w:p w14:paraId="3B10CBC7" w14:textId="77777777" w:rsidR="002F4FA6" w:rsidRPr="0098629B" w:rsidRDefault="002F4FA6" w:rsidP="00635A2E">
            <w:pPr>
              <w:spacing w:line="259" w:lineRule="auto"/>
              <w:ind w:left="113"/>
              <w:jc w:val="center"/>
            </w:pPr>
            <w:r w:rsidRPr="0098629B">
              <w:rPr>
                <w:b/>
                <w:color w:val="FFFFFF"/>
                <w:sz w:val="18"/>
              </w:rPr>
              <w:t xml:space="preserve">2025-2030 </w:t>
            </w:r>
          </w:p>
        </w:tc>
        <w:tc>
          <w:tcPr>
            <w:tcW w:w="718" w:type="dxa"/>
            <w:tcBorders>
              <w:top w:val="single" w:sz="2" w:space="0" w:color="000000"/>
              <w:left w:val="single" w:sz="2" w:space="0" w:color="000000"/>
              <w:bottom w:val="single" w:sz="2" w:space="0" w:color="000000"/>
              <w:right w:val="single" w:sz="2" w:space="0" w:color="000000"/>
            </w:tcBorders>
            <w:shd w:val="clear" w:color="auto" w:fill="6D2A78"/>
          </w:tcPr>
          <w:p w14:paraId="0E66661D" w14:textId="77777777" w:rsidR="002F4FA6" w:rsidRPr="0098629B" w:rsidRDefault="002F4FA6" w:rsidP="00635A2E">
            <w:pPr>
              <w:spacing w:line="259" w:lineRule="auto"/>
              <w:ind w:left="115"/>
              <w:jc w:val="center"/>
            </w:pPr>
            <w:r w:rsidRPr="0098629B">
              <w:rPr>
                <w:b/>
                <w:color w:val="FFFFFF"/>
                <w:sz w:val="18"/>
              </w:rPr>
              <w:t xml:space="preserve">2030-2035 </w:t>
            </w:r>
          </w:p>
        </w:tc>
        <w:tc>
          <w:tcPr>
            <w:tcW w:w="718" w:type="dxa"/>
            <w:tcBorders>
              <w:top w:val="single" w:sz="2" w:space="0" w:color="000000"/>
              <w:left w:val="single" w:sz="2" w:space="0" w:color="000000"/>
              <w:bottom w:val="single" w:sz="2" w:space="0" w:color="000000"/>
              <w:right w:val="single" w:sz="2" w:space="0" w:color="000000"/>
            </w:tcBorders>
            <w:shd w:val="clear" w:color="auto" w:fill="6D2A78"/>
          </w:tcPr>
          <w:p w14:paraId="096831B1" w14:textId="77777777" w:rsidR="002F4FA6" w:rsidRPr="0098629B" w:rsidRDefault="002F4FA6" w:rsidP="00635A2E">
            <w:pPr>
              <w:spacing w:line="259" w:lineRule="auto"/>
              <w:ind w:left="115"/>
              <w:jc w:val="center"/>
              <w:rPr>
                <w:b/>
                <w:color w:val="FFFFFF"/>
                <w:sz w:val="18"/>
              </w:rPr>
            </w:pPr>
            <w:r w:rsidRPr="0098629B">
              <w:rPr>
                <w:b/>
                <w:color w:val="FFFFFF"/>
                <w:sz w:val="18"/>
              </w:rPr>
              <w:t>2036-2040</w:t>
            </w:r>
          </w:p>
        </w:tc>
        <w:tc>
          <w:tcPr>
            <w:tcW w:w="693" w:type="dxa"/>
            <w:tcBorders>
              <w:top w:val="single" w:sz="2" w:space="0" w:color="000000"/>
              <w:left w:val="single" w:sz="2" w:space="0" w:color="000000"/>
              <w:bottom w:val="single" w:sz="2" w:space="0" w:color="000000"/>
              <w:right w:val="single" w:sz="2" w:space="0" w:color="000000"/>
            </w:tcBorders>
            <w:shd w:val="clear" w:color="auto" w:fill="6D2A78"/>
          </w:tcPr>
          <w:p w14:paraId="7D470DE4" w14:textId="77777777" w:rsidR="002F4FA6" w:rsidRPr="0098629B" w:rsidRDefault="002F4FA6" w:rsidP="00635A2E">
            <w:pPr>
              <w:spacing w:line="259" w:lineRule="auto"/>
              <w:ind w:left="115"/>
              <w:jc w:val="center"/>
              <w:rPr>
                <w:b/>
                <w:color w:val="FFFFFF"/>
                <w:sz w:val="18"/>
              </w:rPr>
            </w:pPr>
            <w:r w:rsidRPr="0098629B">
              <w:rPr>
                <w:b/>
                <w:color w:val="FFFFFF"/>
                <w:sz w:val="18"/>
              </w:rPr>
              <w:t>2041-2045</w:t>
            </w:r>
          </w:p>
        </w:tc>
        <w:tc>
          <w:tcPr>
            <w:tcW w:w="718" w:type="dxa"/>
            <w:tcBorders>
              <w:top w:val="single" w:sz="2" w:space="0" w:color="000000"/>
              <w:left w:val="single" w:sz="2" w:space="0" w:color="000000"/>
              <w:bottom w:val="single" w:sz="2" w:space="0" w:color="000000"/>
              <w:right w:val="single" w:sz="2" w:space="0" w:color="000000"/>
            </w:tcBorders>
            <w:shd w:val="clear" w:color="auto" w:fill="6D2A78"/>
          </w:tcPr>
          <w:p w14:paraId="29ECE5AE" w14:textId="77777777" w:rsidR="002F4FA6" w:rsidRPr="0098629B" w:rsidRDefault="002F4FA6" w:rsidP="00635A2E">
            <w:pPr>
              <w:spacing w:line="259" w:lineRule="auto"/>
              <w:ind w:left="115"/>
              <w:jc w:val="center"/>
              <w:rPr>
                <w:b/>
                <w:color w:val="FFFFFF"/>
                <w:sz w:val="18"/>
              </w:rPr>
            </w:pPr>
            <w:r w:rsidRPr="0098629B">
              <w:rPr>
                <w:b/>
                <w:color w:val="FFFFFF"/>
                <w:sz w:val="18"/>
              </w:rPr>
              <w:t>2046-2050</w:t>
            </w:r>
          </w:p>
        </w:tc>
      </w:tr>
      <w:tr w:rsidR="002F4FA6" w:rsidRPr="0098629B" w14:paraId="14DF3A84" w14:textId="77777777" w:rsidTr="00D0046F">
        <w:trPr>
          <w:trHeight w:val="407"/>
        </w:trPr>
        <w:tc>
          <w:tcPr>
            <w:tcW w:w="3959" w:type="dxa"/>
            <w:tcBorders>
              <w:top w:val="single" w:sz="2" w:space="0" w:color="000000"/>
              <w:left w:val="single" w:sz="2" w:space="0" w:color="000000"/>
              <w:bottom w:val="single" w:sz="2" w:space="0" w:color="000000"/>
              <w:right w:val="single" w:sz="2" w:space="0" w:color="000000"/>
            </w:tcBorders>
          </w:tcPr>
          <w:p w14:paraId="6935789E" w14:textId="77777777" w:rsidR="002F4FA6" w:rsidRPr="0098629B" w:rsidRDefault="002F4FA6" w:rsidP="00635A2E">
            <w:pPr>
              <w:spacing w:line="259" w:lineRule="auto"/>
              <w:ind w:left="28"/>
            </w:pPr>
            <w:r w:rsidRPr="0098629B">
              <w:rPr>
                <w:sz w:val="18"/>
              </w:rPr>
              <w:t xml:space="preserve">AME 2021 </w:t>
            </w:r>
          </w:p>
        </w:tc>
        <w:tc>
          <w:tcPr>
            <w:tcW w:w="1701" w:type="dxa"/>
            <w:tcBorders>
              <w:top w:val="single" w:sz="2" w:space="0" w:color="000000"/>
              <w:left w:val="single" w:sz="2" w:space="0" w:color="000000"/>
              <w:bottom w:val="single" w:sz="2" w:space="0" w:color="000000"/>
              <w:right w:val="single" w:sz="2" w:space="0" w:color="000000"/>
            </w:tcBorders>
          </w:tcPr>
          <w:p w14:paraId="43613E1C" w14:textId="77777777" w:rsidR="002F4FA6" w:rsidRPr="0098629B" w:rsidRDefault="002F4FA6" w:rsidP="00635A2E">
            <w:pPr>
              <w:spacing w:line="259" w:lineRule="auto"/>
              <w:ind w:left="119"/>
              <w:jc w:val="center"/>
              <w:rPr>
                <w:sz w:val="18"/>
              </w:rPr>
            </w:pPr>
          </w:p>
          <w:p w14:paraId="049891F1" w14:textId="77777777" w:rsidR="002F4FA6" w:rsidRPr="0098629B" w:rsidRDefault="002F4FA6" w:rsidP="00635A2E">
            <w:pPr>
              <w:spacing w:line="259" w:lineRule="auto"/>
              <w:ind w:left="119"/>
              <w:jc w:val="center"/>
              <w:rPr>
                <w:sz w:val="18"/>
              </w:rPr>
            </w:pPr>
            <w:r w:rsidRPr="0098629B">
              <w:rPr>
                <w:sz w:val="18"/>
              </w:rPr>
              <w:t>2019</w:t>
            </w:r>
            <w:r w:rsidRPr="0098629B">
              <w:rPr>
                <w:rFonts w:ascii="Calibri" w:hAnsi="Calibri" w:cs="Calibri"/>
                <w:sz w:val="18"/>
              </w:rPr>
              <w:t> </w:t>
            </w:r>
            <w:r w:rsidRPr="0098629B">
              <w:rPr>
                <w:sz w:val="18"/>
              </w:rPr>
              <w:t>: 1,4</w:t>
            </w:r>
          </w:p>
          <w:p w14:paraId="6C236EE3" w14:textId="77777777" w:rsidR="002F4FA6" w:rsidRPr="0098629B" w:rsidRDefault="002F4FA6" w:rsidP="00635A2E">
            <w:pPr>
              <w:spacing w:line="259" w:lineRule="auto"/>
              <w:ind w:left="119"/>
              <w:jc w:val="center"/>
            </w:pPr>
            <w:r w:rsidRPr="0098629B">
              <w:rPr>
                <w:sz w:val="18"/>
              </w:rPr>
              <w:t>2020</w:t>
            </w:r>
            <w:r w:rsidRPr="0098629B">
              <w:rPr>
                <w:rFonts w:ascii="Calibri" w:hAnsi="Calibri" w:cs="Calibri"/>
                <w:sz w:val="18"/>
              </w:rPr>
              <w:t> </w:t>
            </w:r>
            <w:r w:rsidRPr="0098629B">
              <w:rPr>
                <w:sz w:val="18"/>
              </w:rPr>
              <w:t>: -8,3</w:t>
            </w:r>
          </w:p>
        </w:tc>
        <w:tc>
          <w:tcPr>
            <w:tcW w:w="720" w:type="dxa"/>
            <w:tcBorders>
              <w:top w:val="single" w:sz="2" w:space="0" w:color="000000"/>
              <w:left w:val="single" w:sz="2" w:space="0" w:color="000000"/>
              <w:bottom w:val="single" w:sz="2" w:space="0" w:color="000000"/>
              <w:right w:val="single" w:sz="2" w:space="0" w:color="000000"/>
            </w:tcBorders>
          </w:tcPr>
          <w:p w14:paraId="2661FE57" w14:textId="77777777" w:rsidR="002F4FA6" w:rsidRPr="0098629B" w:rsidRDefault="002F4FA6" w:rsidP="00635A2E">
            <w:pPr>
              <w:spacing w:line="259" w:lineRule="auto"/>
              <w:ind w:left="117"/>
              <w:jc w:val="center"/>
            </w:pPr>
            <w:r w:rsidRPr="0098629B">
              <w:rPr>
                <w:sz w:val="18"/>
              </w:rPr>
              <w:t>2,63</w:t>
            </w:r>
          </w:p>
        </w:tc>
        <w:tc>
          <w:tcPr>
            <w:tcW w:w="716" w:type="dxa"/>
            <w:tcBorders>
              <w:top w:val="single" w:sz="2" w:space="0" w:color="000000"/>
              <w:left w:val="single" w:sz="2" w:space="0" w:color="000000"/>
              <w:bottom w:val="single" w:sz="2" w:space="0" w:color="000000"/>
              <w:right w:val="single" w:sz="2" w:space="0" w:color="000000"/>
            </w:tcBorders>
          </w:tcPr>
          <w:p w14:paraId="18671D75" w14:textId="77777777" w:rsidR="002F4FA6" w:rsidRPr="0098629B" w:rsidRDefault="002F4FA6" w:rsidP="00635A2E">
            <w:pPr>
              <w:spacing w:line="259" w:lineRule="auto"/>
              <w:ind w:left="116"/>
              <w:jc w:val="center"/>
            </w:pPr>
            <w:r w:rsidRPr="0098629B">
              <w:rPr>
                <w:sz w:val="18"/>
              </w:rPr>
              <w:t>0,9</w:t>
            </w:r>
          </w:p>
        </w:tc>
        <w:tc>
          <w:tcPr>
            <w:tcW w:w="718" w:type="dxa"/>
            <w:tcBorders>
              <w:top w:val="single" w:sz="2" w:space="0" w:color="000000"/>
              <w:left w:val="single" w:sz="2" w:space="0" w:color="000000"/>
              <w:bottom w:val="single" w:sz="2" w:space="0" w:color="000000"/>
              <w:right w:val="single" w:sz="2" w:space="0" w:color="000000"/>
            </w:tcBorders>
          </w:tcPr>
          <w:p w14:paraId="46E1E0C7" w14:textId="77777777" w:rsidR="002F4FA6" w:rsidRPr="0098629B" w:rsidRDefault="002F4FA6" w:rsidP="00635A2E">
            <w:pPr>
              <w:spacing w:line="259" w:lineRule="auto"/>
              <w:ind w:left="118"/>
              <w:jc w:val="center"/>
            </w:pPr>
            <w:r w:rsidRPr="0098629B">
              <w:rPr>
                <w:sz w:val="18"/>
              </w:rPr>
              <w:t>1,</w:t>
            </w:r>
          </w:p>
        </w:tc>
        <w:tc>
          <w:tcPr>
            <w:tcW w:w="718" w:type="dxa"/>
            <w:tcBorders>
              <w:top w:val="single" w:sz="2" w:space="0" w:color="000000"/>
              <w:left w:val="single" w:sz="2" w:space="0" w:color="000000"/>
              <w:bottom w:val="single" w:sz="2" w:space="0" w:color="000000"/>
              <w:right w:val="single" w:sz="2" w:space="0" w:color="000000"/>
            </w:tcBorders>
          </w:tcPr>
          <w:p w14:paraId="627912E0" w14:textId="77777777" w:rsidR="002F4FA6" w:rsidRPr="0098629B" w:rsidRDefault="002F4FA6" w:rsidP="00635A2E">
            <w:pPr>
              <w:spacing w:line="259" w:lineRule="auto"/>
              <w:ind w:left="118"/>
              <w:jc w:val="center"/>
              <w:rPr>
                <w:sz w:val="18"/>
              </w:rPr>
            </w:pPr>
            <w:r w:rsidRPr="0098629B">
              <w:rPr>
                <w:sz w:val="18"/>
              </w:rPr>
              <w:t>1,3</w:t>
            </w:r>
          </w:p>
        </w:tc>
        <w:tc>
          <w:tcPr>
            <w:tcW w:w="693" w:type="dxa"/>
            <w:tcBorders>
              <w:top w:val="single" w:sz="2" w:space="0" w:color="000000"/>
              <w:left w:val="single" w:sz="2" w:space="0" w:color="000000"/>
              <w:bottom w:val="single" w:sz="2" w:space="0" w:color="000000"/>
              <w:right w:val="single" w:sz="2" w:space="0" w:color="000000"/>
            </w:tcBorders>
          </w:tcPr>
          <w:p w14:paraId="59D5FA62" w14:textId="77777777" w:rsidR="002F4FA6" w:rsidRPr="0098629B" w:rsidRDefault="002F4FA6" w:rsidP="00635A2E">
            <w:pPr>
              <w:spacing w:line="259" w:lineRule="auto"/>
              <w:ind w:left="118"/>
              <w:jc w:val="center"/>
              <w:rPr>
                <w:sz w:val="18"/>
              </w:rPr>
            </w:pPr>
            <w:r w:rsidRPr="0098629B">
              <w:rPr>
                <w:sz w:val="18"/>
              </w:rPr>
              <w:t>1,3</w:t>
            </w:r>
          </w:p>
        </w:tc>
        <w:tc>
          <w:tcPr>
            <w:tcW w:w="718" w:type="dxa"/>
            <w:tcBorders>
              <w:top w:val="single" w:sz="2" w:space="0" w:color="000000"/>
              <w:left w:val="single" w:sz="2" w:space="0" w:color="000000"/>
              <w:bottom w:val="single" w:sz="2" w:space="0" w:color="000000"/>
              <w:right w:val="single" w:sz="2" w:space="0" w:color="000000"/>
            </w:tcBorders>
          </w:tcPr>
          <w:p w14:paraId="00F367BC" w14:textId="77777777" w:rsidR="002F4FA6" w:rsidRPr="0098629B" w:rsidRDefault="002F4FA6" w:rsidP="00635A2E">
            <w:pPr>
              <w:spacing w:line="259" w:lineRule="auto"/>
              <w:ind w:left="118"/>
              <w:jc w:val="center"/>
              <w:rPr>
                <w:sz w:val="18"/>
              </w:rPr>
            </w:pPr>
            <w:r w:rsidRPr="0098629B">
              <w:rPr>
                <w:sz w:val="18"/>
              </w:rPr>
              <w:t>1,3</w:t>
            </w:r>
          </w:p>
        </w:tc>
      </w:tr>
      <w:tr w:rsidR="002F4FA6" w:rsidRPr="0098629B" w14:paraId="7398E3CF" w14:textId="77777777" w:rsidTr="00D0046F">
        <w:trPr>
          <w:trHeight w:val="407"/>
        </w:trPr>
        <w:tc>
          <w:tcPr>
            <w:tcW w:w="3959" w:type="dxa"/>
            <w:tcBorders>
              <w:top w:val="single" w:sz="2" w:space="0" w:color="000000"/>
              <w:left w:val="single" w:sz="2" w:space="0" w:color="000000"/>
              <w:bottom w:val="single" w:sz="2" w:space="0" w:color="000000"/>
              <w:right w:val="single" w:sz="2" w:space="0" w:color="000000"/>
            </w:tcBorders>
          </w:tcPr>
          <w:p w14:paraId="52D49BAA" w14:textId="77777777" w:rsidR="002F4FA6" w:rsidRPr="0098629B" w:rsidRDefault="002F4FA6" w:rsidP="00635A2E">
            <w:pPr>
              <w:spacing w:line="259" w:lineRule="auto"/>
              <w:ind w:left="28"/>
              <w:rPr>
                <w:sz w:val="18"/>
              </w:rPr>
            </w:pPr>
            <w:r w:rsidRPr="0098629B">
              <w:rPr>
                <w:sz w:val="18"/>
              </w:rPr>
              <w:t>AMS 2018</w:t>
            </w:r>
          </w:p>
        </w:tc>
        <w:tc>
          <w:tcPr>
            <w:tcW w:w="1701" w:type="dxa"/>
            <w:tcBorders>
              <w:top w:val="single" w:sz="2" w:space="0" w:color="000000"/>
              <w:left w:val="single" w:sz="2" w:space="0" w:color="000000"/>
              <w:bottom w:val="single" w:sz="2" w:space="0" w:color="000000"/>
              <w:right w:val="single" w:sz="2" w:space="0" w:color="000000"/>
            </w:tcBorders>
          </w:tcPr>
          <w:p w14:paraId="4164B990" w14:textId="77777777" w:rsidR="002F4FA6" w:rsidRPr="0098629B" w:rsidRDefault="002F4FA6" w:rsidP="00635A2E">
            <w:pPr>
              <w:spacing w:line="259" w:lineRule="auto"/>
              <w:ind w:left="119"/>
              <w:jc w:val="center"/>
              <w:rPr>
                <w:sz w:val="18"/>
              </w:rPr>
            </w:pPr>
            <w:r w:rsidRPr="0098629B">
              <w:rPr>
                <w:sz w:val="18"/>
              </w:rPr>
              <w:t xml:space="preserve">1,4 </w:t>
            </w:r>
          </w:p>
        </w:tc>
        <w:tc>
          <w:tcPr>
            <w:tcW w:w="720" w:type="dxa"/>
            <w:tcBorders>
              <w:top w:val="single" w:sz="2" w:space="0" w:color="000000"/>
              <w:left w:val="single" w:sz="2" w:space="0" w:color="000000"/>
              <w:bottom w:val="single" w:sz="2" w:space="0" w:color="000000"/>
              <w:right w:val="single" w:sz="2" w:space="0" w:color="000000"/>
            </w:tcBorders>
          </w:tcPr>
          <w:p w14:paraId="502FA194" w14:textId="77777777" w:rsidR="002F4FA6" w:rsidRPr="0098629B" w:rsidRDefault="002F4FA6" w:rsidP="00635A2E">
            <w:pPr>
              <w:spacing w:line="259" w:lineRule="auto"/>
              <w:ind w:left="117"/>
              <w:jc w:val="center"/>
              <w:rPr>
                <w:sz w:val="18"/>
              </w:rPr>
            </w:pPr>
            <w:r w:rsidRPr="0098629B">
              <w:rPr>
                <w:sz w:val="18"/>
              </w:rPr>
              <w:t xml:space="preserve">1 </w:t>
            </w:r>
          </w:p>
        </w:tc>
        <w:tc>
          <w:tcPr>
            <w:tcW w:w="716" w:type="dxa"/>
            <w:tcBorders>
              <w:top w:val="single" w:sz="2" w:space="0" w:color="000000"/>
              <w:left w:val="single" w:sz="2" w:space="0" w:color="000000"/>
              <w:bottom w:val="single" w:sz="2" w:space="0" w:color="000000"/>
              <w:right w:val="single" w:sz="2" w:space="0" w:color="000000"/>
            </w:tcBorders>
          </w:tcPr>
          <w:p w14:paraId="4E56838E" w14:textId="77777777" w:rsidR="002F4FA6" w:rsidRPr="0098629B" w:rsidRDefault="002F4FA6" w:rsidP="00635A2E">
            <w:pPr>
              <w:spacing w:line="259" w:lineRule="auto"/>
              <w:ind w:left="116"/>
              <w:jc w:val="center"/>
              <w:rPr>
                <w:sz w:val="18"/>
              </w:rPr>
            </w:pPr>
            <w:r w:rsidRPr="0098629B">
              <w:rPr>
                <w:sz w:val="18"/>
              </w:rPr>
              <w:t xml:space="preserve">1,1 </w:t>
            </w:r>
          </w:p>
        </w:tc>
        <w:tc>
          <w:tcPr>
            <w:tcW w:w="718" w:type="dxa"/>
            <w:tcBorders>
              <w:top w:val="single" w:sz="2" w:space="0" w:color="000000"/>
              <w:left w:val="single" w:sz="2" w:space="0" w:color="000000"/>
              <w:bottom w:val="single" w:sz="2" w:space="0" w:color="000000"/>
              <w:right w:val="single" w:sz="2" w:space="0" w:color="000000"/>
            </w:tcBorders>
          </w:tcPr>
          <w:p w14:paraId="6801C1CA" w14:textId="77777777" w:rsidR="002F4FA6" w:rsidRPr="0098629B" w:rsidRDefault="002F4FA6" w:rsidP="00635A2E">
            <w:pPr>
              <w:spacing w:line="259" w:lineRule="auto"/>
              <w:ind w:left="118"/>
              <w:jc w:val="center"/>
              <w:rPr>
                <w:sz w:val="18"/>
              </w:rPr>
            </w:pPr>
            <w:r w:rsidRPr="0098629B">
              <w:rPr>
                <w:sz w:val="18"/>
              </w:rPr>
              <w:t xml:space="preserve">1,3 </w:t>
            </w:r>
          </w:p>
        </w:tc>
        <w:tc>
          <w:tcPr>
            <w:tcW w:w="718" w:type="dxa"/>
            <w:tcBorders>
              <w:top w:val="single" w:sz="2" w:space="0" w:color="000000"/>
              <w:left w:val="single" w:sz="2" w:space="0" w:color="000000"/>
              <w:bottom w:val="single" w:sz="2" w:space="0" w:color="000000"/>
              <w:right w:val="single" w:sz="2" w:space="0" w:color="000000"/>
            </w:tcBorders>
          </w:tcPr>
          <w:p w14:paraId="26744F1B" w14:textId="77777777" w:rsidR="002F4FA6" w:rsidRPr="0098629B" w:rsidRDefault="002F4FA6" w:rsidP="00635A2E">
            <w:pPr>
              <w:spacing w:line="259" w:lineRule="auto"/>
              <w:ind w:left="118"/>
              <w:jc w:val="center"/>
              <w:rPr>
                <w:sz w:val="18"/>
              </w:rPr>
            </w:pPr>
            <w:r w:rsidRPr="0098629B">
              <w:rPr>
                <w:sz w:val="18"/>
              </w:rPr>
              <w:t>1,3</w:t>
            </w:r>
          </w:p>
        </w:tc>
        <w:tc>
          <w:tcPr>
            <w:tcW w:w="693" w:type="dxa"/>
            <w:tcBorders>
              <w:top w:val="single" w:sz="2" w:space="0" w:color="000000"/>
              <w:left w:val="single" w:sz="2" w:space="0" w:color="000000"/>
              <w:bottom w:val="single" w:sz="2" w:space="0" w:color="000000"/>
              <w:right w:val="single" w:sz="2" w:space="0" w:color="000000"/>
            </w:tcBorders>
          </w:tcPr>
          <w:p w14:paraId="570B87CA" w14:textId="77777777" w:rsidR="002F4FA6" w:rsidRPr="0098629B" w:rsidRDefault="002F4FA6" w:rsidP="00635A2E">
            <w:pPr>
              <w:spacing w:line="259" w:lineRule="auto"/>
              <w:ind w:left="118"/>
              <w:jc w:val="center"/>
              <w:rPr>
                <w:sz w:val="18"/>
              </w:rPr>
            </w:pPr>
            <w:r w:rsidRPr="0098629B">
              <w:rPr>
                <w:sz w:val="18"/>
              </w:rPr>
              <w:t>1,3</w:t>
            </w:r>
          </w:p>
        </w:tc>
        <w:tc>
          <w:tcPr>
            <w:tcW w:w="718" w:type="dxa"/>
            <w:tcBorders>
              <w:top w:val="single" w:sz="2" w:space="0" w:color="000000"/>
              <w:left w:val="single" w:sz="2" w:space="0" w:color="000000"/>
              <w:bottom w:val="single" w:sz="2" w:space="0" w:color="000000"/>
              <w:right w:val="single" w:sz="2" w:space="0" w:color="000000"/>
            </w:tcBorders>
          </w:tcPr>
          <w:p w14:paraId="70652712" w14:textId="77777777" w:rsidR="002F4FA6" w:rsidRPr="0098629B" w:rsidRDefault="002F4FA6" w:rsidP="00635A2E">
            <w:pPr>
              <w:spacing w:line="259" w:lineRule="auto"/>
              <w:ind w:left="118"/>
              <w:jc w:val="center"/>
              <w:rPr>
                <w:sz w:val="18"/>
              </w:rPr>
            </w:pPr>
            <w:r w:rsidRPr="0098629B">
              <w:rPr>
                <w:sz w:val="18"/>
              </w:rPr>
              <w:t>1,3</w:t>
            </w:r>
          </w:p>
        </w:tc>
      </w:tr>
    </w:tbl>
    <w:p w14:paraId="4B686938" w14:textId="7C157351" w:rsidR="002F4FA6" w:rsidRPr="0098629B" w:rsidRDefault="002F4FA6" w:rsidP="002F4FA6">
      <w:pPr>
        <w:pStyle w:val="Caption"/>
      </w:pPr>
      <w:bookmarkStart w:id="199" w:name="_Toc122694463"/>
      <w:bookmarkStart w:id="200" w:name="_Toc123916666"/>
      <w:r w:rsidRPr="0098629B">
        <w:t xml:space="preserve">Tableau </w:t>
      </w:r>
      <w:fldSimple w:instr=" SEQ Tableau \* ARABIC ">
        <w:r w:rsidR="00677B3C">
          <w:rPr>
            <w:noProof/>
          </w:rPr>
          <w:t>31</w:t>
        </w:r>
      </w:fldSimple>
      <w:r w:rsidRPr="0098629B">
        <w:t> : Hypothèses d’évolutions de la valeur ajoutée industrielle</w:t>
      </w:r>
      <w:bookmarkEnd w:id="199"/>
      <w:bookmarkEnd w:id="200"/>
    </w:p>
    <w:p w14:paraId="7F996E45" w14:textId="77777777" w:rsidR="002F4FA6" w:rsidRPr="0098629B" w:rsidRDefault="002F4FA6" w:rsidP="002F4FA6">
      <w:pPr>
        <w:pStyle w:val="Caption"/>
      </w:pPr>
      <w:r w:rsidRPr="0098629B">
        <w:t xml:space="preserve">Source : Cadrage économique de l’UE pour la France </w:t>
      </w:r>
    </w:p>
    <w:p w14:paraId="3DA9634D" w14:textId="77777777" w:rsidR="00401567" w:rsidRPr="0098629B" w:rsidRDefault="00401567" w:rsidP="007C589E">
      <w:pPr>
        <w:pStyle w:val="Titre1Niveau1"/>
      </w:pPr>
      <w:r w:rsidRPr="0098629B">
        <w:br w:type="page"/>
      </w:r>
      <w:bookmarkStart w:id="201" w:name="_Toc120887444"/>
      <w:bookmarkStart w:id="202" w:name="_Toc138344623"/>
      <w:r w:rsidRPr="0098629B">
        <w:t>Chapitre V – Assistance apportée aux pays en développement sous la forme de ressources financières, de technologie et de renforcement de capacité</w:t>
      </w:r>
      <w:bookmarkEnd w:id="201"/>
      <w:bookmarkEnd w:id="202"/>
    </w:p>
    <w:p w14:paraId="265363F4" w14:textId="77777777" w:rsidR="00401567" w:rsidRPr="0098629B" w:rsidRDefault="00401567" w:rsidP="00C246BC">
      <w:pPr>
        <w:pStyle w:val="Titre2Niveau2"/>
        <w:numPr>
          <w:ilvl w:val="0"/>
          <w:numId w:val="0"/>
        </w:numPr>
        <w:ind w:left="360"/>
      </w:pPr>
      <w:bookmarkStart w:id="203" w:name="_Toc120887445"/>
      <w:bookmarkStart w:id="204" w:name="_Toc138344624"/>
      <w:r w:rsidRPr="0098629B">
        <w:t>Généralité</w:t>
      </w:r>
      <w:bookmarkEnd w:id="203"/>
      <w:bookmarkEnd w:id="204"/>
    </w:p>
    <w:p w14:paraId="5C0798AD" w14:textId="190609E5" w:rsidR="00635A2E" w:rsidRPr="0098629B" w:rsidRDefault="00635A2E" w:rsidP="00635A2E">
      <w:pPr>
        <w:spacing w:before="240" w:after="240"/>
      </w:pPr>
      <w:r w:rsidRPr="0098629B">
        <w:t>En 2021, la France a fourni plus de 6 milliards d’euros de financements publics</w:t>
      </w:r>
      <w:r w:rsidRPr="0098629B">
        <w:rPr>
          <w:rFonts w:ascii="Times New Roman" w:hAnsi="Times New Roman" w:cs="Arial"/>
          <w:szCs w:val="20"/>
        </w:rPr>
        <w:t xml:space="preserve"> </w:t>
      </w:r>
      <w:r w:rsidRPr="0098629B">
        <w:t>pour l’atténuation et l’adaptation aux changements climatiques dans les pays en développement, à travers des sources bilatérales et multilatérales. Ce niveau d’engagements a connu une nette progression par rapport à 2017 (+36 % avec un niveau d’engagement de 4,4 Md€ en 2017) et porte à plus de 26,4 Md€ depuis 2017, principalement à travers l’activité du groupe Agence française de développement</w:t>
      </w:r>
      <w:r w:rsidRPr="0098629B">
        <w:rPr>
          <w:rStyle w:val="FootnoteReference"/>
        </w:rPr>
        <w:footnoteReference w:id="20"/>
      </w:r>
      <w:r w:rsidRPr="0098629B">
        <w:t>.</w:t>
      </w:r>
      <w:r w:rsidR="001E2D38">
        <w:t xml:space="preserve"> </w:t>
      </w:r>
      <w:r w:rsidR="001E2D38" w:rsidRPr="00DE64D5">
        <w:t>En l'absence d'une définition universellement acceptée des "ressources financières nouvelles et additionnelles" à l'article 4, paragraphe 3 de la Convention, la France définit les ressources financières nouvelles et additionnelles pour le climat comme les ressources financières pour le climat nouvellement engagées ou décaissées au cours de l'année 2021. Dans son rapport sur le financement climatique, la France ne fournit des informations que sur les ressources nouvellement engagées ou décaissées incluses dans son exercice budgétaire 2021. Cependant, dans l'intérêt de la comparaison entre les différentes parties, nous pouvons également mentionner l'évolution de notre finance climat depuis la signature de l'Accord de Paris, qui est une base de référence partagée par plusieurs des parties. À cet égard, nous avons fourni 6,1 milliards d'euros de financements climatiques nouveaux et additionnels en 2021, ce qui représente une augmentation significative depuis la base de référence de 2015 (pa</w:t>
      </w:r>
      <w:r w:rsidR="001E2D38">
        <w:t>r exemple 3 milliards d'euros).</w:t>
      </w:r>
      <w:r w:rsidRPr="0098629B">
        <w:t xml:space="preserve">. On ne reporte pas l’engagement total des financements multilatéraux mais uniquement la quote-part décaissée en 2020 et 2021. </w:t>
      </w:r>
    </w:p>
    <w:p w14:paraId="3BABE493" w14:textId="10A5D7B4" w:rsidR="00401567" w:rsidRPr="0098629B" w:rsidRDefault="00635A2E" w:rsidP="00401567">
      <w:pPr>
        <w:rPr>
          <w:rFonts w:cs="Arial"/>
          <w:szCs w:val="22"/>
        </w:rPr>
      </w:pPr>
      <w:r w:rsidRPr="0098629B">
        <w:t>En outre, la France fournit une coopération technologique et soutient le renforcement des capacités des pays en développement à travers de nombreux canaux, qui sont également présentés dans ce rapport</w:t>
      </w:r>
      <w:r w:rsidRPr="0098629B">
        <w:rPr>
          <w:rFonts w:cs="Arial"/>
          <w:szCs w:val="22"/>
        </w:rPr>
        <w:t>.</w:t>
      </w:r>
    </w:p>
    <w:p w14:paraId="4C6C9E3D" w14:textId="56B4F392" w:rsidR="00401567" w:rsidRPr="0098629B" w:rsidRDefault="00401567" w:rsidP="00573042">
      <w:pPr>
        <w:pStyle w:val="Titre2Niveau2"/>
        <w:numPr>
          <w:ilvl w:val="0"/>
          <w:numId w:val="51"/>
        </w:numPr>
      </w:pPr>
      <w:bookmarkStart w:id="205" w:name="_Toc120887446"/>
      <w:bookmarkStart w:id="206" w:name="_Toc138344625"/>
      <w:r w:rsidRPr="0098629B">
        <w:t>Mobilisation des ressources financières de sources bilatérales</w:t>
      </w:r>
      <w:bookmarkEnd w:id="205"/>
      <w:bookmarkEnd w:id="206"/>
    </w:p>
    <w:p w14:paraId="74115960" w14:textId="77777777" w:rsidR="00631ED2" w:rsidRPr="0098629B" w:rsidRDefault="00631ED2" w:rsidP="00B04A7C">
      <w:pPr>
        <w:pStyle w:val="Titre3Niveau3"/>
      </w:pPr>
      <w:bookmarkStart w:id="207" w:name="_Toc115454099"/>
      <w:bookmarkStart w:id="208" w:name="_Toc121390980"/>
      <w:bookmarkStart w:id="209" w:name="_Toc122694286"/>
      <w:bookmarkStart w:id="210" w:name="_Toc138344626"/>
      <w:r w:rsidRPr="0098629B">
        <w:t>Soutien financier fourni par le groupe Agence française de développement</w:t>
      </w:r>
      <w:bookmarkEnd w:id="207"/>
      <w:bookmarkEnd w:id="208"/>
      <w:bookmarkEnd w:id="209"/>
      <w:bookmarkEnd w:id="210"/>
    </w:p>
    <w:p w14:paraId="589EB740" w14:textId="77777777" w:rsidR="00631ED2" w:rsidRPr="0098629B" w:rsidRDefault="00631ED2" w:rsidP="00631ED2">
      <w:pPr>
        <w:spacing w:before="240" w:after="240"/>
        <w:rPr>
          <w:rFonts w:cs="Arial"/>
        </w:rPr>
      </w:pPr>
      <w:r w:rsidRPr="0098629B">
        <w:rPr>
          <w:rFonts w:cs="Arial"/>
          <w:color w:val="000000"/>
        </w:rPr>
        <w:t>L’AFD, opérateur principal de l'aide publique bilatérale au développement française, a développé une stratégie climat ambitieuse pour la période 2017-2022, avec un objectif phare, celui de rendre cohérents l’ensemble des financements du Groupe AFD avec un développement bas-carbone et résilient. Cet objectif « 100% Accord de Paris » est l’un des piliers du Plan d’orientation stratégique</w:t>
      </w:r>
      <w:r w:rsidRPr="0098629B">
        <w:rPr>
          <w:rStyle w:val="FootnoteReference"/>
          <w:rFonts w:cs="Arial"/>
          <w:color w:val="000000"/>
        </w:rPr>
        <w:footnoteReference w:id="21"/>
      </w:r>
      <w:r w:rsidRPr="0098629B">
        <w:rPr>
          <w:rFonts w:cs="Arial"/>
          <w:color w:val="000000"/>
        </w:rPr>
        <w:t xml:space="preserve"> adopté en 2018 pour le Groupe AFD. Ainsi, le groupe (y compris Proparco) s’est fixé comme objectif d’allouer 50% de ses engagements financiers dans les États étrangers à des projets ayant des co-bénéfices climat. Le plan implique également de s’assurer que les 50% des </w:t>
      </w:r>
      <w:r w:rsidRPr="0098629B">
        <w:rPr>
          <w:rFonts w:cs="Arial"/>
        </w:rPr>
        <w:t>financements du Groupe AFD qui n’ont pas de co-bénéfices climat ne nuisent pas aux objectifs de l’Accord de Paris.</w:t>
      </w:r>
    </w:p>
    <w:p w14:paraId="5BE90A5C" w14:textId="77777777" w:rsidR="00631ED2" w:rsidRPr="0098629B" w:rsidRDefault="00631ED2" w:rsidP="00631ED2">
      <w:pPr>
        <w:spacing w:before="240" w:after="240"/>
        <w:rPr>
          <w:rFonts w:cs="Arial"/>
        </w:rPr>
      </w:pPr>
      <w:r w:rsidRPr="0098629B">
        <w:rPr>
          <w:rFonts w:cs="Arial"/>
        </w:rPr>
        <w:t>Depuis 2017, le groupe AFD consacre chaque année au moins 50 % de ses financements dans les pays en développement à des projets à co-bénéfices climat. En 2021, le Groupe AFD a engagé plus de 6 Md€ de financements ayant des co-bénéfices «</w:t>
      </w:r>
      <w:r w:rsidRPr="0098629B">
        <w:rPr>
          <w:rFonts w:ascii="Calibri" w:hAnsi="Calibri" w:cs="Calibri"/>
        </w:rPr>
        <w:t> </w:t>
      </w:r>
      <w:r w:rsidRPr="0098629B">
        <w:rPr>
          <w:rFonts w:cs="Arial"/>
        </w:rPr>
        <w:t>climat</w:t>
      </w:r>
      <w:r w:rsidRPr="0098629B">
        <w:rPr>
          <w:rFonts w:ascii="Calibri" w:hAnsi="Calibri" w:cs="Calibri"/>
        </w:rPr>
        <w:t> </w:t>
      </w:r>
      <w:r w:rsidRPr="0098629B">
        <w:rPr>
          <w:rFonts w:cs="Marianne"/>
        </w:rPr>
        <w:t>» (contre 4 Md€ en 2017)</w:t>
      </w:r>
      <w:r w:rsidRPr="0098629B">
        <w:rPr>
          <w:rFonts w:cs="Arial"/>
        </w:rPr>
        <w:t xml:space="preserve">, dont 2 milliards d’euros pour l’adaptation en faveur des pays en développement, confirmant le rehaussement de son ambition afin de contribuer au nouvel objectif de la France.  Les engagements climat du Groupe AFD ont ainsi permis le financement de 330 projets dans les pays en développement sur l’année 2021. En ligne avec sa stratégie climat, l’AFD (hors Proparco) atteint 58 % d’octrois ayant un co-bénéfice « climat » en 2021, Proparco atteignant 34 %. Les financements climat du Groupe AFD ont significativement augmenté entre 2017 et 2021 (+36 %).  </w:t>
      </w:r>
    </w:p>
    <w:p w14:paraId="163F4BC8" w14:textId="77777777" w:rsidR="00631ED2" w:rsidRPr="0098629B" w:rsidRDefault="00631ED2" w:rsidP="00631ED2">
      <w:pPr>
        <w:spacing w:before="240" w:after="240"/>
        <w:rPr>
          <w:rFonts w:cs="Arial"/>
        </w:rPr>
      </w:pPr>
    </w:p>
    <w:p w14:paraId="154B01C3" w14:textId="77777777" w:rsidR="00631ED2" w:rsidRPr="0098629B" w:rsidRDefault="00631ED2" w:rsidP="00631ED2">
      <w:pPr>
        <w:spacing w:before="240" w:after="240"/>
        <w:rPr>
          <w:rFonts w:cs="Arial"/>
        </w:rPr>
      </w:pPr>
      <w:r w:rsidRPr="0098629B">
        <w:rPr>
          <w:rFonts w:cs="Arial"/>
          <w:noProof/>
        </w:rPr>
        <w:drawing>
          <wp:inline distT="0" distB="0" distL="0" distR="0" wp14:anchorId="179CB772" wp14:editId="723646E2">
            <wp:extent cx="2898000" cy="2336400"/>
            <wp:effectExtent l="0" t="0" r="0"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8000" cy="2336400"/>
                    </a:xfrm>
                    <a:prstGeom prst="rect">
                      <a:avLst/>
                    </a:prstGeom>
                    <a:noFill/>
                    <a:ln>
                      <a:noFill/>
                    </a:ln>
                  </pic:spPr>
                </pic:pic>
              </a:graphicData>
            </a:graphic>
          </wp:inline>
        </w:drawing>
      </w:r>
      <w:r w:rsidRPr="0098629B">
        <w:rPr>
          <w:rFonts w:cs="Arial"/>
        </w:rPr>
        <w:t xml:space="preserve">  </w:t>
      </w:r>
      <w:r w:rsidRPr="0098629B">
        <w:rPr>
          <w:rFonts w:cs="Arial"/>
          <w:noProof/>
        </w:rPr>
        <w:drawing>
          <wp:inline distT="0" distB="0" distL="0" distR="0" wp14:anchorId="274A4E54" wp14:editId="68ABBAAA">
            <wp:extent cx="2811600" cy="2631600"/>
            <wp:effectExtent l="0" t="0" r="8255" b="0"/>
            <wp:docPr id="28672" name="Imag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1600" cy="2631600"/>
                    </a:xfrm>
                    <a:prstGeom prst="rect">
                      <a:avLst/>
                    </a:prstGeom>
                    <a:noFill/>
                    <a:ln>
                      <a:noFill/>
                    </a:ln>
                  </pic:spPr>
                </pic:pic>
              </a:graphicData>
            </a:graphic>
          </wp:inline>
        </w:drawing>
      </w:r>
    </w:p>
    <w:p w14:paraId="798F61F7" w14:textId="73161F4F" w:rsidR="00631ED2" w:rsidRPr="0098629B" w:rsidRDefault="00631ED2" w:rsidP="00631ED2">
      <w:pPr>
        <w:pStyle w:val="Caption"/>
      </w:pPr>
      <w:bookmarkStart w:id="211" w:name="_Toc122694423"/>
      <w:bookmarkStart w:id="212" w:name="_Toc123916635"/>
      <w:r w:rsidRPr="0098629B">
        <w:t xml:space="preserve">Figure </w:t>
      </w:r>
      <w:fldSimple w:instr=" SEQ Figure \* ARABIC ">
        <w:r w:rsidR="006B0E73">
          <w:rPr>
            <w:noProof/>
          </w:rPr>
          <w:t>29</w:t>
        </w:r>
      </w:fldSimple>
      <w:r w:rsidRPr="0098629B">
        <w:t> : Evolution des financements climats totaux (figure de gauche) dont les financements adaptation (droite) du groupe AFD</w:t>
      </w:r>
      <w:bookmarkEnd w:id="211"/>
      <w:bookmarkEnd w:id="212"/>
    </w:p>
    <w:p w14:paraId="0CAE2F8E" w14:textId="77777777" w:rsidR="00631ED2" w:rsidRPr="0098629B" w:rsidRDefault="00631ED2" w:rsidP="00631ED2">
      <w:pPr>
        <w:pStyle w:val="Caption"/>
      </w:pPr>
      <w:r w:rsidRPr="0098629B">
        <w:t>Source : AFD, bilan d’activité 2021</w:t>
      </w:r>
    </w:p>
    <w:p w14:paraId="11630094" w14:textId="77777777" w:rsidR="00631ED2" w:rsidRPr="0098629B" w:rsidRDefault="00631ED2" w:rsidP="00631ED2"/>
    <w:p w14:paraId="023DBDAA" w14:textId="7E72830F" w:rsidR="008513C0" w:rsidRPr="00905D7C" w:rsidRDefault="00631ED2" w:rsidP="008513C0">
      <w:pPr>
        <w:rPr>
          <w:rFonts w:cs="Arial"/>
        </w:rPr>
      </w:pPr>
      <w:r w:rsidRPr="0098629B">
        <w:rPr>
          <w:rFonts w:cs="Arial"/>
        </w:rPr>
        <w:t xml:space="preserve">Afin de s’assurer que les financements fournis répondent aux besoins des pays récipiendaires en matière d’atténuation et d’adaptation aux changements climatiques, les agences locales de l’AFD identifient les projets et besoins des pays récipiendaires en lien avec les partenaires et maîtrise d’ouvrage assurée par ces pays. Elle s’appuie également sur la signature de contrats de financement avec les autorités nationales et locales des pays d’intervention. En outre, l’AFD a déployé, à la suite de la COP21, plusieurs </w:t>
      </w:r>
      <w:r w:rsidRPr="0098629B">
        <w:rPr>
          <w:rFonts w:cs="Arial"/>
          <w:color w:val="000000"/>
        </w:rPr>
        <w:t>instruments spécifiques permettant d’accompagner la mise en œuvre des engagements climatiques des pays en développement.</w:t>
      </w:r>
      <w:r w:rsidR="008513C0" w:rsidRPr="008513C0">
        <w:rPr>
          <w:rFonts w:cs="Arial"/>
        </w:rPr>
        <w:t xml:space="preserve"> </w:t>
      </w:r>
      <w:r w:rsidR="008513C0" w:rsidRPr="00905D7C">
        <w:rPr>
          <w:rFonts w:cs="Arial"/>
        </w:rPr>
        <w:t>Les documents stratégiques préparés par l'AFD, qui déterminent ses domaines d'intervention dans les secteurs et sur les questions transversales, font l'objet d'une consultation des ministères de tutelle et d'une présentation aux parties prenantes avant d'être soumis au Conseil d'administration.</w:t>
      </w:r>
    </w:p>
    <w:p w14:paraId="15A1C826" w14:textId="77777777" w:rsidR="008513C0" w:rsidRPr="00905D7C" w:rsidRDefault="008513C0" w:rsidP="008513C0">
      <w:pPr>
        <w:rPr>
          <w:rFonts w:cs="Arial"/>
          <w:color w:val="000000"/>
        </w:rPr>
      </w:pPr>
      <w:r w:rsidRPr="00905D7C">
        <w:rPr>
          <w:rFonts w:cs="Arial"/>
        </w:rPr>
        <w:t xml:space="preserve">Dans le cas des </w:t>
      </w:r>
      <w:r>
        <w:rPr>
          <w:rFonts w:cs="Arial"/>
        </w:rPr>
        <w:t>«</w:t>
      </w:r>
      <w:r>
        <w:rPr>
          <w:rFonts w:ascii="Calibri" w:hAnsi="Calibri" w:cs="Calibri"/>
        </w:rPr>
        <w:t> </w:t>
      </w:r>
      <w:r>
        <w:t>Country Intervention Frameworks</w:t>
      </w:r>
      <w:r>
        <w:rPr>
          <w:rFonts w:ascii="Calibri" w:hAnsi="Calibri" w:cs="Calibri"/>
        </w:rPr>
        <w:t> </w:t>
      </w:r>
      <w:r>
        <w:rPr>
          <w:rFonts w:cs="Marianne"/>
        </w:rPr>
        <w:t>»</w:t>
      </w:r>
      <w:r w:rsidRPr="00905D7C">
        <w:rPr>
          <w:rFonts w:cs="Arial"/>
        </w:rPr>
        <w:t>, un dialogue avec les parties prenantes (autorités locales, bailleurs de fonds, secteur privé, OSC, etc.) est systématiquement mené avant la rédaction du document.</w:t>
      </w:r>
      <w:r w:rsidRPr="00D15F28">
        <w:rPr>
          <w:rFonts w:cs="Arial"/>
        </w:rPr>
        <w:t xml:space="preserve">En outre, l’AFD a déployé, à la suite de la COP21, plusieurs </w:t>
      </w:r>
      <w:r>
        <w:rPr>
          <w:rFonts w:cs="Arial"/>
          <w:color w:val="000000"/>
        </w:rPr>
        <w:t xml:space="preserve">instruments spécifiques permettant d’accompagner la mise en œuvre des engagements climatiques des pays en développement, comme par exemple </w:t>
      </w:r>
      <w:r w:rsidRPr="00905D7C">
        <w:rPr>
          <w:rFonts w:cs="Arial"/>
          <w:color w:val="000000"/>
        </w:rPr>
        <w:t>la Facilité AdaptAction, dotée de 30 millions d'euros dans sa première phase, et de la Facilité 2050, également dotée de 30 millions d'euros dans sa première phase. Enfin, pour chaque pays d'intervention, des "fiches pays climat" ont été élaborées pour alimenter les analyses de développement durable des projets, soutenir le dialogue sur les politiques publiques avec les autorités nationales et la rédaction de toutes les stratégies géographiques. Ces fiches, ainsi que les stratégies sectorielles, contribuent à l'identification de projets en amont répondant aux besoins du pays</w:t>
      </w:r>
    </w:p>
    <w:p w14:paraId="7A8825C8" w14:textId="77777777" w:rsidR="008513C0" w:rsidRPr="00905D7C" w:rsidRDefault="008513C0" w:rsidP="008513C0">
      <w:pPr>
        <w:rPr>
          <w:rFonts w:cs="Arial"/>
          <w:color w:val="000000"/>
        </w:rPr>
      </w:pPr>
    </w:p>
    <w:p w14:paraId="541E618A" w14:textId="77777777" w:rsidR="008513C0" w:rsidRPr="00905D7C" w:rsidRDefault="008513C0" w:rsidP="008513C0">
      <w:pPr>
        <w:rPr>
          <w:rFonts w:cs="Arial"/>
          <w:color w:val="000000"/>
        </w:rPr>
      </w:pPr>
      <w:r w:rsidRPr="00905D7C">
        <w:rPr>
          <w:rFonts w:cs="Arial"/>
          <w:color w:val="000000"/>
        </w:rPr>
        <w:t xml:space="preserve">L'AFD soutient les Parties hors Annexe I à travers des recherches visant à mieux évaluer les conséquences économiques et sociales des transitions bas carbone. Sur le moyen/long terme, ces recherches soutiennent le dialogue sur les politiques publiques en vue de concevoir des politiques et des investissements appropriés. </w:t>
      </w:r>
    </w:p>
    <w:p w14:paraId="2C90DCF3" w14:textId="77777777" w:rsidR="008513C0" w:rsidRPr="00905D7C" w:rsidRDefault="008513C0" w:rsidP="008513C0">
      <w:pPr>
        <w:rPr>
          <w:rFonts w:cs="Arial"/>
          <w:color w:val="000000"/>
        </w:rPr>
      </w:pPr>
      <w:r w:rsidRPr="00905D7C">
        <w:rPr>
          <w:rFonts w:cs="Arial"/>
          <w:color w:val="000000"/>
        </w:rPr>
        <w:t>Grâce au développement de GEMMES, l'outil de modélisation des impacts macroéconomiques du climat, l'AFD a contribué à la production de connaissances sur les impacts macroéconomiques à long terme liés à une transition à faible émission de carbone. L'outil est déployé dans plusieurs pays (Brésil, Côte d'Ivoire, Colombie, Maroc, Tunisie, Vietnam, Algérie, Afrique du Sud) et ses résultats ont ouvert la voie à un dialogue avec les autorités sur leurs stratégies de long terme, en lien ou en complément du soutien de la Facilité 2050.</w:t>
      </w:r>
    </w:p>
    <w:p w14:paraId="4C792CBF" w14:textId="77777777" w:rsidR="008513C0" w:rsidRPr="00905D7C" w:rsidRDefault="008513C0" w:rsidP="008513C0">
      <w:pPr>
        <w:rPr>
          <w:rFonts w:cs="Arial"/>
          <w:color w:val="000000"/>
        </w:rPr>
      </w:pPr>
      <w:r w:rsidRPr="00905D7C">
        <w:rPr>
          <w:rFonts w:cs="Arial"/>
          <w:color w:val="000000"/>
        </w:rPr>
        <w:t>Par ailleurs, l'AFD a développé le modèle ESTEEM (Exposure to Structural Transition in an Ecological-Economic Model) qui identifie les risques de transition auxquels sont exposées les économies des pays en développement, ce qui permet de les anticiper et de définir une trajectoire de transition adaptée à la situation de chaque pays.</w:t>
      </w:r>
    </w:p>
    <w:p w14:paraId="5FB66663" w14:textId="77777777" w:rsidR="008513C0" w:rsidRPr="00905D7C" w:rsidRDefault="008513C0" w:rsidP="008513C0">
      <w:pPr>
        <w:rPr>
          <w:rFonts w:cs="Arial"/>
          <w:color w:val="000000"/>
        </w:rPr>
      </w:pPr>
    </w:p>
    <w:p w14:paraId="7382DD59" w14:textId="77777777" w:rsidR="008513C0" w:rsidRPr="0063459B" w:rsidRDefault="008513C0" w:rsidP="008513C0">
      <w:pPr>
        <w:rPr>
          <w:rFonts w:ascii="Arial" w:hAnsi="Arial" w:cs="Arial"/>
          <w:color w:val="000000"/>
        </w:rPr>
      </w:pPr>
      <w:r w:rsidRPr="00905D7C">
        <w:rPr>
          <w:rFonts w:cs="Arial"/>
          <w:color w:val="000000"/>
        </w:rPr>
        <w:t>L'engagement moyen de l'AFD pour l'adaptation dans les pays en développement est de 1,9 Md€ par an sur la période 2019-2021. L'AFD a apporté 21% de ces financements d'adaptation aux PMA (0,4 Md€), particulièrement vulnérables au changement climatique.</w:t>
      </w:r>
    </w:p>
    <w:p w14:paraId="1E19E4C4" w14:textId="77777777" w:rsidR="00631ED2" w:rsidRPr="0098629B" w:rsidRDefault="00631ED2" w:rsidP="00631ED2">
      <w:pPr>
        <w:rPr>
          <w:rFonts w:ascii="Arial" w:hAnsi="Arial" w:cs="Arial"/>
          <w:color w:val="000000"/>
        </w:rPr>
      </w:pPr>
    </w:p>
    <w:p w14:paraId="6269F31D" w14:textId="77777777" w:rsidR="00631ED2" w:rsidRPr="0098629B" w:rsidRDefault="00631ED2" w:rsidP="00B04A7C">
      <w:pPr>
        <w:pStyle w:val="Titre3Niveau3"/>
      </w:pPr>
      <w:bookmarkStart w:id="213" w:name="_Toc115454100"/>
      <w:bookmarkStart w:id="214" w:name="_Toc121390981"/>
      <w:bookmarkStart w:id="215" w:name="_Toc122694287"/>
      <w:bookmarkStart w:id="216" w:name="_Toc138344627"/>
      <w:r w:rsidRPr="0098629B">
        <w:t>Méthodologie de comptabilisation des engagements « climat » du groupe AFD</w:t>
      </w:r>
      <w:bookmarkEnd w:id="213"/>
      <w:bookmarkEnd w:id="214"/>
      <w:bookmarkEnd w:id="215"/>
      <w:bookmarkEnd w:id="216"/>
    </w:p>
    <w:p w14:paraId="15A09D6B" w14:textId="67BC5DED" w:rsidR="00631ED2" w:rsidRPr="0098629B" w:rsidRDefault="009C16BD" w:rsidP="00631ED2">
      <w:r w:rsidRPr="009C16BD">
        <w:t>Les méthodologies de comptabilisation des financements climat en faveur de l’atté</w:t>
      </w:r>
      <w:r>
        <w:t xml:space="preserve">nuation </w:t>
      </w:r>
      <w:r w:rsidRPr="009C16BD">
        <w:t>et de l’adaptation  sont bâties autour des principes communs agréés en 2015, et enrichis en 2021 pour la partie atténuation, à l’initiative de l’AFD et partagées avec les membres de l’International Development Finance Club (IDFC) et les banques multilatérales de développement</w:t>
      </w:r>
      <w:r w:rsidR="00631ED2" w:rsidRPr="0098629B">
        <w:t>.</w:t>
      </w:r>
    </w:p>
    <w:p w14:paraId="4DC3CB57" w14:textId="77777777" w:rsidR="00631ED2" w:rsidRPr="0098629B" w:rsidRDefault="00631ED2" w:rsidP="00631ED2">
      <w:pPr>
        <w:pStyle w:val="Titre4niveau4"/>
        <w:spacing w:before="240"/>
      </w:pPr>
      <w:bookmarkStart w:id="217" w:name="_Toc121431063"/>
      <w:bookmarkStart w:id="218" w:name="_Toc121431400"/>
      <w:bookmarkStart w:id="219" w:name="_Toc121431561"/>
      <w:bookmarkStart w:id="220" w:name="_Toc121431723"/>
      <w:bookmarkStart w:id="221" w:name="_Toc121431886"/>
      <w:bookmarkStart w:id="222" w:name="_Toc121432048"/>
      <w:bookmarkStart w:id="223" w:name="_Toc121431064"/>
      <w:bookmarkStart w:id="224" w:name="_Toc121431401"/>
      <w:bookmarkStart w:id="225" w:name="_Toc121431562"/>
      <w:bookmarkStart w:id="226" w:name="_Toc121431724"/>
      <w:bookmarkStart w:id="227" w:name="_Toc121431887"/>
      <w:bookmarkStart w:id="228" w:name="_Toc121432049"/>
      <w:bookmarkEnd w:id="217"/>
      <w:bookmarkEnd w:id="218"/>
      <w:bookmarkEnd w:id="219"/>
      <w:bookmarkEnd w:id="220"/>
      <w:bookmarkEnd w:id="221"/>
      <w:bookmarkEnd w:id="222"/>
      <w:bookmarkEnd w:id="223"/>
      <w:bookmarkEnd w:id="224"/>
      <w:bookmarkEnd w:id="225"/>
      <w:bookmarkEnd w:id="226"/>
      <w:bookmarkEnd w:id="227"/>
      <w:bookmarkEnd w:id="228"/>
      <w:r w:rsidRPr="0098629B">
        <w:t>Atténuation des émissions de gaz à effet de serre (GES) ou séquestration de carbone</w:t>
      </w:r>
    </w:p>
    <w:p w14:paraId="6B5CAEA8" w14:textId="77777777" w:rsidR="00631ED2" w:rsidRPr="0098629B" w:rsidRDefault="00631ED2" w:rsidP="00631ED2">
      <w:pPr>
        <w:spacing w:before="240" w:after="240"/>
      </w:pPr>
      <w:r w:rsidRPr="0098629B">
        <w:t>Un projet concourt à l’atténuation lorsqu’il permet de réduire les émissions de gaz à effet de serre (GES) par rapport à une situation de référence sans le projet, ou s’il est dédié à des actions concourant à l’atténuation (études, renforcement de capacités, etc.).</w:t>
      </w:r>
    </w:p>
    <w:p w14:paraId="5DA54C01" w14:textId="77777777" w:rsidR="00631ED2" w:rsidRPr="0098629B" w:rsidRDefault="00631ED2" w:rsidP="00631ED2">
      <w:pPr>
        <w:pStyle w:val="Titre4niveau4"/>
        <w:spacing w:before="240"/>
      </w:pPr>
      <w:r w:rsidRPr="0098629B">
        <w:t>Adaptation au changement climatique</w:t>
      </w:r>
    </w:p>
    <w:p w14:paraId="2961AEA3" w14:textId="77777777" w:rsidR="00631ED2" w:rsidRPr="0098629B" w:rsidRDefault="00631ED2" w:rsidP="00631ED2">
      <w:pPr>
        <w:spacing w:before="240" w:after="240"/>
      </w:pPr>
      <w:r w:rsidRPr="0098629B">
        <w:t>Un projet concourt à l’adaptation lorsqu’il permet de limiter ou réduire la vulnérabilité des biens, personnes et écosystèmes aux conséquences du changement climatique. Ce sur la base de l’analyse du contexte de vulnérabilité au changement climatique, la volonté du projet de traiter les risques et les vulnérabilités climatiques, et l’impact bénéfique des actions du projet sur les enjeux de vulnérabilité identifiés dans la zone.</w:t>
      </w:r>
    </w:p>
    <w:p w14:paraId="237568C0" w14:textId="77777777" w:rsidR="00631ED2" w:rsidRPr="0098629B" w:rsidRDefault="00631ED2" w:rsidP="00631ED2">
      <w:pPr>
        <w:pStyle w:val="Titre4niveau4"/>
        <w:spacing w:before="240"/>
      </w:pPr>
      <w:r w:rsidRPr="0098629B">
        <w:t>Soutien à la mise en œuvre de politiques de lutte contre le changement climatique</w:t>
      </w:r>
    </w:p>
    <w:p w14:paraId="6A4056CE" w14:textId="77777777" w:rsidR="00631ED2" w:rsidRPr="0098629B" w:rsidRDefault="00631ED2" w:rsidP="00631ED2">
      <w:r w:rsidRPr="0098629B">
        <w:t>La comptabilisation des prêts de politique publique (PrPP) doit rendre compte du dialogue politique et sectoriel engagé avec la contrepartie, et des impacts attendus en matière de climat. Elle se fait :</w:t>
      </w:r>
    </w:p>
    <w:p w14:paraId="414EFA7F" w14:textId="77777777" w:rsidR="00631ED2" w:rsidRPr="0098629B" w:rsidRDefault="00631ED2" w:rsidP="00573042">
      <w:pPr>
        <w:pStyle w:val="ListParagraph"/>
        <w:numPr>
          <w:ilvl w:val="0"/>
          <w:numId w:val="45"/>
        </w:numPr>
      </w:pPr>
      <w:r w:rsidRPr="0098629B">
        <w:t xml:space="preserve">soit au prorata des indicateurs climat de la matrice de politique publique ou au prorata des volumes d’investissement liés au climat ; </w:t>
      </w:r>
    </w:p>
    <w:p w14:paraId="0DECB5ED" w14:textId="77777777" w:rsidR="00631ED2" w:rsidRPr="0098629B" w:rsidRDefault="00631ED2" w:rsidP="00573042">
      <w:pPr>
        <w:pStyle w:val="ListParagraph"/>
        <w:numPr>
          <w:ilvl w:val="0"/>
          <w:numId w:val="45"/>
        </w:numPr>
      </w:pPr>
      <w:r w:rsidRPr="0098629B">
        <w:t>soit par un forfait de 40 % si le financement reçoit une note +2 ou +3 selon l’analyse développement durable sur le climat et si des objectifs climat sont formalisés et suivis.</w:t>
      </w:r>
    </w:p>
    <w:p w14:paraId="4D0C0C21" w14:textId="77777777" w:rsidR="00631ED2" w:rsidRPr="0098629B" w:rsidRDefault="00631ED2" w:rsidP="00B04A7C">
      <w:pPr>
        <w:pStyle w:val="Titre3Niveau3"/>
      </w:pPr>
      <w:bookmarkStart w:id="229" w:name="_Toc115454101"/>
      <w:bookmarkStart w:id="230" w:name="_Toc121390982"/>
      <w:bookmarkStart w:id="231" w:name="_Toc122694288"/>
      <w:bookmarkStart w:id="232" w:name="_Toc138344628"/>
      <w:r w:rsidRPr="0098629B">
        <w:t>Finance climat privée mobilisée par les financements du groupe AFD</w:t>
      </w:r>
      <w:bookmarkEnd w:id="229"/>
      <w:bookmarkEnd w:id="230"/>
      <w:bookmarkEnd w:id="231"/>
      <w:bookmarkEnd w:id="232"/>
    </w:p>
    <w:p w14:paraId="623A2F52" w14:textId="268D1897" w:rsidR="00631ED2" w:rsidRPr="0098629B" w:rsidRDefault="009C16BD" w:rsidP="00631ED2">
      <w:r w:rsidRPr="009C16BD">
        <w:t>1,7 Md€ de finance privée a été mobilisé par les projets climat du groupe AFD en 2021, dont 690,4 M€ par Proparco. Les lignes de crédit accordées à des banques publiques de développement et à des banques commerciales correspondent à 76 % de ce total. Ces financements privés ne sont pas comptabilisés dans le cadre des 6Md€ de financements dédiés au climat</w:t>
      </w:r>
      <w:r w:rsidR="00631ED2" w:rsidRPr="0098629B">
        <w:t>.</w:t>
      </w:r>
    </w:p>
    <w:p w14:paraId="6D3634C1" w14:textId="77777777" w:rsidR="00631ED2" w:rsidRPr="0098629B" w:rsidRDefault="00631ED2" w:rsidP="00B04A7C">
      <w:pPr>
        <w:pStyle w:val="Titre3Niveau3"/>
      </w:pPr>
      <w:bookmarkStart w:id="233" w:name="_Toc115454102"/>
      <w:bookmarkStart w:id="234" w:name="_Toc121390983"/>
      <w:bookmarkStart w:id="235" w:name="_Toc122694289"/>
      <w:bookmarkStart w:id="236" w:name="_Toc138344629"/>
      <w:r w:rsidRPr="0098629B">
        <w:t>Soutien financier fourni par le fonds français pour l’environnement mondial</w:t>
      </w:r>
      <w:bookmarkEnd w:id="233"/>
      <w:bookmarkEnd w:id="234"/>
      <w:bookmarkEnd w:id="235"/>
      <w:bookmarkEnd w:id="236"/>
    </w:p>
    <w:p w14:paraId="5392B364" w14:textId="77777777" w:rsidR="00631ED2" w:rsidRPr="0098629B" w:rsidRDefault="00631ED2" w:rsidP="00631ED2">
      <w:r w:rsidRPr="0098629B">
        <w:t>Le Fonds Français pour l’Environnement Mondial (FFEM) est un fonds public bilatéral créé en 1994 et constitue l’un des grands instruments au service de la politique française de coopération et de développement en matière d’environnement. Il contribue, sous forme de subventions, au financement de projets innovants, ayant une finalité de développement économique et social ainsi qu’un impact significatif et durable sur l’une ou l’autre des grandes composantes de l’environnement mondial (notamment la lutte contre le changement climatique, la protection de la biodiversité, la lutte contre la dégradation des terres et la désertification ainsi que la lutte contre la dégradation des eaux terrestres et marines). Le Fonds a été reconstitué pour la période 2015-2018 à hauteur de 90 M€ puis à hauteur de 120</w:t>
      </w:r>
      <w:r w:rsidRPr="0098629B">
        <w:rPr>
          <w:rFonts w:ascii="Calibri" w:hAnsi="Calibri" w:cs="Calibri"/>
        </w:rPr>
        <w:t> </w:t>
      </w:r>
      <w:r w:rsidRPr="0098629B">
        <w:t>M</w:t>
      </w:r>
      <w:r w:rsidRPr="0098629B">
        <w:rPr>
          <w:rFonts w:cs="Marianne"/>
        </w:rPr>
        <w:t>€</w:t>
      </w:r>
      <w:r w:rsidRPr="0098629B">
        <w:t xml:space="preserve"> pour la p</w:t>
      </w:r>
      <w:r w:rsidRPr="0098629B">
        <w:rPr>
          <w:rFonts w:cs="Marianne"/>
        </w:rPr>
        <w:t>é</w:t>
      </w:r>
      <w:r w:rsidRPr="0098629B">
        <w:t>riode 2019-2022. Il a d</w:t>
      </w:r>
      <w:r w:rsidRPr="0098629B">
        <w:rPr>
          <w:rFonts w:cs="Marianne"/>
        </w:rPr>
        <w:t>é</w:t>
      </w:r>
      <w:r w:rsidRPr="0098629B">
        <w:t>jà soutenu plus de 400 projets dans plus de 120 pays, dont les deux tiers en Afrique.</w:t>
      </w:r>
    </w:p>
    <w:p w14:paraId="3DF8F718" w14:textId="77777777" w:rsidR="00631ED2" w:rsidRPr="0098629B" w:rsidRDefault="00631ED2" w:rsidP="00631ED2">
      <w:pPr>
        <w:rPr>
          <w:color w:val="FF0000"/>
        </w:rPr>
      </w:pPr>
    </w:p>
    <w:p w14:paraId="132C1F8D" w14:textId="77777777" w:rsidR="00631ED2" w:rsidRPr="0098629B" w:rsidRDefault="00631ED2" w:rsidP="00631ED2">
      <w:pPr>
        <w:jc w:val="left"/>
      </w:pPr>
      <w:r w:rsidRPr="0098629B">
        <w:t>Entre 2019 et 2022, le FFEM a ainsi alloué un volume d’engagement total de 103 M€ sur 60 projets, dont 55 M€ avec des co-bénéfices pour la lutte contre les changements climatiques (soit 54</w:t>
      </w:r>
      <w:r w:rsidRPr="0098629B">
        <w:rPr>
          <w:rFonts w:ascii="Calibri" w:hAnsi="Calibri" w:cs="Calibri"/>
        </w:rPr>
        <w:t> </w:t>
      </w:r>
      <w:r w:rsidRPr="0098629B">
        <w:t>% de ses engagements financiers totaux). Sur cette période, plus de 70% des financements concernent des projets en Afrique. La majorité des projets de cette période ont été portés par des ONG ou des acteurs locaux.</w:t>
      </w:r>
    </w:p>
    <w:p w14:paraId="1EC310CF" w14:textId="77777777" w:rsidR="00631ED2" w:rsidRPr="0098629B" w:rsidRDefault="00631ED2" w:rsidP="00B04A7C">
      <w:pPr>
        <w:pStyle w:val="Titre3Niveau3"/>
      </w:pPr>
      <w:bookmarkStart w:id="237" w:name="_Toc115454103"/>
      <w:bookmarkStart w:id="238" w:name="_Toc121390984"/>
      <w:bookmarkStart w:id="239" w:name="_Toc122694290"/>
      <w:bookmarkStart w:id="240" w:name="_Toc138344630"/>
      <w:r w:rsidRPr="0098629B">
        <w:t>Soutien financier fourni sous forme de dons (FASEP) et de prêts par le Trésor français</w:t>
      </w:r>
      <w:bookmarkEnd w:id="237"/>
      <w:bookmarkEnd w:id="238"/>
      <w:bookmarkEnd w:id="239"/>
      <w:bookmarkEnd w:id="240"/>
    </w:p>
    <w:p w14:paraId="3C688B99" w14:textId="77777777" w:rsidR="00631ED2" w:rsidRPr="0098629B" w:rsidRDefault="00631ED2" w:rsidP="00631ED2">
      <w:pPr>
        <w:spacing w:before="240" w:after="240"/>
        <w:rPr>
          <w:rFonts w:ascii="Arial" w:hAnsi="Arial" w:cs="Arial"/>
          <w:color w:val="000000"/>
        </w:rPr>
      </w:pPr>
      <w:r w:rsidRPr="0098629B">
        <w:rPr>
          <w:rFonts w:cs="Arial"/>
        </w:rPr>
        <w:t xml:space="preserve">Par ailleurs, le ministère de l’économie et des finances contribue, sous forme de dons ou d’avances remboursables, au financement d’études de faisabilité, d’assistance technique et de démonstrateurs de technologies innovantes dédiés à l’environnement et au développement durable, dans le cadre des fonds d’étude et d’aide </w:t>
      </w:r>
      <w:r w:rsidRPr="0098629B">
        <w:rPr>
          <w:rFonts w:cs="Arial"/>
          <w:color w:val="000000"/>
        </w:rPr>
        <w:t xml:space="preserve">au secteur privé (FASEP). Cet instrument finance des prestations réalisées par des bureaux d’études français et bénéficie à des entités publiques dans les pays éligibles à l’Aide publique au développement et pour des projets de développement économique durable répondant aux besoins de ces pays (meilleur accès à l’eau, aux énergies renouvelables, amélioration de l’offre de transports, etc.).  </w:t>
      </w:r>
    </w:p>
    <w:p w14:paraId="5732681A" w14:textId="3B1E4F41" w:rsidR="00401567" w:rsidRPr="0098629B" w:rsidRDefault="00631ED2" w:rsidP="00631ED2">
      <w:pPr>
        <w:spacing w:before="240" w:after="240"/>
        <w:rPr>
          <w:rFonts w:cs="Arial"/>
          <w:color w:val="000000"/>
        </w:rPr>
      </w:pPr>
      <w:r w:rsidRPr="0098629B">
        <w:rPr>
          <w:rFonts w:cs="Arial"/>
          <w:color w:val="000000"/>
        </w:rPr>
        <w:t>Le ministère de l’économie et des finances soutient également, par l’intermédiaire de prêts du Trésor, des projets d’infrastructures portés par des entités publiques dans des pays émergents éligibles à l’aide publique au développement</w:t>
      </w:r>
      <w:r w:rsidRPr="0098629B">
        <w:rPr>
          <w:rStyle w:val="Ancredenotedebasdepage"/>
          <w:rFonts w:cs="Arial"/>
          <w:color w:val="000000"/>
        </w:rPr>
        <w:footnoteReference w:id="22"/>
      </w:r>
      <w:r w:rsidRPr="0098629B">
        <w:rPr>
          <w:rFonts w:cs="Arial"/>
          <w:color w:val="000000"/>
        </w:rPr>
        <w:t>. Les secteurs concernés visent essentiellement le développement durable et la thématique du changement climatique (transports de masse, eau et environnement, énergies renouvelables, etc.).</w:t>
      </w:r>
    </w:p>
    <w:p w14:paraId="093D032F" w14:textId="74933369" w:rsidR="00C32D55" w:rsidRPr="00C32D55" w:rsidRDefault="00401567" w:rsidP="00C32D55">
      <w:pPr>
        <w:pStyle w:val="Titre2Niveau2"/>
      </w:pPr>
      <w:bookmarkStart w:id="241" w:name="_Toc120887447"/>
      <w:bookmarkStart w:id="242" w:name="_Toc138344631"/>
      <w:r w:rsidRPr="0098629B">
        <w:t>Mobilisation des ressources financières de sources multilatérales</w:t>
      </w:r>
      <w:bookmarkEnd w:id="241"/>
      <w:bookmarkEnd w:id="242"/>
      <w:r w:rsidRPr="0098629B">
        <w:t xml:space="preserve"> </w:t>
      </w:r>
    </w:p>
    <w:p w14:paraId="32E45A91" w14:textId="77777777" w:rsidR="00C32D55" w:rsidRDefault="00C32D55" w:rsidP="00631ED2">
      <w:pPr>
        <w:spacing w:before="240" w:after="240"/>
        <w:rPr>
          <w:szCs w:val="22"/>
        </w:rPr>
      </w:pPr>
    </w:p>
    <w:p w14:paraId="070B9FFA" w14:textId="4DA2AD81" w:rsidR="00C32D55" w:rsidRDefault="00C32D55" w:rsidP="00631ED2">
      <w:pPr>
        <w:spacing w:before="240" w:after="240"/>
        <w:rPr>
          <w:szCs w:val="22"/>
        </w:rPr>
      </w:pPr>
      <w:r w:rsidRPr="00C32D55">
        <w:rPr>
          <w:szCs w:val="22"/>
        </w:rPr>
        <w:t>En ce qui concerne les flux multilatéraux, la France ne communique que la part relative au climat des contributions à plusieurs instruments de financement concessionnels : AID, Fonds africain de développement, Fonds asiatique de développement et FIDA. La France considère sa contribution de base aux fonds ou aux instruments concessionnels des banques multilatérales de développement et la multiplie par les parts multilatérales moyennes imputées, sur la base des parts ajustées communiquées à l'OCDE (http://www.oecd.org/dac/financing-sustainable-development/development-finance-topics/climate-change.htm). La répartition entre atténuation et adaptation est tirée des données fournies par les banques multilatérales de développement et les fonds, à notre demande.</w:t>
      </w:r>
    </w:p>
    <w:p w14:paraId="7EBF261D" w14:textId="4B729D5C" w:rsidR="00631ED2" w:rsidRPr="0098629B" w:rsidRDefault="00631ED2" w:rsidP="00631ED2">
      <w:pPr>
        <w:spacing w:before="240" w:after="240"/>
        <w:rPr>
          <w:szCs w:val="22"/>
        </w:rPr>
      </w:pPr>
      <w:r w:rsidRPr="0098629B">
        <w:rPr>
          <w:szCs w:val="22"/>
        </w:rPr>
        <w:t>Avec une contribution de 13 Md€ (15,5 milliards de dollars) en 2021, la France se situe au cinquième rang des pays du G7 en termes de contribution d’aide publique au développement rapportée au revenu national brut. Elle considère que le système multilatéral se doit d’être exemplaire et moteur en matière de lutte contre les changements climatiques, avec notamment pour finalité d’appuyer la mise en œuvre des contributions déterminées au niveau national par les pays en développement signataires de l’accord de Paris. A ce titre, la France est l’un des principaux contributeurs aux institutions financières et fonds multilatéraux dédiés au climat.</w:t>
      </w:r>
    </w:p>
    <w:p w14:paraId="06262FBC" w14:textId="77777777" w:rsidR="00631ED2" w:rsidRPr="0098629B" w:rsidRDefault="00631ED2" w:rsidP="00631ED2">
      <w:pPr>
        <w:spacing w:before="240" w:after="240"/>
        <w:rPr>
          <w:rFonts w:eastAsiaTheme="minorHAnsi"/>
          <w:b/>
          <w:color w:val="000000"/>
        </w:rPr>
      </w:pPr>
      <w:r w:rsidRPr="0098629B">
        <w:rPr>
          <w:rFonts w:eastAsiaTheme="minorHAnsi" w:cs="Arial"/>
          <w:color w:val="000000"/>
        </w:rPr>
        <w:t xml:space="preserve">Une part importante de l’action de la France est dédiée à sa participation aux banques de développement et aux fonds multilatéraux de développement, tels l’Association internationale de développement (AID), guichet concessionnel de la Banque mondiale, le Fonds africain de développement (FAD), le guichet concessionnel de la Banque africaine de développement et le fonds international de développement agricole (FIDA). Ces banques et fonds consacrent une partie de leurs ressources à la lutte contre les effets du changement climatique. La France comptabilise la part « climat » imputable à sa contribution dans ces fonds concessionnels. </w:t>
      </w:r>
      <w:r w:rsidRPr="0098629B">
        <w:rPr>
          <w:rFonts w:eastAsiaTheme="minorHAnsi"/>
          <w:b/>
          <w:color w:val="000000"/>
        </w:rPr>
        <w:t xml:space="preserve">En 2018, la part « climat » des décaissements réalisés dans ces institutions est estimée représenter 372 M€. </w:t>
      </w:r>
      <w:bookmarkStart w:id="243" w:name="_Toc121431069"/>
      <w:bookmarkStart w:id="244" w:name="_Toc121431406"/>
      <w:bookmarkStart w:id="245" w:name="_Toc121431567"/>
      <w:bookmarkStart w:id="246" w:name="_Toc121431729"/>
      <w:bookmarkStart w:id="247" w:name="_Toc121431892"/>
      <w:bookmarkStart w:id="248" w:name="_Toc121432054"/>
      <w:bookmarkStart w:id="249" w:name="_Toc115454105"/>
      <w:bookmarkStart w:id="250" w:name="_Toc121390986"/>
      <w:bookmarkEnd w:id="243"/>
      <w:bookmarkEnd w:id="244"/>
      <w:bookmarkEnd w:id="245"/>
      <w:bookmarkEnd w:id="246"/>
      <w:bookmarkEnd w:id="247"/>
      <w:bookmarkEnd w:id="248"/>
    </w:p>
    <w:p w14:paraId="0201E2E4" w14:textId="77777777" w:rsidR="00631ED2" w:rsidRPr="0098629B" w:rsidRDefault="00631ED2" w:rsidP="00B04A7C">
      <w:pPr>
        <w:pStyle w:val="Titre3Niveau3"/>
      </w:pPr>
      <w:bookmarkStart w:id="251" w:name="_Toc122694292"/>
      <w:bookmarkStart w:id="252" w:name="_Toc138344632"/>
      <w:r w:rsidRPr="0098629B">
        <w:t>Contribution au Fonds vert pour le climat</w:t>
      </w:r>
      <w:bookmarkEnd w:id="249"/>
      <w:bookmarkEnd w:id="250"/>
      <w:bookmarkEnd w:id="251"/>
      <w:bookmarkEnd w:id="252"/>
    </w:p>
    <w:p w14:paraId="0DC4CF8C" w14:textId="1A0BE08A" w:rsidR="009C16BD" w:rsidRDefault="009C16BD" w:rsidP="009C16BD">
      <w:r w:rsidRPr="00674248">
        <w:t>Le Fonds vert pour le climat, décidé à la conférence climat de Copenhague en 2009, a vocation à devenir le principal fonds multilatéral consacré au financement de l’atténuation et l’adaptation des pays en développement vers des économies sobres en carbone et résilientes. Sa capitalisation initiale est de 10,3 Mds USD. Il vise une répartition équilibrée entre atténuation et adaptation et une allocation minimale de 50</w:t>
      </w:r>
      <w:r>
        <w:t>%</w:t>
      </w:r>
      <w:r w:rsidRPr="00674248">
        <w:t xml:space="preserve"> de ses ressources consacrées à l’adaptation </w:t>
      </w:r>
      <w:r w:rsidRPr="0027680A">
        <w:t>pour les pays les moins avancés, les États africains et les petits Éta</w:t>
      </w:r>
      <w:r>
        <w:t>ts insulaires en développement.</w:t>
      </w:r>
    </w:p>
    <w:p w14:paraId="54B1BB17" w14:textId="77777777" w:rsidR="009C16BD" w:rsidRPr="0027680A" w:rsidRDefault="009C16BD" w:rsidP="009C16BD"/>
    <w:p w14:paraId="525AEB4D" w14:textId="77777777" w:rsidR="009C16BD" w:rsidRDefault="009C16BD" w:rsidP="009C16BD">
      <w:r w:rsidRPr="008B149C">
        <w:t>En août 2022, le FVC avait approuvé 200 projets dans 117 pays en développement pour un montant total d’engagements de 10,8 Mds USD  (hors cofinancements), par le biais d’une palette d’instruments financiers (dons, prêts, capital, garanties). Les cofinancements associés à ces projets représentaient environ 30,6 Mds USD. Ces projets auraient permis une réduction de plus de 2.1 Md de tonnes de CO2 et auraient un impact direct pour 637 millions de bénéficiaires.</w:t>
      </w:r>
    </w:p>
    <w:p w14:paraId="25A33FAC" w14:textId="77777777" w:rsidR="009C16BD" w:rsidRDefault="009C16BD" w:rsidP="009C16BD"/>
    <w:p w14:paraId="0501C0B8" w14:textId="3E729AFD" w:rsidR="009C16BD" w:rsidRDefault="009C16BD" w:rsidP="009C16BD">
      <w:r w:rsidRPr="00657E69">
        <w:t>En termes de répartition géographique, l’Afrique représente 81 projets, l’Asie-Pacifique bénéficie de 83 projets et, l’Amérique latine et les Caraïbes, de 50 projets. En termes de cibles, 66 % des financements relatifs aux projets approuvés concernent des projets d’atténuation et 34 % des projets d’adaptation (en valeur nominale). Au 31 juillet 2022, le secteur public finance 65% des projets (7 Md USD) et le secteur privé 35% (3,7 Md USD).</w:t>
      </w:r>
    </w:p>
    <w:p w14:paraId="4DB0A62A" w14:textId="77777777" w:rsidR="009C16BD" w:rsidRPr="00674248" w:rsidRDefault="009C16BD" w:rsidP="009C16BD"/>
    <w:p w14:paraId="2F4AFADB" w14:textId="77777777" w:rsidR="009C16BD" w:rsidRPr="00565136" w:rsidRDefault="009C16BD" w:rsidP="009C16BD">
      <w:r w:rsidRPr="009C16BD">
        <w:rPr>
          <w:b/>
        </w:rPr>
        <w:t>La France a contribué à hauteur de 1,5 Md€ (1,7 Md$) lors de la dernière reconstitution du Fonds vert pour le climat sur la période 2019-2023</w:t>
      </w:r>
      <w:r w:rsidRPr="00565136">
        <w:t>. Cet engagement fort, qui représente un effort budgétaire important, place la France au rang de troisième contributeur (en élément-don</w:t>
      </w:r>
      <w:r w:rsidRPr="00565136">
        <w:footnoteReference w:id="23"/>
      </w:r>
      <w:r w:rsidRPr="00565136">
        <w:t>) à la reconstitution derrière le Royaume-Uni et l’Allemagne, et quatrième contributeur historique derrière ces pays et le Japon. Cette contribution a été apportée essentiellement en don (80 %), les 20 % restants étant apportés sous forme d’un prêt très concessionnel (taux zéro, maturité 25 ans). Cette contribution s’ajoutait à la première contribution réalisée par la France lors de la mobilisation initiale des ressources, à hauteur de 774 M€, dont le versement a été achevé en 2018. Une période de négociation pour la prochaine reconstitution couvrant la période 2023-2025 s’est ouverte à l’été 2022 et s’achèvera en octobre 2023 où les contributions seront annoncées.</w:t>
      </w:r>
    </w:p>
    <w:p w14:paraId="655D22C7" w14:textId="77777777" w:rsidR="009C16BD" w:rsidRDefault="009C16BD" w:rsidP="009C16BD"/>
    <w:p w14:paraId="6A867D3F" w14:textId="488333F5" w:rsidR="009C16BD" w:rsidRDefault="009C16BD" w:rsidP="009C16BD">
      <w:r w:rsidRPr="00565136">
        <w:t>Le Fonds vert pour le climat vise un équilibre entre les financements dédiés à l’atténuation aux changements climatiques et ceux dédi</w:t>
      </w:r>
      <w:r w:rsidR="00111D10">
        <w:t>és à l’adaptation. Fin 2022, 51</w:t>
      </w:r>
      <w:r w:rsidRPr="00565136">
        <w:t>% des engagements du fonds visaient des projets d’atténuation, contre 49% pour l’</w:t>
      </w:r>
      <w:r>
        <w:t>adaptation (en équivalent don).</w:t>
      </w:r>
    </w:p>
    <w:p w14:paraId="595AE334" w14:textId="77777777" w:rsidR="009C16BD" w:rsidRPr="00565136" w:rsidRDefault="009C16BD" w:rsidP="009C16BD">
      <w:pPr>
        <w:rPr>
          <w:b/>
        </w:rPr>
      </w:pPr>
    </w:p>
    <w:p w14:paraId="6377AB16" w14:textId="447FC3FC" w:rsidR="00631ED2" w:rsidRPr="0098629B" w:rsidRDefault="009C16BD" w:rsidP="009C16BD">
      <w:r w:rsidRPr="0093174E">
        <w:t>À ce jour</w:t>
      </w:r>
      <w:r w:rsidRPr="0093174E">
        <w:rPr>
          <w:rStyle w:val="FootnoteReference"/>
        </w:rPr>
        <w:footnoteReference w:id="24"/>
      </w:r>
      <w:r w:rsidRPr="0093174E">
        <w:t>, 51% des engagements du fonds visent des projets d’atténuation, contre 49% pour l’adaptation</w:t>
      </w:r>
      <w:r w:rsidR="00F733A2">
        <w:t>.</w:t>
      </w:r>
    </w:p>
    <w:p w14:paraId="00EB443C" w14:textId="77777777" w:rsidR="00631ED2" w:rsidRPr="0098629B" w:rsidRDefault="00631ED2" w:rsidP="00B04A7C">
      <w:pPr>
        <w:pStyle w:val="Titre3Niveau3"/>
      </w:pPr>
      <w:bookmarkStart w:id="253" w:name="_Toc115454106"/>
      <w:bookmarkStart w:id="254" w:name="_Toc121390987"/>
      <w:bookmarkStart w:id="255" w:name="_Toc122694293"/>
      <w:bookmarkStart w:id="256" w:name="_Toc138344633"/>
      <w:r w:rsidRPr="0098629B">
        <w:t>Contribution au Fonds pour l’environnement mondial</w:t>
      </w:r>
      <w:bookmarkEnd w:id="253"/>
      <w:bookmarkEnd w:id="254"/>
      <w:bookmarkEnd w:id="255"/>
      <w:bookmarkEnd w:id="256"/>
    </w:p>
    <w:p w14:paraId="5CA57215" w14:textId="77777777" w:rsidR="00631ED2" w:rsidRPr="0098629B" w:rsidRDefault="00631ED2" w:rsidP="00631ED2">
      <w:pPr>
        <w:spacing w:before="240" w:after="240"/>
      </w:pPr>
      <w:r w:rsidRPr="0098629B">
        <w:t xml:space="preserve">Créé en 1991, le Fonds pour l’environnement mondial (FEM), dont la France a été l’un des promoteurs principaux aux côtés de l’Allemagne, est l’un des principaux instruments multilatéraux en matière de préservation de l’environnement mondial. Ce fonds intervient, outre la réduction des émissions de gaz à effet de serre, dans les domaines de la protection de la biodiversité, de la protection des eaux internationales, des luttes contre l’appauvrissement de la couche d’ozone, contre la dégradation des sols et contre les polluants organiques persistants. </w:t>
      </w:r>
    </w:p>
    <w:p w14:paraId="521689FD" w14:textId="77777777" w:rsidR="00631ED2" w:rsidRPr="0098629B" w:rsidRDefault="00631ED2" w:rsidP="00631ED2">
      <w:pPr>
        <w:spacing w:before="240" w:after="240"/>
      </w:pPr>
      <w:r w:rsidRPr="0098629B">
        <w:t xml:space="preserve">Le FEM est le mécanisme financier pour cinq conventions : </w:t>
      </w:r>
    </w:p>
    <w:p w14:paraId="45B8859A" w14:textId="77777777" w:rsidR="00631ED2" w:rsidRPr="0098629B" w:rsidRDefault="00631ED2" w:rsidP="00573042">
      <w:pPr>
        <w:pStyle w:val="ListParagraph"/>
        <w:numPr>
          <w:ilvl w:val="0"/>
          <w:numId w:val="46"/>
        </w:numPr>
        <w:spacing w:before="240" w:after="240"/>
      </w:pPr>
      <w:r w:rsidRPr="0098629B">
        <w:t xml:space="preserve">Convention sur la diversité biologique (CDB) ; </w:t>
      </w:r>
    </w:p>
    <w:p w14:paraId="52EA44DA" w14:textId="77777777" w:rsidR="00631ED2" w:rsidRPr="0098629B" w:rsidRDefault="00631ED2" w:rsidP="00573042">
      <w:pPr>
        <w:pStyle w:val="ListParagraph"/>
        <w:numPr>
          <w:ilvl w:val="0"/>
          <w:numId w:val="46"/>
        </w:numPr>
        <w:spacing w:before="240" w:after="240"/>
      </w:pPr>
      <w:r w:rsidRPr="0098629B">
        <w:t xml:space="preserve">Convention-cadre des Nations unies sur les changements climatiques (CCNUCC) ; </w:t>
      </w:r>
    </w:p>
    <w:p w14:paraId="00604C38" w14:textId="77777777" w:rsidR="00631ED2" w:rsidRPr="0098629B" w:rsidRDefault="00631ED2" w:rsidP="00573042">
      <w:pPr>
        <w:pStyle w:val="ListParagraph"/>
        <w:numPr>
          <w:ilvl w:val="0"/>
          <w:numId w:val="46"/>
        </w:numPr>
        <w:spacing w:before="240" w:after="240"/>
      </w:pPr>
      <w:r w:rsidRPr="0098629B">
        <w:t xml:space="preserve">Convention de Stockholm sur les polluants organiques persistants (POP) ; </w:t>
      </w:r>
    </w:p>
    <w:p w14:paraId="0958BED6" w14:textId="77777777" w:rsidR="00631ED2" w:rsidRPr="0098629B" w:rsidRDefault="00631ED2" w:rsidP="00573042">
      <w:pPr>
        <w:pStyle w:val="ListParagraph"/>
        <w:numPr>
          <w:ilvl w:val="0"/>
          <w:numId w:val="46"/>
        </w:numPr>
        <w:spacing w:before="240" w:after="240"/>
      </w:pPr>
      <w:r w:rsidRPr="0098629B">
        <w:t xml:space="preserve">Convention des Nations unies sur la lutte contre la désertification (CNULD) ; </w:t>
      </w:r>
    </w:p>
    <w:p w14:paraId="2C9DDDF4" w14:textId="77777777" w:rsidR="00631ED2" w:rsidRPr="0098629B" w:rsidRDefault="00631ED2" w:rsidP="00573042">
      <w:pPr>
        <w:pStyle w:val="ListParagraph"/>
        <w:numPr>
          <w:ilvl w:val="0"/>
          <w:numId w:val="46"/>
        </w:numPr>
        <w:spacing w:before="240" w:after="240"/>
      </w:pPr>
      <w:r w:rsidRPr="0098629B">
        <w:t xml:space="preserve">Convention de Minamata sur le Mercure. </w:t>
      </w:r>
    </w:p>
    <w:p w14:paraId="3F58A310" w14:textId="77777777" w:rsidR="00631ED2" w:rsidRPr="0098629B" w:rsidRDefault="00631ED2" w:rsidP="00631ED2">
      <w:pPr>
        <w:spacing w:before="240" w:after="240"/>
      </w:pPr>
      <w:r w:rsidRPr="0098629B">
        <w:t>La 8</w:t>
      </w:r>
      <w:r w:rsidRPr="0098629B">
        <w:rPr>
          <w:vertAlign w:val="superscript"/>
        </w:rPr>
        <w:t>ème</w:t>
      </w:r>
      <w:r w:rsidRPr="0098629B">
        <w:t xml:space="preserve"> reconstitution des ressources du FEM s’est conclue le 8 avril 2022 par un accord de l’ensemble des contributeurs pour un montant total de </w:t>
      </w:r>
      <w:r w:rsidRPr="0098629B">
        <w:rPr>
          <w:bCs/>
        </w:rPr>
        <w:t>5,25</w:t>
      </w:r>
      <w:r w:rsidRPr="0098629B">
        <w:rPr>
          <w:rFonts w:ascii="Calibri" w:hAnsi="Calibri" w:cs="Calibri"/>
          <w:bCs/>
        </w:rPr>
        <w:t> </w:t>
      </w:r>
      <w:r w:rsidRPr="0098629B">
        <w:rPr>
          <w:bCs/>
        </w:rPr>
        <w:t>milliards de dollars de ressources mobilis</w:t>
      </w:r>
      <w:r w:rsidRPr="0098629B">
        <w:rPr>
          <w:rFonts w:cs="Marianne"/>
          <w:bCs/>
        </w:rPr>
        <w:t>é</w:t>
      </w:r>
      <w:r w:rsidRPr="0098629B">
        <w:rPr>
          <w:bCs/>
        </w:rPr>
        <w:t>es pour les quatre prochaines années</w:t>
      </w:r>
      <w:r w:rsidRPr="0098629B">
        <w:t xml:space="preserve">. Cette enveloppe financière représente un record historique pour le FEM, qui avait réuni </w:t>
      </w:r>
      <w:r w:rsidRPr="0098629B">
        <w:rPr>
          <w:bCs/>
        </w:rPr>
        <w:t>4,1</w:t>
      </w:r>
      <w:r w:rsidRPr="0098629B">
        <w:rPr>
          <w:rFonts w:ascii="Calibri" w:hAnsi="Calibri" w:cs="Calibri"/>
          <w:bCs/>
        </w:rPr>
        <w:t> </w:t>
      </w:r>
      <w:r w:rsidRPr="0098629B">
        <w:rPr>
          <w:bCs/>
        </w:rPr>
        <w:t>milliards de dollars</w:t>
      </w:r>
      <w:r w:rsidRPr="0098629B">
        <w:t xml:space="preserve"> lors de la précédente reconstitution de ses ressources, en 2018.</w:t>
      </w:r>
    </w:p>
    <w:p w14:paraId="467467B4" w14:textId="77777777" w:rsidR="00631ED2" w:rsidRPr="0098629B" w:rsidRDefault="00631ED2" w:rsidP="00631ED2">
      <w:pPr>
        <w:spacing w:before="240" w:after="240"/>
      </w:pPr>
      <w:r w:rsidRPr="0098629B">
        <w:t xml:space="preserve">Contributrice historique depuis plus de 30 ans, </w:t>
      </w:r>
      <w:r w:rsidRPr="0098629B">
        <w:rPr>
          <w:bCs/>
        </w:rPr>
        <w:t xml:space="preserve">la France a pris sa part pleine et entière dans cet effort </w:t>
      </w:r>
      <w:r w:rsidRPr="0098629B">
        <w:t xml:space="preserve">de la communauté internationale, en apportant une </w:t>
      </w:r>
      <w:r w:rsidRPr="0098629B">
        <w:rPr>
          <w:bCs/>
        </w:rPr>
        <w:t>contribution record de 360 millions</w:t>
      </w:r>
      <w:r w:rsidRPr="0098629B">
        <w:t xml:space="preserve"> </w:t>
      </w:r>
      <w:r w:rsidRPr="0098629B">
        <w:rPr>
          <w:bCs/>
        </w:rPr>
        <w:t>de dollars</w:t>
      </w:r>
      <w:r w:rsidRPr="0098629B">
        <w:t>, en hausse de près de 40% en euros par rapport à sa contribution à la précédente reconstitution.</w:t>
      </w:r>
    </w:p>
    <w:p w14:paraId="7ABB4019" w14:textId="77777777" w:rsidR="00631ED2" w:rsidRPr="0098629B" w:rsidRDefault="00631ED2" w:rsidP="00631ED2">
      <w:pPr>
        <w:spacing w:before="240" w:after="240"/>
      </w:pPr>
      <w:r w:rsidRPr="0098629B">
        <w:t xml:space="preserve">Les ressources mobilisées permettront de </w:t>
      </w:r>
      <w:r w:rsidRPr="0098629B">
        <w:rPr>
          <w:bCs/>
        </w:rPr>
        <w:t xml:space="preserve">financer des projets en faveur du climat et de l’environnement </w:t>
      </w:r>
      <w:r w:rsidRPr="0098629B">
        <w:t>dans les pays en développement, et notamment les pays les moins avancées et dans les petits états insulaires en développement.</w:t>
      </w:r>
    </w:p>
    <w:p w14:paraId="7C970BDE" w14:textId="77777777" w:rsidR="00631ED2" w:rsidRPr="0098629B" w:rsidRDefault="00631ED2" w:rsidP="00B04A7C">
      <w:pPr>
        <w:pStyle w:val="Titre3Niveau3"/>
      </w:pPr>
      <w:bookmarkStart w:id="257" w:name="_Toc115454107"/>
      <w:bookmarkStart w:id="258" w:name="_Toc121390988"/>
      <w:bookmarkStart w:id="259" w:name="_Toc122694294"/>
      <w:bookmarkStart w:id="260" w:name="_Toc138344634"/>
      <w:r w:rsidRPr="0098629B">
        <w:t>Contribution au Fonds pour les pays les moins avancés</w:t>
      </w:r>
      <w:bookmarkEnd w:id="257"/>
      <w:bookmarkEnd w:id="258"/>
      <w:bookmarkEnd w:id="259"/>
      <w:bookmarkEnd w:id="260"/>
    </w:p>
    <w:p w14:paraId="42C9F895" w14:textId="77777777" w:rsidR="00314BB0" w:rsidRDefault="00314BB0" w:rsidP="00314BB0">
      <w:pPr>
        <w:rPr>
          <w:b/>
        </w:rPr>
      </w:pPr>
      <w:r w:rsidRPr="0027680A">
        <w:t xml:space="preserve">Le fonds pour les pays les moins avancés (Least Developed Countries Fund – LDCF) est dédié à l’adaptation et aux transferts de technologies dans les pays en développement, hébergés et gérés par le FEM. La France y a apporté 15 M€ en dons en 2016, </w:t>
      </w:r>
      <w:r w:rsidRPr="0027680A">
        <w:rPr>
          <w:b/>
        </w:rPr>
        <w:t>10 M€ en 2017 et 7,5 M€ en 2018</w:t>
      </w:r>
      <w:r w:rsidRPr="007214F9">
        <w:t xml:space="preserve"> </w:t>
      </w:r>
      <w:r>
        <w:t>et 20M€ en 2021 (annoncé lors de la COP26</w:t>
      </w:r>
      <w:r w:rsidRPr="0027680A">
        <w:rPr>
          <w:b/>
        </w:rPr>
        <w:t>.</w:t>
      </w:r>
    </w:p>
    <w:p w14:paraId="10AF7013" w14:textId="77777777" w:rsidR="00314BB0" w:rsidRDefault="00314BB0" w:rsidP="00314BB0">
      <w:pPr>
        <w:rPr>
          <w:b/>
        </w:rPr>
      </w:pPr>
    </w:p>
    <w:p w14:paraId="6418493D" w14:textId="50921EAB" w:rsidR="00314BB0" w:rsidRDefault="00314BB0" w:rsidP="00314BB0">
      <w:r w:rsidRPr="0027680A">
        <w:rPr>
          <w:b/>
        </w:rPr>
        <w:t>La France a contribué à hauteur de 15</w:t>
      </w:r>
      <w:r w:rsidRPr="0027680A">
        <w:rPr>
          <w:rFonts w:ascii="Calibri" w:hAnsi="Calibri" w:cs="Calibri"/>
          <w:b/>
        </w:rPr>
        <w:t> </w:t>
      </w:r>
      <w:r w:rsidRPr="0027680A">
        <w:rPr>
          <w:b/>
        </w:rPr>
        <w:t>M</w:t>
      </w:r>
      <w:r w:rsidRPr="0027680A">
        <w:rPr>
          <w:rFonts w:cs="Marianne"/>
          <w:b/>
        </w:rPr>
        <w:t>€</w:t>
      </w:r>
      <w:r w:rsidRPr="0027680A">
        <w:rPr>
          <w:b/>
        </w:rPr>
        <w:t xml:space="preserve"> au fonds d</w:t>
      </w:r>
      <w:r w:rsidRPr="0027680A">
        <w:rPr>
          <w:rFonts w:cs="Marianne"/>
          <w:b/>
        </w:rPr>
        <w:t>’</w:t>
      </w:r>
      <w:r w:rsidRPr="0027680A">
        <w:rPr>
          <w:b/>
        </w:rPr>
        <w:t xml:space="preserve">adaptation en 2018 </w:t>
      </w:r>
      <w:r w:rsidRPr="0027680A">
        <w:t>(annoncé lors de la COP24)</w:t>
      </w:r>
      <w:r>
        <w:t xml:space="preserve"> et a annoncé à la COP27 une nouvelle contribution au fonds d’adaptation de 10M€.</w:t>
      </w:r>
    </w:p>
    <w:p w14:paraId="544E8B0A" w14:textId="77777777" w:rsidR="00314BB0" w:rsidRDefault="00314BB0" w:rsidP="00631ED2"/>
    <w:p w14:paraId="7729398E" w14:textId="146A7D1D" w:rsidR="00401567" w:rsidRPr="0098629B" w:rsidRDefault="00631ED2" w:rsidP="00631ED2">
      <w:pPr>
        <w:rPr>
          <w:rFonts w:eastAsiaTheme="minorHAnsi" w:cs="Arial"/>
          <w:color w:val="000000"/>
          <w:szCs w:val="22"/>
        </w:rPr>
      </w:pPr>
      <w:r w:rsidRPr="0098629B">
        <w:t xml:space="preserve">Les tableaux de financement relatifs aux sections 1 et 2 sont présentés en </w:t>
      </w:r>
      <w:hyperlink w:anchor="AnnexII" w:history="1">
        <w:r w:rsidRPr="00C04DF9">
          <w:rPr>
            <w:rStyle w:val="Hyperlink"/>
          </w:rPr>
          <w:t>annexe</w:t>
        </w:r>
        <w:r w:rsidR="00C04DF9" w:rsidRPr="00C04DF9">
          <w:rPr>
            <w:rStyle w:val="Hyperlink"/>
          </w:rPr>
          <w:t xml:space="preserve"> II</w:t>
        </w:r>
      </w:hyperlink>
      <w:r w:rsidRPr="0098629B">
        <w:t>.</w:t>
      </w:r>
    </w:p>
    <w:p w14:paraId="0391E27E" w14:textId="0488D6F4" w:rsidR="00401567" w:rsidRPr="0098629B" w:rsidRDefault="00401567" w:rsidP="0018240E">
      <w:pPr>
        <w:pStyle w:val="Titre2Niveau2"/>
      </w:pPr>
      <w:bookmarkStart w:id="261" w:name="_Toc138344635"/>
      <w:r w:rsidRPr="0098629B">
        <w:t>La coopération technologique</w:t>
      </w:r>
      <w:bookmarkEnd w:id="261"/>
    </w:p>
    <w:p w14:paraId="6372CEF5" w14:textId="77777777" w:rsidR="00631ED2" w:rsidRPr="0098629B" w:rsidRDefault="00631ED2" w:rsidP="00631ED2">
      <w:r w:rsidRPr="0098629B">
        <w:rPr>
          <w:lang w:eastAsia="en-US"/>
        </w:rPr>
        <w:t>Les actions de la France en matière de coopération technologique sont déjà présentées dans le chapitre 15 : « Information sur la minimisation des effets adverses sur les pays en développement des politiques et mesures mises en œuvre par la France (article 3.14) » du rapport annuel d’inventaire GES français pour la CCNUCC (NIR). Des éléments complémentaires sont indiqués ci-après.</w:t>
      </w:r>
      <w:bookmarkStart w:id="262" w:name="_Toc121431074"/>
      <w:bookmarkStart w:id="263" w:name="_Toc121431411"/>
      <w:bookmarkStart w:id="264" w:name="_Toc121431572"/>
      <w:bookmarkStart w:id="265" w:name="_Toc121431734"/>
      <w:bookmarkStart w:id="266" w:name="_Toc121431897"/>
      <w:bookmarkStart w:id="267" w:name="_Toc121432059"/>
      <w:bookmarkEnd w:id="262"/>
      <w:bookmarkEnd w:id="263"/>
      <w:bookmarkEnd w:id="264"/>
      <w:bookmarkEnd w:id="265"/>
      <w:bookmarkEnd w:id="266"/>
      <w:bookmarkEnd w:id="267"/>
    </w:p>
    <w:p w14:paraId="467A7574" w14:textId="77777777" w:rsidR="00631ED2" w:rsidRPr="0098629B" w:rsidRDefault="00631ED2" w:rsidP="00B04A7C">
      <w:pPr>
        <w:pStyle w:val="Titre3Niveau3"/>
      </w:pPr>
      <w:bookmarkStart w:id="268" w:name="_Toc122694296"/>
      <w:bookmarkStart w:id="269" w:name="_Toc138344636"/>
      <w:r w:rsidRPr="0098629B">
        <w:t>Le rôle de l’ADEME</w:t>
      </w:r>
      <w:bookmarkEnd w:id="268"/>
      <w:bookmarkEnd w:id="269"/>
    </w:p>
    <w:p w14:paraId="62F8C4EC" w14:textId="77777777" w:rsidR="00631ED2" w:rsidRPr="0098629B" w:rsidRDefault="00631ED2" w:rsidP="00631ED2">
      <w:r w:rsidRPr="0098629B">
        <w:t>Au niveau national l’ADEME a accompagné le développement et déploiement de nouvelles technologies climatiques, grâce à sa dotation budgétaire annuelle, le Programme d’Investissements d’Avenir, et plus récemment le Plan de relance économique de la France (2020-2022).</w:t>
      </w:r>
    </w:p>
    <w:p w14:paraId="7CA76D25" w14:textId="77777777" w:rsidR="00631ED2" w:rsidRPr="0098629B" w:rsidRDefault="00631ED2" w:rsidP="00631ED2"/>
    <w:p w14:paraId="3E13155C" w14:textId="77777777" w:rsidR="00631ED2" w:rsidRPr="0098629B" w:rsidRDefault="00631ED2" w:rsidP="00631ED2">
      <w:r w:rsidRPr="0098629B">
        <w:t>L’ADEME a contribué au déploiement international des technologies climatiques françaises dans le cadre de plusieurs programmes et partenariats.</w:t>
      </w:r>
    </w:p>
    <w:p w14:paraId="7D273A11" w14:textId="77777777" w:rsidR="00631ED2" w:rsidRPr="0098629B" w:rsidRDefault="00631ED2" w:rsidP="00631ED2">
      <w:r w:rsidRPr="0098629B">
        <w:t>A la demande du ministère de l’Écologie, suite de la COP 21, l’ADEME a géré un programme d’accompagnement des coalitions de l’Agenda de l’Action Climat. Ce programme concernait principalement l’Alliance mondiale pour les bâtiments et la construction (GlobalABC) et la Mission Innovation et comprenait un axe transversal « Femmes et climat ». Les activités soutenues par ce programme comprenaient des dimensions techniques et de développement de compétences.</w:t>
      </w:r>
    </w:p>
    <w:p w14:paraId="64EBA199" w14:textId="453B192D" w:rsidR="00631ED2" w:rsidRDefault="00EE16C3" w:rsidP="00631ED2">
      <w:r>
        <w:t>L’Alliance Mondiale pour les bâtiments et la construction (Global Alliance for Buildings and Construction, GlobalABC) a été initiée à la COP21 par la France, avec le PNUE. Cette alliance, co-présidée par la France et réunissant désormais 36 pays et plus de 200 organisations, a pour mission de mobiliser l’ensemble de ces acteurs pour la transition vers un secteur immobilier à zéro émission, efficace en énergie et résilient aux changements climatiques, en vue d’atteindre les objectifs de l’Accord de Paris. L’ADEME a contribué à la mise en œuvre de la GlobalABC notamment par le financement d’opérations phares au Sénégal et au Vietnam pour des bâtiments bioclimatiques et bas carbone en climats chauds et tropicaux et la co-présidence d’un groupe de travail sur l’adaptation au changement climatique</w:t>
      </w:r>
      <w:r w:rsidR="00631ED2" w:rsidRPr="0098629B">
        <w:t>.</w:t>
      </w:r>
    </w:p>
    <w:p w14:paraId="415E66EF" w14:textId="77777777" w:rsidR="00EE16C3" w:rsidRPr="0098629B" w:rsidRDefault="00EE16C3" w:rsidP="00631ED2"/>
    <w:p w14:paraId="3EA35B80" w14:textId="77777777" w:rsidR="00631ED2" w:rsidRPr="0098629B" w:rsidRDefault="00631ED2" w:rsidP="00631ED2">
      <w:r w:rsidRPr="0098629B">
        <w:t>La coalition « Mission Innovation » a pour objectif de renforcer le soutien public à la recherche et à l’innovation sur les technologies bas carbone. En 2015 la France et l’Inde, étaient pays leaders sur la thématique « accès à l’énergie renouvelable pour les populations hors réseau ». Dans ce cadre l’ADEME a lancé en 2017 un appel à projets sur l’accès à l’énergie renouvelable hors réseau.</w:t>
      </w:r>
    </w:p>
    <w:p w14:paraId="1BFA0D14" w14:textId="77777777" w:rsidR="00631ED2" w:rsidRPr="0098629B" w:rsidRDefault="00631ED2" w:rsidP="00631ED2">
      <w:r w:rsidRPr="0098629B">
        <w:t xml:space="preserve">L’on notera que cet appel à projets a posé le socle pour un partenariat avec l’Agence française de développement qui a permis de lancer en 2019 un deuxième appel à projets sur l’accès à l’énergie renouvelable hors réseau. </w:t>
      </w:r>
    </w:p>
    <w:p w14:paraId="62D467FE" w14:textId="77777777" w:rsidR="00631ED2" w:rsidRPr="0098629B" w:rsidRDefault="00631ED2" w:rsidP="00631ED2">
      <w:r w:rsidRPr="0098629B">
        <w:t>L’axe « Femmes et Climat » du programme a été conduit en partenariat avec l’Association Internationale des Maires Francophones (AIMF). Un projet phare a été retenu avec le Réseau des Femmes Elues Locales d’Afrique REFELA-CAMEROUN pour la mise en œuvre d’actions pilotes pour l’éclairage public et la fourniture électrique de bâtiments publics ainsi que le renforcement des compétences des Femmes élues sur la production et gestion d’énergie durable.</w:t>
      </w:r>
    </w:p>
    <w:p w14:paraId="09A6702A" w14:textId="77777777" w:rsidR="00631ED2" w:rsidRPr="0098629B" w:rsidRDefault="00631ED2" w:rsidP="00631ED2"/>
    <w:p w14:paraId="5129BC85" w14:textId="77777777" w:rsidR="00631ED2" w:rsidRPr="0098629B" w:rsidRDefault="00631ED2" w:rsidP="00631ED2">
      <w:r w:rsidRPr="0098629B">
        <w:t>Depuis la 7</w:t>
      </w:r>
      <w:r w:rsidRPr="0098629B">
        <w:rPr>
          <w:vertAlign w:val="superscript"/>
        </w:rPr>
        <w:t>e</w:t>
      </w:r>
      <w:r w:rsidRPr="0098629B">
        <w:t xml:space="preserve"> communication nationale il y a une prise de conscience plus générale de la nécessité de renforcer l’adaptation au changement climatique tout en poursuivant les efforts d’atténuation. Dans la continuité de ses travaux nationaux sur l’adaptation au changement climatique, l’ADEME a lancé en 2022 un appel à projets visant le renforcement de cet enjeu dans les initiatives multilatérales de l’Agenda de l’Action.</w:t>
      </w:r>
    </w:p>
    <w:p w14:paraId="49321C2C" w14:textId="77777777" w:rsidR="00631ED2" w:rsidRPr="0098629B" w:rsidRDefault="00631ED2" w:rsidP="00631ED2"/>
    <w:p w14:paraId="226FA65E" w14:textId="49843345" w:rsidR="00631ED2" w:rsidRPr="0098629B" w:rsidRDefault="00631ED2" w:rsidP="00631ED2">
      <w:r w:rsidRPr="0098629B">
        <w:t xml:space="preserve">L’ADEME contribue directement à la mise en œuvre du Mécanisme technologique de la Convention-cadre des </w:t>
      </w:r>
      <w:r w:rsidR="00EE16C3">
        <w:t>N</w:t>
      </w:r>
      <w:r w:rsidRPr="0098629B">
        <w:t xml:space="preserve">ations </w:t>
      </w:r>
      <w:r w:rsidR="00EE16C3">
        <w:t>U</w:t>
      </w:r>
      <w:r w:rsidRPr="0098629B">
        <w:t xml:space="preserve">nies sur le </w:t>
      </w:r>
      <w:r w:rsidR="00EE16C3">
        <w:t>C</w:t>
      </w:r>
      <w:r w:rsidRPr="0098629B">
        <w:t>hangement</w:t>
      </w:r>
      <w:r w:rsidR="00EE16C3">
        <w:t>s</w:t>
      </w:r>
      <w:r w:rsidRPr="0098629B">
        <w:t xml:space="preserve"> </w:t>
      </w:r>
      <w:r w:rsidR="00EE16C3">
        <w:t>C</w:t>
      </w:r>
      <w:r w:rsidRPr="0098629B">
        <w:t>limatique</w:t>
      </w:r>
      <w:r w:rsidR="00EE16C3">
        <w:t>s</w:t>
      </w:r>
      <w:r w:rsidRPr="0098629B">
        <w:t xml:space="preserve"> par son rôle d’Entité national</w:t>
      </w:r>
      <w:r w:rsidR="00EE16C3">
        <w:t>e</w:t>
      </w:r>
      <w:r w:rsidRPr="0098629B">
        <w:t xml:space="preserve"> désigné</w:t>
      </w:r>
      <w:r w:rsidR="00EE16C3">
        <w:t>e</w:t>
      </w:r>
      <w:r w:rsidRPr="0098629B">
        <w:t xml:space="preserve"> du Centre et réseau des technologies climatiques (Climate Technology Centre and Network, CTCN).</w:t>
      </w:r>
    </w:p>
    <w:p w14:paraId="304E2A95" w14:textId="77777777" w:rsidR="00631ED2" w:rsidRPr="0098629B" w:rsidRDefault="00631ED2" w:rsidP="00631ED2">
      <w:pPr>
        <w:sectPr w:rsidR="00631ED2" w:rsidRPr="0098629B" w:rsidSect="00777BD5">
          <w:pgSz w:w="11906" w:h="16838" w:code="9"/>
          <w:pgMar w:top="1229" w:right="907" w:bottom="1648" w:left="1049" w:header="284" w:footer="284" w:gutter="0"/>
          <w:cols w:space="708"/>
          <w:titlePg/>
          <w:docGrid w:linePitch="360"/>
        </w:sectPr>
      </w:pPr>
    </w:p>
    <w:tbl>
      <w:tblPr>
        <w:tblStyle w:val="GridTable4-Accent4"/>
        <w:tblW w:w="15021" w:type="dxa"/>
        <w:jc w:val="center"/>
        <w:tblLook w:val="04A0" w:firstRow="1" w:lastRow="0" w:firstColumn="1" w:lastColumn="0" w:noHBand="0" w:noVBand="1"/>
      </w:tblPr>
      <w:tblGrid>
        <w:gridCol w:w="1213"/>
        <w:gridCol w:w="1199"/>
        <w:gridCol w:w="1847"/>
        <w:gridCol w:w="1134"/>
        <w:gridCol w:w="2266"/>
        <w:gridCol w:w="1558"/>
        <w:gridCol w:w="1699"/>
        <w:gridCol w:w="4105"/>
      </w:tblGrid>
      <w:tr w:rsidR="00631ED2" w:rsidRPr="0098629B" w14:paraId="6E5FF214" w14:textId="77777777" w:rsidTr="00C430E9">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41C46614" w14:textId="77777777" w:rsidR="00631ED2" w:rsidRPr="0098629B" w:rsidRDefault="00631ED2" w:rsidP="00C430E9">
            <w:pPr>
              <w:jc w:val="center"/>
              <w:rPr>
                <w:rFonts w:ascii="Arial" w:hAnsi="Arial" w:cs="Arial"/>
                <w:color w:val="000000"/>
                <w:sz w:val="16"/>
                <w:szCs w:val="16"/>
                <w:lang w:val="en-GB"/>
              </w:rPr>
            </w:pPr>
            <w:r w:rsidRPr="0098629B">
              <w:rPr>
                <w:rFonts w:ascii="Arial" w:hAnsi="Arial" w:cs="Arial"/>
                <w:color w:val="000000"/>
                <w:sz w:val="16"/>
                <w:szCs w:val="16"/>
                <w:lang w:val="en-GB"/>
              </w:rPr>
              <w:t>Pays ou region récipiendaire</w:t>
            </w:r>
          </w:p>
        </w:tc>
        <w:tc>
          <w:tcPr>
            <w:tcW w:w="1200" w:type="dxa"/>
            <w:hideMark/>
          </w:tcPr>
          <w:p w14:paraId="268CDFD7" w14:textId="77777777" w:rsidR="00631ED2" w:rsidRPr="0098629B"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Objectif</w:t>
            </w:r>
          </w:p>
        </w:tc>
        <w:tc>
          <w:tcPr>
            <w:tcW w:w="1848" w:type="dxa"/>
            <w:hideMark/>
          </w:tcPr>
          <w:p w14:paraId="0573F507" w14:textId="77777777" w:rsidR="00631ED2" w:rsidRPr="0098629B"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Mesures et activités liées au transfert de technologie</w:t>
            </w:r>
          </w:p>
        </w:tc>
        <w:tc>
          <w:tcPr>
            <w:tcW w:w="1134" w:type="dxa"/>
            <w:hideMark/>
          </w:tcPr>
          <w:p w14:paraId="4C8BD0AE" w14:textId="77777777" w:rsidR="00631ED2" w:rsidRPr="0098629B"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Secteur</w:t>
            </w:r>
          </w:p>
        </w:tc>
        <w:tc>
          <w:tcPr>
            <w:tcW w:w="2268" w:type="dxa"/>
            <w:hideMark/>
          </w:tcPr>
          <w:p w14:paraId="2AD17376" w14:textId="77777777" w:rsidR="00631ED2" w:rsidRPr="0098629B"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98629B">
              <w:rPr>
                <w:rFonts w:ascii="Arial" w:hAnsi="Arial" w:cs="Arial"/>
                <w:color w:val="000000"/>
                <w:sz w:val="16"/>
                <w:szCs w:val="16"/>
                <w:lang w:val="en-GB"/>
              </w:rPr>
              <w:t>Provenance du financement</w:t>
            </w:r>
          </w:p>
        </w:tc>
        <w:tc>
          <w:tcPr>
            <w:tcW w:w="1559" w:type="dxa"/>
            <w:hideMark/>
          </w:tcPr>
          <w:p w14:paraId="40473DF3" w14:textId="77777777" w:rsidR="00631ED2" w:rsidRPr="0098629B"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Activités entreprises par :</w:t>
            </w:r>
          </w:p>
        </w:tc>
        <w:tc>
          <w:tcPr>
            <w:tcW w:w="1701" w:type="dxa"/>
            <w:hideMark/>
          </w:tcPr>
          <w:p w14:paraId="08206314" w14:textId="77777777" w:rsidR="00631ED2" w:rsidRPr="0098629B"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Status</w:t>
            </w:r>
          </w:p>
        </w:tc>
        <w:tc>
          <w:tcPr>
            <w:tcW w:w="4111" w:type="dxa"/>
            <w:hideMark/>
          </w:tcPr>
          <w:p w14:paraId="5D85BAE6" w14:textId="77777777" w:rsidR="00631ED2" w:rsidRPr="0098629B"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Informations complémentaires</w:t>
            </w:r>
          </w:p>
        </w:tc>
      </w:tr>
      <w:tr w:rsidR="00631ED2" w:rsidRPr="0098629B" w14:paraId="5587FC52" w14:textId="77777777" w:rsidTr="00C430E9">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71D6D203" w14:textId="77777777" w:rsidR="00631ED2" w:rsidRPr="0098629B" w:rsidRDefault="00631ED2" w:rsidP="00C430E9">
            <w:pPr>
              <w:jc w:val="left"/>
              <w:rPr>
                <w:rFonts w:ascii="Arial" w:hAnsi="Arial" w:cs="Arial"/>
                <w:color w:val="000000"/>
                <w:sz w:val="16"/>
                <w:szCs w:val="16"/>
              </w:rPr>
            </w:pPr>
            <w:r w:rsidRPr="0098629B">
              <w:rPr>
                <w:rFonts w:ascii="Arial" w:hAnsi="Arial" w:cs="Arial"/>
                <w:color w:val="000000"/>
                <w:sz w:val="16"/>
                <w:szCs w:val="16"/>
              </w:rPr>
              <w:t>Afrique</w:t>
            </w:r>
          </w:p>
        </w:tc>
        <w:tc>
          <w:tcPr>
            <w:tcW w:w="1200" w:type="dxa"/>
            <w:hideMark/>
          </w:tcPr>
          <w:p w14:paraId="5943BAE5"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Atténuation</w:t>
            </w:r>
          </w:p>
        </w:tc>
        <w:tc>
          <w:tcPr>
            <w:tcW w:w="1848" w:type="dxa"/>
            <w:hideMark/>
          </w:tcPr>
          <w:p w14:paraId="1665BC22"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Appel à projets ADEME 2017 : Accès à l'énérgie renouvelable pour les populations hors réseau. Gestion ADEME.</w:t>
            </w:r>
          </w:p>
        </w:tc>
        <w:tc>
          <w:tcPr>
            <w:tcW w:w="1134" w:type="dxa"/>
            <w:hideMark/>
          </w:tcPr>
          <w:p w14:paraId="57EF2F21"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Energie</w:t>
            </w:r>
          </w:p>
        </w:tc>
        <w:tc>
          <w:tcPr>
            <w:tcW w:w="2268" w:type="dxa"/>
            <w:hideMark/>
          </w:tcPr>
          <w:p w14:paraId="0DEFE978"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Ministère de la transition écologique. Gestion ADEME.</w:t>
            </w:r>
          </w:p>
        </w:tc>
        <w:tc>
          <w:tcPr>
            <w:tcW w:w="1559" w:type="dxa"/>
            <w:hideMark/>
          </w:tcPr>
          <w:p w14:paraId="47DC6A53"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entreprises</w:t>
            </w:r>
          </w:p>
        </w:tc>
        <w:tc>
          <w:tcPr>
            <w:tcW w:w="1701" w:type="dxa"/>
            <w:hideMark/>
          </w:tcPr>
          <w:p w14:paraId="6DE7C1CC"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 cours de finalisation</w:t>
            </w:r>
          </w:p>
        </w:tc>
        <w:tc>
          <w:tcPr>
            <w:tcW w:w="4111" w:type="dxa"/>
            <w:hideMark/>
          </w:tcPr>
          <w:p w14:paraId="6F02B288"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Dans la cadre de la coalition multilatérale "Mission Innovation". Neuf projets au Togo, Burkina Faso, Mauritanie, Cap Vert, Madagascar, Bénin et Ouganda</w:t>
            </w:r>
          </w:p>
        </w:tc>
      </w:tr>
      <w:tr w:rsidR="00631ED2" w:rsidRPr="0098629B" w14:paraId="2E5A94AA" w14:textId="77777777" w:rsidTr="00C430E9">
        <w:trPr>
          <w:trHeight w:val="67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5CE7CBCD" w14:textId="77777777" w:rsidR="00631ED2" w:rsidRPr="0098629B" w:rsidRDefault="00631ED2" w:rsidP="00C430E9">
            <w:pPr>
              <w:jc w:val="left"/>
              <w:rPr>
                <w:rFonts w:ascii="Arial" w:hAnsi="Arial" w:cs="Arial"/>
                <w:color w:val="000000"/>
                <w:sz w:val="16"/>
                <w:szCs w:val="16"/>
              </w:rPr>
            </w:pPr>
            <w:r w:rsidRPr="0098629B">
              <w:rPr>
                <w:rFonts w:ascii="Arial" w:hAnsi="Arial" w:cs="Arial"/>
                <w:color w:val="000000"/>
                <w:sz w:val="16"/>
                <w:szCs w:val="16"/>
              </w:rPr>
              <w:t>Afrique</w:t>
            </w:r>
          </w:p>
        </w:tc>
        <w:tc>
          <w:tcPr>
            <w:tcW w:w="1200" w:type="dxa"/>
            <w:hideMark/>
          </w:tcPr>
          <w:p w14:paraId="43825489"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Atténuation</w:t>
            </w:r>
          </w:p>
        </w:tc>
        <w:tc>
          <w:tcPr>
            <w:tcW w:w="1848" w:type="dxa"/>
            <w:hideMark/>
          </w:tcPr>
          <w:p w14:paraId="79F1D62C"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Appel à projets ADEME 2019 : Accès à l'énérgie renouvelable pour les populations hors réseau. Gestion ADEME.</w:t>
            </w:r>
          </w:p>
        </w:tc>
        <w:tc>
          <w:tcPr>
            <w:tcW w:w="1134" w:type="dxa"/>
            <w:hideMark/>
          </w:tcPr>
          <w:p w14:paraId="4DB23DFC"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Energie</w:t>
            </w:r>
          </w:p>
        </w:tc>
        <w:tc>
          <w:tcPr>
            <w:tcW w:w="2268" w:type="dxa"/>
            <w:hideMark/>
          </w:tcPr>
          <w:p w14:paraId="4A00CAE2"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Agence française du développement. Gestion ADEME.</w:t>
            </w:r>
          </w:p>
        </w:tc>
        <w:tc>
          <w:tcPr>
            <w:tcW w:w="1559" w:type="dxa"/>
            <w:hideMark/>
          </w:tcPr>
          <w:p w14:paraId="1B740DE1"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entreprises</w:t>
            </w:r>
          </w:p>
        </w:tc>
        <w:tc>
          <w:tcPr>
            <w:tcW w:w="1701" w:type="dxa"/>
            <w:hideMark/>
          </w:tcPr>
          <w:p w14:paraId="4E45390B"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 cours</w:t>
            </w:r>
          </w:p>
        </w:tc>
        <w:tc>
          <w:tcPr>
            <w:tcW w:w="4111" w:type="dxa"/>
            <w:hideMark/>
          </w:tcPr>
          <w:p w14:paraId="50AA3FB3"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Suite à l'appel à projets 2017.</w:t>
            </w:r>
          </w:p>
        </w:tc>
      </w:tr>
      <w:tr w:rsidR="00631ED2" w:rsidRPr="0098629B" w14:paraId="0FBF8281" w14:textId="77777777" w:rsidTr="00C430E9">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6406010B" w14:textId="77777777" w:rsidR="00631ED2" w:rsidRPr="0098629B" w:rsidRDefault="00631ED2" w:rsidP="00C430E9">
            <w:pPr>
              <w:jc w:val="left"/>
              <w:rPr>
                <w:rFonts w:ascii="Arial" w:hAnsi="Arial" w:cs="Arial"/>
                <w:color w:val="000000"/>
                <w:sz w:val="16"/>
                <w:szCs w:val="16"/>
              </w:rPr>
            </w:pPr>
            <w:r w:rsidRPr="0098629B">
              <w:rPr>
                <w:rFonts w:ascii="Arial" w:hAnsi="Arial" w:cs="Arial"/>
                <w:color w:val="000000"/>
                <w:sz w:val="16"/>
                <w:szCs w:val="16"/>
              </w:rPr>
              <w:t>Afrique</w:t>
            </w:r>
          </w:p>
        </w:tc>
        <w:tc>
          <w:tcPr>
            <w:tcW w:w="1200" w:type="dxa"/>
            <w:hideMark/>
          </w:tcPr>
          <w:p w14:paraId="5562E12E"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Atténuation</w:t>
            </w:r>
          </w:p>
        </w:tc>
        <w:tc>
          <w:tcPr>
            <w:tcW w:w="1848" w:type="dxa"/>
            <w:hideMark/>
          </w:tcPr>
          <w:p w14:paraId="4D6587EA"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Accompagnement de plusieurs projets innovants d'accès à l'énérgie durable.</w:t>
            </w:r>
          </w:p>
        </w:tc>
        <w:tc>
          <w:tcPr>
            <w:tcW w:w="1134" w:type="dxa"/>
            <w:hideMark/>
          </w:tcPr>
          <w:p w14:paraId="4B1BEC8E"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Energie</w:t>
            </w:r>
          </w:p>
        </w:tc>
        <w:tc>
          <w:tcPr>
            <w:tcW w:w="2268" w:type="dxa"/>
            <w:hideMark/>
          </w:tcPr>
          <w:p w14:paraId="094EE78B"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Ministère de la transition écologique. Gestion ADEME.</w:t>
            </w:r>
          </w:p>
        </w:tc>
        <w:tc>
          <w:tcPr>
            <w:tcW w:w="1559" w:type="dxa"/>
            <w:hideMark/>
          </w:tcPr>
          <w:p w14:paraId="33157ED0"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entreprises</w:t>
            </w:r>
          </w:p>
        </w:tc>
        <w:tc>
          <w:tcPr>
            <w:tcW w:w="1701" w:type="dxa"/>
            <w:hideMark/>
          </w:tcPr>
          <w:p w14:paraId="5AAEB7B2"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 cours</w:t>
            </w:r>
          </w:p>
        </w:tc>
        <w:tc>
          <w:tcPr>
            <w:tcW w:w="4111" w:type="dxa"/>
            <w:hideMark/>
          </w:tcPr>
          <w:p w14:paraId="7BCA0219"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Dans la cadre de la coalition multilatérale "Mission Innovation". Financement de plusieurs projets innovants sur l'accès à lénergie durable. Exemple : mise en place d'un méthaniseur à Lusaka (Zambie) dans le quartier de Mtendere.</w:t>
            </w:r>
          </w:p>
        </w:tc>
      </w:tr>
      <w:tr w:rsidR="00631ED2" w:rsidRPr="0098629B" w14:paraId="303E324D" w14:textId="77777777" w:rsidTr="00C430E9">
        <w:trPr>
          <w:trHeight w:val="1350"/>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40FE476F" w14:textId="77777777" w:rsidR="00631ED2" w:rsidRPr="0098629B" w:rsidRDefault="00631ED2" w:rsidP="00C430E9">
            <w:pPr>
              <w:jc w:val="left"/>
              <w:rPr>
                <w:rFonts w:ascii="Arial" w:hAnsi="Arial" w:cs="Arial"/>
                <w:color w:val="000000"/>
                <w:sz w:val="16"/>
                <w:szCs w:val="16"/>
              </w:rPr>
            </w:pPr>
            <w:r w:rsidRPr="0098629B">
              <w:rPr>
                <w:rFonts w:ascii="Arial" w:hAnsi="Arial" w:cs="Arial"/>
                <w:color w:val="000000"/>
                <w:sz w:val="16"/>
                <w:szCs w:val="16"/>
              </w:rPr>
              <w:t>Monde</w:t>
            </w:r>
          </w:p>
        </w:tc>
        <w:tc>
          <w:tcPr>
            <w:tcW w:w="1200" w:type="dxa"/>
            <w:hideMark/>
          </w:tcPr>
          <w:p w14:paraId="76074C7B"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Atténuation et adaptation</w:t>
            </w:r>
          </w:p>
        </w:tc>
        <w:tc>
          <w:tcPr>
            <w:tcW w:w="1848" w:type="dxa"/>
            <w:hideMark/>
          </w:tcPr>
          <w:p w14:paraId="110DFEC0"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Appui à l'Alliance Mondiale pour les Bâtiments et la Construction (GlobalABC)</w:t>
            </w:r>
          </w:p>
        </w:tc>
        <w:tc>
          <w:tcPr>
            <w:tcW w:w="1134" w:type="dxa"/>
            <w:hideMark/>
          </w:tcPr>
          <w:p w14:paraId="60F2CD29"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Bâtiments et construction</w:t>
            </w:r>
          </w:p>
        </w:tc>
        <w:tc>
          <w:tcPr>
            <w:tcW w:w="2268" w:type="dxa"/>
            <w:hideMark/>
          </w:tcPr>
          <w:p w14:paraId="5DB58DB0"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Ministère de la transition écologique. Gestion ADEME.</w:t>
            </w:r>
          </w:p>
        </w:tc>
        <w:tc>
          <w:tcPr>
            <w:tcW w:w="1559" w:type="dxa"/>
            <w:hideMark/>
          </w:tcPr>
          <w:p w14:paraId="19097314"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entreprises</w:t>
            </w:r>
          </w:p>
        </w:tc>
        <w:tc>
          <w:tcPr>
            <w:tcW w:w="1701" w:type="dxa"/>
            <w:hideMark/>
          </w:tcPr>
          <w:p w14:paraId="1A908D73"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En cours</w:t>
            </w:r>
          </w:p>
        </w:tc>
        <w:tc>
          <w:tcPr>
            <w:tcW w:w="4111" w:type="dxa"/>
            <w:hideMark/>
          </w:tcPr>
          <w:p w14:paraId="368F3DAF" w14:textId="77777777" w:rsidR="00631ED2" w:rsidRPr="0098629B"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Dans le cadre de l'Alliance Mondiale pour les Bâtiments et la Construction (GlobalABC). Co-présidence du groupe de travail sur l'adaptation au changement climatique. Financement d'opérations phares au Sénégal et au Vietnam pour des bâtiments bioclimatiques et bas-carbone en climats chauds et tropicaux.</w:t>
            </w:r>
          </w:p>
        </w:tc>
      </w:tr>
      <w:tr w:rsidR="00631ED2" w:rsidRPr="0098629B" w14:paraId="4985F041" w14:textId="77777777" w:rsidTr="00C430E9">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5D1C71A3" w14:textId="77777777" w:rsidR="00631ED2" w:rsidRPr="0098629B" w:rsidRDefault="00631ED2" w:rsidP="00C430E9">
            <w:pPr>
              <w:jc w:val="left"/>
              <w:rPr>
                <w:rFonts w:ascii="Arial" w:hAnsi="Arial" w:cs="Arial"/>
                <w:sz w:val="16"/>
                <w:szCs w:val="16"/>
              </w:rPr>
            </w:pPr>
            <w:r w:rsidRPr="0098629B">
              <w:rPr>
                <w:rFonts w:ascii="Arial" w:hAnsi="Arial" w:cs="Arial"/>
                <w:sz w:val="16"/>
                <w:szCs w:val="16"/>
              </w:rPr>
              <w:t>Cameroun</w:t>
            </w:r>
          </w:p>
        </w:tc>
        <w:tc>
          <w:tcPr>
            <w:tcW w:w="1200" w:type="dxa"/>
            <w:hideMark/>
          </w:tcPr>
          <w:p w14:paraId="274066DD"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sz w:val="16"/>
                <w:szCs w:val="16"/>
              </w:rPr>
              <w:t>Atténuation</w:t>
            </w:r>
          </w:p>
        </w:tc>
        <w:tc>
          <w:tcPr>
            <w:tcW w:w="1848" w:type="dxa"/>
            <w:hideMark/>
          </w:tcPr>
          <w:p w14:paraId="6CB6EE4B"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629B">
              <w:rPr>
                <w:rFonts w:ascii="Arial" w:hAnsi="Arial" w:cs="Arial"/>
                <w:sz w:val="16"/>
                <w:szCs w:val="16"/>
              </w:rPr>
              <w:t>Femmes et Climat : actions pilotes</w:t>
            </w:r>
          </w:p>
        </w:tc>
        <w:tc>
          <w:tcPr>
            <w:tcW w:w="1134" w:type="dxa"/>
            <w:hideMark/>
          </w:tcPr>
          <w:p w14:paraId="40E0B46C"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sz w:val="16"/>
                <w:szCs w:val="16"/>
              </w:rPr>
              <w:t>Energie</w:t>
            </w:r>
          </w:p>
        </w:tc>
        <w:tc>
          <w:tcPr>
            <w:tcW w:w="2268" w:type="dxa"/>
            <w:hideMark/>
          </w:tcPr>
          <w:p w14:paraId="077672C6"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629B">
              <w:rPr>
                <w:rFonts w:ascii="Arial" w:hAnsi="Arial" w:cs="Arial"/>
                <w:sz w:val="16"/>
                <w:szCs w:val="16"/>
              </w:rPr>
              <w:t>Ministère de la transition écologique. Gestion ADEME. Partenaires : AIMF, Fondation Veolia, FEICOM  ainsi que les communes visées au Cameroun</w:t>
            </w:r>
          </w:p>
        </w:tc>
        <w:tc>
          <w:tcPr>
            <w:tcW w:w="1559" w:type="dxa"/>
            <w:hideMark/>
          </w:tcPr>
          <w:p w14:paraId="661DB9BE"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629B">
              <w:rPr>
                <w:rFonts w:ascii="Arial" w:hAnsi="Arial" w:cs="Arial"/>
                <w:sz w:val="16"/>
                <w:szCs w:val="16"/>
              </w:rPr>
              <w:t>Secrétariat du Réseau des femmes élues locales du Cameroun</w:t>
            </w:r>
          </w:p>
        </w:tc>
        <w:tc>
          <w:tcPr>
            <w:tcW w:w="1701" w:type="dxa"/>
            <w:hideMark/>
          </w:tcPr>
          <w:p w14:paraId="1D6BA77C"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8629B">
              <w:rPr>
                <w:rFonts w:ascii="Arial" w:hAnsi="Arial" w:cs="Arial"/>
                <w:sz w:val="16"/>
                <w:szCs w:val="16"/>
              </w:rPr>
              <w:t>Terminé (2018-2020)</w:t>
            </w:r>
          </w:p>
        </w:tc>
        <w:tc>
          <w:tcPr>
            <w:tcW w:w="4111" w:type="dxa"/>
            <w:hideMark/>
          </w:tcPr>
          <w:p w14:paraId="46050462" w14:textId="77777777" w:rsidR="00631ED2" w:rsidRPr="0098629B"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8629B">
              <w:rPr>
                <w:rFonts w:ascii="Arial" w:hAnsi="Arial" w:cs="Arial"/>
                <w:color w:val="000000"/>
                <w:sz w:val="16"/>
                <w:szCs w:val="16"/>
              </w:rPr>
              <w:t xml:space="preserve">Appui au réseau des femmes maires du Cameroun. Le projet vise le renforcement du réseau des femmes élues locales du Cameroun et à la mise en œuvre d’actions pilotes pour l’éclairage public et la fourniture électrique de bâtiments publics. Partenariat : AIMF, Fondation Veolia, ADEME , FEICOM  ainsi que les communes visées. </w:t>
            </w:r>
          </w:p>
        </w:tc>
      </w:tr>
    </w:tbl>
    <w:p w14:paraId="325EC07C" w14:textId="77777777" w:rsidR="00631ED2" w:rsidRPr="0098629B" w:rsidRDefault="00631ED2" w:rsidP="00631ED2">
      <w:pPr>
        <w:sectPr w:rsidR="00631ED2" w:rsidRPr="0098629B" w:rsidSect="00C430E9">
          <w:pgSz w:w="16838" w:h="11906" w:orient="landscape" w:code="9"/>
          <w:pgMar w:top="1049" w:right="1229" w:bottom="907" w:left="1648" w:header="284" w:footer="284" w:gutter="0"/>
          <w:cols w:space="708"/>
          <w:titlePg/>
          <w:docGrid w:linePitch="360"/>
        </w:sectPr>
      </w:pPr>
    </w:p>
    <w:p w14:paraId="780B2AD6" w14:textId="77777777" w:rsidR="00631ED2" w:rsidRPr="0098629B" w:rsidRDefault="00631ED2" w:rsidP="00631ED2"/>
    <w:p w14:paraId="5F77531E" w14:textId="77777777" w:rsidR="00631ED2" w:rsidRPr="0098629B" w:rsidRDefault="00631ED2" w:rsidP="00B04A7C">
      <w:pPr>
        <w:pStyle w:val="Titre3Niveau3"/>
      </w:pPr>
      <w:bookmarkStart w:id="270" w:name="_Toc122694297"/>
      <w:bookmarkStart w:id="271" w:name="_Toc138344637"/>
      <w:r w:rsidRPr="0098629B">
        <w:t>Le Citepa</w:t>
      </w:r>
      <w:bookmarkEnd w:id="270"/>
      <w:bookmarkEnd w:id="271"/>
    </w:p>
    <w:p w14:paraId="7FBC9E01" w14:textId="621B6DD6" w:rsidR="00631ED2" w:rsidRPr="0098629B" w:rsidRDefault="00631ED2" w:rsidP="00631ED2">
      <w:r w:rsidRPr="0098629B">
        <w:t>Le Citepa, opérateur de la DGEC en ce qui concerne les inventaires d’émissions nationaux ainsi que le renforcement des capacités des pays tiers (une ligne du programme d’activité s’y réfère), est impliqué au niveau international par des actions de renforcements des capacités sur le thème du changement climatique et de la pollution atmosphérique, que ce soit via des jumelages, IA</w:t>
      </w:r>
      <w:r w:rsidR="00EE16C3">
        <w:t>P (</w:t>
      </w:r>
      <w:r w:rsidR="00EE16C3" w:rsidRPr="00EE16C3">
        <w:t>I</w:t>
      </w:r>
      <w:r w:rsidR="00EE16C3">
        <w:t>nstrument d'aide de préadhésion –</w:t>
      </w:r>
      <w:r w:rsidR="00EE16C3" w:rsidRPr="00EE16C3">
        <w:t xml:space="preserve"> IPA</w:t>
      </w:r>
      <w:r w:rsidR="00EE16C3">
        <w:t xml:space="preserve"> </w:t>
      </w:r>
      <w:r w:rsidR="00EE16C3" w:rsidRPr="00EE16C3">
        <w:t xml:space="preserve">en anglais pour </w:t>
      </w:r>
      <w:r w:rsidR="00EE16C3" w:rsidRPr="00EE16C3">
        <w:rPr>
          <w:i/>
        </w:rPr>
        <w:t>Instrument for Pre-Accession Assistance</w:t>
      </w:r>
      <w:r w:rsidR="00EE16C3">
        <w:t>)</w:t>
      </w:r>
      <w:r w:rsidRPr="0098629B">
        <w:t xml:space="preserve"> ou des appels d’offres </w:t>
      </w:r>
      <w:r w:rsidR="00F25018">
        <w:t xml:space="preserve">(AO) </w:t>
      </w:r>
      <w:r w:rsidRPr="0098629B">
        <w:t>de bailleurs de fond internationaux, ou dans une moindre mesure, via une ligne de son programme avec la DGEC (40 k€/an environ), potentiellement dans tous les pays émergents et en développements (chaque année dans une vingtaine de pays au gré des AO). Les collaborations sont la plupart du temps bilatérales via les AO des agences techniques AFD/GIZ/Agence Européenne de l’Environnement, ainsi qu’onusiennes (PNUD) ou encore des banques de développement (AFD/BM /ADB, etc.).</w:t>
      </w:r>
    </w:p>
    <w:p w14:paraId="02069317" w14:textId="77777777" w:rsidR="00631ED2" w:rsidRPr="0098629B" w:rsidRDefault="00631ED2" w:rsidP="00631ED2"/>
    <w:p w14:paraId="51457D3F" w14:textId="77777777" w:rsidR="00631ED2" w:rsidRPr="0098629B" w:rsidRDefault="00631ED2" w:rsidP="00631ED2">
      <w:r w:rsidRPr="0098629B">
        <w:t>Mandaté par le Ministère (pour produire les inventaires des émissions atmosphériques en France et pour renforcer les capacités de pays tiers), le Citepa</w:t>
      </w:r>
    </w:p>
    <w:p w14:paraId="71E2B3F3" w14:textId="77777777" w:rsidR="00631ED2" w:rsidRPr="0098629B" w:rsidRDefault="00631ED2" w:rsidP="00573042">
      <w:pPr>
        <w:pStyle w:val="ListParagraph"/>
        <w:numPr>
          <w:ilvl w:val="0"/>
          <w:numId w:val="47"/>
        </w:numPr>
      </w:pPr>
      <w:r w:rsidRPr="0098629B">
        <w:t>Dispose d’une bonne image à l’international au travers de ses travaux de renforcement / transfert de compétences dans les trois dernières années : Pakistan, Kazakhstan, Vietnam, Tchad, Nigeria, Niger, Zambie, Rwanda, Comores, Maroc, Tunisie, Algérie, Union pour la Méditerranée, Albanie, Serbie, Croatie, Colombie, etc.)</w:t>
      </w:r>
    </w:p>
    <w:p w14:paraId="211E6EDC" w14:textId="77777777" w:rsidR="00631ED2" w:rsidRPr="0098629B" w:rsidRDefault="00631ED2" w:rsidP="00573042">
      <w:pPr>
        <w:pStyle w:val="ListParagraph"/>
        <w:numPr>
          <w:ilvl w:val="0"/>
          <w:numId w:val="47"/>
        </w:numPr>
      </w:pPr>
      <w:r w:rsidRPr="0098629B">
        <w:t>Les pays clés à l’avenir sont : Maroc, Tunisie, autres pays du SEMED, Sénégal, Cote d’Ivoire, Niger, Nigeria, Rwanda, Cameroun, Kenya, Serbie/Croatie, Kazakhstan, Pakistan, Inde, Colombie, Ouzbekistan.</w:t>
      </w:r>
    </w:p>
    <w:p w14:paraId="278FB1E2" w14:textId="77777777" w:rsidR="00631ED2" w:rsidRPr="0098629B" w:rsidRDefault="00631ED2" w:rsidP="00631ED2"/>
    <w:p w14:paraId="4EA7FB46" w14:textId="6911FC0D" w:rsidR="00631ED2" w:rsidRPr="0098629B" w:rsidRDefault="00631ED2" w:rsidP="00631ED2">
      <w:r w:rsidRPr="0098629B">
        <w:t>Le Citepa est parfois sollicité par l’AFD/EF, le MEAE, ainsi que par la DGEC sur l’animation de clusters d’experts : a. GES (cluster francophone) ; b. PA</w:t>
      </w:r>
      <w:r w:rsidR="00F25018">
        <w:t xml:space="preserve"> (polluants atmosphériques)</w:t>
      </w:r>
      <w:r w:rsidRPr="0098629B">
        <w:t xml:space="preserve"> avec cobénéfices GES ; c. Chaine de la qualité de l’air avec Airparif.</w:t>
      </w:r>
    </w:p>
    <w:p w14:paraId="1D5F93E8" w14:textId="77777777" w:rsidR="00631ED2" w:rsidRPr="0098629B" w:rsidRDefault="00631ED2" w:rsidP="00631ED2">
      <w:r w:rsidRPr="0098629B">
        <w:t>Il participe aux réunions du réseau des opérateurs de la DAEI.</w:t>
      </w:r>
    </w:p>
    <w:p w14:paraId="6FF0EF30" w14:textId="604F7A49" w:rsidR="00401567" w:rsidRPr="0098629B" w:rsidRDefault="00401567" w:rsidP="0018240E">
      <w:pPr>
        <w:pStyle w:val="Titre2Niveau2"/>
      </w:pPr>
      <w:bookmarkStart w:id="272" w:name="_Toc138344638"/>
      <w:r w:rsidRPr="0098629B">
        <w:t>Le renforcement de capacité</w:t>
      </w:r>
      <w:bookmarkEnd w:id="272"/>
    </w:p>
    <w:p w14:paraId="798CD45F" w14:textId="77777777" w:rsidR="00631ED2" w:rsidRPr="0098629B" w:rsidRDefault="00631ED2" w:rsidP="00B04A7C">
      <w:pPr>
        <w:pStyle w:val="Titre3Niveau3"/>
      </w:pPr>
      <w:bookmarkStart w:id="273" w:name="_Toc122694299"/>
      <w:bookmarkStart w:id="274" w:name="_Toc138344639"/>
      <w:r w:rsidRPr="0098629B">
        <w:t>L’adaptation au changement climatique</w:t>
      </w:r>
      <w:bookmarkEnd w:id="273"/>
      <w:bookmarkEnd w:id="274"/>
    </w:p>
    <w:p w14:paraId="2ABC316E" w14:textId="77777777" w:rsidR="00631ED2" w:rsidRPr="0098629B" w:rsidRDefault="00631ED2" w:rsidP="00631ED2">
      <w:r w:rsidRPr="0098629B">
        <w:t>La France est engagée dans des projets visant à partager avec les pays en développement, sa propre expérience dans la planification des politiques d’adaptation. La France s’est en effet dotée d’une stratégie d’adaptation dès 2006. En 2011, un premier plan national d’adaptation a été publié. L’évaluation de ce plan national a été effectuée en 2015. Et en 2018, a été lancé le second plan national d’adaptation au changement climatique (PNACC-2).</w:t>
      </w:r>
    </w:p>
    <w:p w14:paraId="10C1189D" w14:textId="77777777" w:rsidR="00631ED2" w:rsidRPr="0098629B" w:rsidRDefault="00631ED2" w:rsidP="00631ED2"/>
    <w:p w14:paraId="5AD9F5BB" w14:textId="77777777" w:rsidR="00631ED2" w:rsidRPr="0098629B" w:rsidRDefault="00631ED2" w:rsidP="00631ED2">
      <w:r w:rsidRPr="0098629B">
        <w:t>Dans le cadre de la convention Services Climatiques signée en 2017 entre le Ministère de la Transition Ecologique et Solidaire et les principaux organismes de recherche dans la science du climat, le deuxième volet du 4ème axe de travail (WP4) porte sur un démonstrateur de service climatique pour l’agriculture de l’Afrique de l’Ouest. Dans un continent particulièrement vulnérable à la variabilité et aux changements climatiques, il s’agit de disposer d’outils efficaces de gestion, du risque climatique pour apporter une réelle plus-value aux stratégies d’adaptation.</w:t>
      </w:r>
    </w:p>
    <w:p w14:paraId="76B4F7B3" w14:textId="77777777" w:rsidR="00631ED2" w:rsidRPr="0098629B" w:rsidRDefault="00631ED2" w:rsidP="00B04A7C">
      <w:pPr>
        <w:pStyle w:val="Titre3Niveau3"/>
      </w:pPr>
      <w:bookmarkStart w:id="275" w:name="_Toc115454111"/>
      <w:bookmarkStart w:id="276" w:name="_Toc121390992"/>
      <w:bookmarkStart w:id="277" w:name="_Toc122694300"/>
      <w:bookmarkStart w:id="278" w:name="_Toc138344640"/>
      <w:r w:rsidRPr="0098629B">
        <w:t>Préparation et mise en œuvre des contributions prévues déterminées au niveau national (NDC)</w:t>
      </w:r>
      <w:bookmarkEnd w:id="275"/>
      <w:bookmarkEnd w:id="276"/>
      <w:bookmarkEnd w:id="277"/>
      <w:bookmarkEnd w:id="278"/>
    </w:p>
    <w:p w14:paraId="178F7608" w14:textId="77777777" w:rsidR="00631ED2" w:rsidRPr="0098629B" w:rsidRDefault="00631ED2" w:rsidP="00631ED2">
      <w:r w:rsidRPr="0098629B">
        <w:t>Depuis 2017, le programme AdaptAction du groupe AFD soutient des pays vulnérables dans la mise en œuvre de leurs stratégies d’adaptation, par une assistance technique et des activités de renforcement de capacités pour consolider leur gouvernance climat, mieux intégrer l’adaptation au changement climatique dans leurs politiques publiques et faire émerger des projets d’adaptation structurants.</w:t>
      </w:r>
    </w:p>
    <w:p w14:paraId="75AFC8E0" w14:textId="77777777" w:rsidR="00631ED2" w:rsidRPr="0098629B" w:rsidRDefault="00631ED2" w:rsidP="00631ED2"/>
    <w:p w14:paraId="73BA2D83" w14:textId="77777777" w:rsidR="00631ED2" w:rsidRPr="0098629B" w:rsidRDefault="00631ED2" w:rsidP="00631ED2">
      <w:r w:rsidRPr="0098629B">
        <w:t>La phase 1 du programme AdaptAction (30 millions € de 2017-2022) a déployé plus de 70 appuis dans 15 pays (Pays les Moins Avancés, Afrique, Petits Etats Insulaires). Le programme a dépassé en volume son objectif d’effet de levier sur le portefeuille de projets, permettant de catalyser le financement de 10 projets pour un total de 582 millions € financés ou co-financés par l’AFD, le Fonds Vert ou l’Union Européenne.</w:t>
      </w:r>
    </w:p>
    <w:p w14:paraId="4870E969" w14:textId="77777777" w:rsidR="00631ED2" w:rsidRPr="0098629B" w:rsidRDefault="00631ED2" w:rsidP="00631ED2"/>
    <w:p w14:paraId="2EB72D7F" w14:textId="77777777" w:rsidR="00631ED2" w:rsidRPr="0098629B" w:rsidRDefault="00631ED2" w:rsidP="00631ED2">
      <w:r w:rsidRPr="0098629B">
        <w:t>Pour la phase 2 (15 millions € de 2022 à 2025), le périmètre du programme est recentré sur l’Afrique avec 12 pays partenaires. La phase 2 a pour objectif de renforcer la résilience des populations et des écosystèmes au travers d’un triptyque comprendre/planifier/investir et de 2 composantes transversales :</w:t>
      </w:r>
    </w:p>
    <w:p w14:paraId="44593E7F" w14:textId="77777777" w:rsidR="00631ED2" w:rsidRPr="0098629B" w:rsidRDefault="00631ED2" w:rsidP="00573042">
      <w:pPr>
        <w:pStyle w:val="ListParagraph"/>
        <w:numPr>
          <w:ilvl w:val="0"/>
          <w:numId w:val="48"/>
        </w:numPr>
      </w:pPr>
      <w:r w:rsidRPr="0098629B">
        <w:t>L’axe 1 – « Comprendre » soutient des travaux de recherche opérationnelle sur les dimensions humaines du climat, pour favoriser la traduction des sciences du climat en politiques publiques et en actions ;</w:t>
      </w:r>
    </w:p>
    <w:p w14:paraId="2EBF746A" w14:textId="77777777" w:rsidR="00631ED2" w:rsidRPr="0098629B" w:rsidRDefault="00631ED2" w:rsidP="00573042">
      <w:pPr>
        <w:pStyle w:val="ListParagraph"/>
        <w:numPr>
          <w:ilvl w:val="0"/>
          <w:numId w:val="48"/>
        </w:numPr>
      </w:pPr>
      <w:r w:rsidRPr="0098629B">
        <w:t>L’axe 2 – « Planifier » vise à une meilleure intégration de l’adaptation dans les dispositifs de gouvernance et les stratégies sectorielles de politiques publiques ;</w:t>
      </w:r>
    </w:p>
    <w:p w14:paraId="01E1DE07" w14:textId="77777777" w:rsidR="00631ED2" w:rsidRPr="0098629B" w:rsidRDefault="00631ED2" w:rsidP="00573042">
      <w:pPr>
        <w:pStyle w:val="ListParagraph"/>
        <w:numPr>
          <w:ilvl w:val="0"/>
          <w:numId w:val="48"/>
        </w:numPr>
      </w:pPr>
      <w:r w:rsidRPr="0098629B">
        <w:t xml:space="preserve">L’axe 3 – « Investir » produit des études de vulnérabilités et études de faisabilité de projets, pour contribuer à l’émergence de projets d’adaptation plus robustes. </w:t>
      </w:r>
    </w:p>
    <w:p w14:paraId="510F6C03" w14:textId="77777777" w:rsidR="00631ED2" w:rsidRPr="0098629B" w:rsidRDefault="00631ED2" w:rsidP="00573042">
      <w:pPr>
        <w:pStyle w:val="ListParagraph"/>
        <w:numPr>
          <w:ilvl w:val="0"/>
          <w:numId w:val="48"/>
        </w:numPr>
      </w:pPr>
      <w:r w:rsidRPr="0098629B">
        <w:t xml:space="preserve">Une composante transversale dédiée à une meilleure appréhension du genre et de l’inclusion sociale dans l’ensemble des axes (mobilisation d’expertises dédiées, renforcement de capacités, déploiement d’activités spécifiques).  </w:t>
      </w:r>
    </w:p>
    <w:p w14:paraId="57AF9525" w14:textId="77777777" w:rsidR="00631ED2" w:rsidRPr="0098629B" w:rsidRDefault="00631ED2" w:rsidP="00573042">
      <w:pPr>
        <w:pStyle w:val="ListParagraph"/>
        <w:numPr>
          <w:ilvl w:val="0"/>
          <w:numId w:val="48"/>
        </w:numPr>
      </w:pPr>
      <w:r w:rsidRPr="0098629B">
        <w:t xml:space="preserve">Une composante transversale dédiée au </w:t>
      </w:r>
      <w:r w:rsidRPr="0098629B">
        <w:rPr>
          <w:i/>
        </w:rPr>
        <w:t>knowledge management</w:t>
      </w:r>
      <w:r w:rsidRPr="0098629B">
        <w:t xml:space="preserve"> et à la valorisation des savoirs ; elle contribuera à la capitalisation et aux échanges de savoirs et bonnes pratiques Nord-Sud, Sud-Sud mais aussi Sud-Nord (contributeur d’une communauté de savoirs et de pratiques). </w:t>
      </w:r>
    </w:p>
    <w:p w14:paraId="05F9860F" w14:textId="77777777" w:rsidR="00631ED2" w:rsidRPr="0098629B" w:rsidRDefault="00631ED2" w:rsidP="00631ED2"/>
    <w:p w14:paraId="5098AA37" w14:textId="77777777" w:rsidR="00631ED2" w:rsidRPr="0098629B" w:rsidRDefault="00631ED2" w:rsidP="00631ED2">
      <w:r w:rsidRPr="0098629B">
        <w:t>La phase 2 d’AdaptAction vise ainsi à être un laboratoire ou système apprenant pour mieux formaliser et structurer les approches innovantes de l’adaptation, en particulier les liens entre climat, biodiversité, et société.</w:t>
      </w:r>
    </w:p>
    <w:p w14:paraId="0BC6E5BD" w14:textId="77777777" w:rsidR="00631ED2" w:rsidRPr="0098629B" w:rsidRDefault="00631ED2" w:rsidP="00631ED2"/>
    <w:p w14:paraId="68682A65" w14:textId="77777777" w:rsidR="00631ED2" w:rsidRPr="0098629B" w:rsidRDefault="00631ED2" w:rsidP="00631ED2">
      <w:pPr>
        <w:rPr>
          <w:lang w:eastAsia="zh-CN"/>
        </w:rPr>
      </w:pPr>
      <w:r w:rsidRPr="0098629B">
        <w:t>Une extension à 6 pays du bassin Méditerranéen (7,5 M€), en partenariat avec UNCDF-LoCAL, a été annoncée à la COP27, dont un financement de 6 M€ de l’Union Européenne. Ce partenariat permettra de favoriser l’alignement des stratégies et investissements d’adaptation entre l’échelle nationale et l’échelle locale jusqu’aux populations les plus vulnérables (intégration verticale de l’adaptation).</w:t>
      </w:r>
    </w:p>
    <w:p w14:paraId="7F2F615E" w14:textId="77777777" w:rsidR="00631ED2" w:rsidRPr="0098629B" w:rsidRDefault="00631ED2" w:rsidP="00B04A7C">
      <w:pPr>
        <w:pStyle w:val="Titre3Niveau3"/>
      </w:pPr>
      <w:bookmarkStart w:id="279" w:name="_Toc122694301"/>
      <w:bookmarkStart w:id="280" w:name="_Toc138344641"/>
      <w:bookmarkStart w:id="281" w:name="_Toc115454112"/>
      <w:bookmarkStart w:id="282" w:name="_Toc121390993"/>
      <w:r w:rsidRPr="0098629B">
        <w:t>Mise en place d’un système national de rapportage (inventaire de GES, projections, mesures d’atténuation, adaptation)</w:t>
      </w:r>
      <w:bookmarkEnd w:id="279"/>
      <w:bookmarkEnd w:id="280"/>
      <w:r w:rsidRPr="0098629B">
        <w:t xml:space="preserve"> </w:t>
      </w:r>
      <w:bookmarkEnd w:id="281"/>
      <w:bookmarkEnd w:id="282"/>
    </w:p>
    <w:p w14:paraId="57B75CF1" w14:textId="77777777" w:rsidR="00631ED2" w:rsidRPr="0098629B" w:rsidRDefault="00631ED2" w:rsidP="00631ED2">
      <w:pPr>
        <w:spacing w:before="240" w:after="240"/>
      </w:pPr>
      <w:r w:rsidRPr="0098629B">
        <w:t xml:space="preserve">La France participe depuis 2014, techniquement et financièrement, aux activités du « Cluster francophone » en cofinançant avec la Belgique, la Suisse et l’Allemagne des ateliers de renforcement de capacité à l’intention des pays en développement francophones. Le Cluster francophone est une initiative du Partenariat pour la transparence dans l’Accord de Paris. Il a été créé suite à l’atelier francophone pour l'Afrique sur les enjeux de Mesure, Rapportage et Vérification (MRV) tenu à Gammarth, Tunisie, les 17 et 18 décembre 2013. Il a pour but de permettre des échanges d'informations, d’expertises et d’expériences entre partenaires francophones, pays en voie de développement et pays développés, concernant les inventaires de GES, le développement de mesures d’atténuation, le processus MRV et la formulation des contributions déterminées au niveau national (CDN ou NDC en anglais pour Nationally Determined Contribution). </w:t>
      </w:r>
    </w:p>
    <w:p w14:paraId="307564E4" w14:textId="7BE9DDDF" w:rsidR="00631ED2" w:rsidRPr="0098629B" w:rsidRDefault="00631ED2" w:rsidP="00631ED2">
      <w:pPr>
        <w:spacing w:before="240" w:after="240"/>
      </w:pPr>
      <w:r w:rsidRPr="0098629B">
        <w:t xml:space="preserve">Plusieurs ateliers ont été organisés depuis 2013 (voir http://mitigationpartnership.net/cluster-francophone). Un side event de présentation du retour d’expérience de ces ateliers a eu lieu lors de la COP21 de Paris. En 2015, deux ateliers ont eu lieu (Paris, Rabat) ; en 2016, deux ateliers se sont également déroulés à Abidjan ainsi qu’à Casablanca, et un atelier a été organisé à Rome en 2017 pendant une semaine. En 2018, l’atelier a été organisé au Cameroun sur la Mesure et l’Evaluation des mesures d’adaptation. En 2019, l’atelier de Saly au Sénégal a rassemblé 65 participants de 20 pays africains francophones en développement afin de comprendre comment réussir la mise en œuvre des lignes directrices 2006 du GIEC dans les secteurs de l’« Agriculture, foresterie et autres affections des terres » (AFAT) et du traitement des déchets dans le but de soumettre les rapports biennaux actualisés (Biennial Update Report ou BUR en Anglais) et les futurs rapports de biennaux de transparence (BTR – Biennial Transparency Report) et de stimuler la mise en œuvre des CDN. Le CITEPA, opérateur public d'expertise reconnue au plan mondial, spécialiste des inventaires français depuis leur genèse, est un acteur majeur du cluster francophone et anime ces ateliers dont le prochain est en cours de préparation afin d’appuyer les pays dans la mise à jour et le rehaussement de leur CDN pour la COP26 qui </w:t>
      </w:r>
      <w:r w:rsidR="00F25018">
        <w:t>a</w:t>
      </w:r>
      <w:r w:rsidRPr="0098629B">
        <w:t xml:space="preserve"> </w:t>
      </w:r>
      <w:r w:rsidR="00F25018">
        <w:t xml:space="preserve">eu </w:t>
      </w:r>
      <w:r w:rsidRPr="0098629B">
        <w:t>lieu à Glasgow en 2020.</w:t>
      </w:r>
    </w:p>
    <w:p w14:paraId="22AC426A" w14:textId="77777777" w:rsidR="00631ED2" w:rsidRPr="0098629B" w:rsidRDefault="00631ED2" w:rsidP="00B04A7C">
      <w:pPr>
        <w:pStyle w:val="Titre3Niveau3"/>
      </w:pPr>
      <w:bookmarkStart w:id="283" w:name="_Toc115454113"/>
      <w:bookmarkStart w:id="284" w:name="_Toc121390994"/>
      <w:bookmarkStart w:id="285" w:name="_Toc122694302"/>
      <w:bookmarkStart w:id="286" w:name="_Toc138344642"/>
      <w:r w:rsidRPr="0098629B">
        <w:t>Appui de la France à la mise en place d’un système national d’inventaire de GES en Algérie</w:t>
      </w:r>
      <w:bookmarkEnd w:id="283"/>
      <w:bookmarkEnd w:id="284"/>
      <w:bookmarkEnd w:id="285"/>
      <w:bookmarkEnd w:id="286"/>
      <w:r w:rsidRPr="0098629B">
        <w:t xml:space="preserve"> </w:t>
      </w:r>
    </w:p>
    <w:p w14:paraId="457CB034" w14:textId="77777777" w:rsidR="00631ED2" w:rsidRPr="0098629B" w:rsidRDefault="00631ED2" w:rsidP="00631ED2">
      <w:pPr>
        <w:spacing w:before="240" w:after="240"/>
      </w:pPr>
      <w:r w:rsidRPr="0098629B">
        <w:t>Le Ministère de l’Europe et des Affaires Etrangères français, représenté par l’Ambassade de France en Algérie, cofinance un appui des instances algériennes dont l’Agence Nationale du Changement Climatique (ANCC) et le Ministère de l’environnement. Cet appui qui a débuté en 2018 est réalisé par le CITEPA en tant qu’Opérateur d’Etat et porte sur l’institutionnalisation du système national d’inventaire de GES, la formation des experts algériens aux méthodes d’inventaire de GES sur la base des lignes directrices 2006 du GIEC, leur accompagnement dans la mise en œuvre des calculs d’émissions pour tous les secteurs sur des séries temporelles longues. Ces travaux pourront être utilisés dans les exercices en cours d’élaboration de la Communication Nationale et du RBA ainsi que dans la révision de la CDN.</w:t>
      </w:r>
    </w:p>
    <w:p w14:paraId="5B80909B" w14:textId="77777777" w:rsidR="00631ED2" w:rsidRPr="0098629B" w:rsidRDefault="00631ED2" w:rsidP="00B04A7C">
      <w:pPr>
        <w:pStyle w:val="Titre3Niveau3"/>
      </w:pPr>
      <w:bookmarkStart w:id="287" w:name="_Toc122694303"/>
      <w:bookmarkStart w:id="288" w:name="_Toc138344643"/>
      <w:bookmarkStart w:id="289" w:name="_Toc115454114"/>
      <w:bookmarkStart w:id="290" w:name="_Toc121390995"/>
      <w:r w:rsidRPr="0098629B">
        <w:t>Logiciel de MRV des émissions de polluants atmosphériques et de GES</w:t>
      </w:r>
      <w:r w:rsidRPr="0098629B">
        <w:rPr>
          <w:rFonts w:ascii="Calibri" w:hAnsi="Calibri" w:cs="Calibri"/>
        </w:rPr>
        <w:t> </w:t>
      </w:r>
      <w:r w:rsidRPr="0098629B">
        <w:t>: RISQ</w:t>
      </w:r>
      <w:bookmarkEnd w:id="287"/>
      <w:bookmarkEnd w:id="288"/>
      <w:r w:rsidRPr="0098629B">
        <w:t xml:space="preserve"> </w:t>
      </w:r>
      <w:bookmarkEnd w:id="289"/>
      <w:bookmarkEnd w:id="290"/>
    </w:p>
    <w:p w14:paraId="6E3882B7" w14:textId="77777777" w:rsidR="00631ED2" w:rsidRPr="0098629B" w:rsidRDefault="00631ED2" w:rsidP="00631ED2">
      <w:pPr>
        <w:spacing w:before="240" w:after="240"/>
      </w:pPr>
      <w:r w:rsidRPr="0098629B">
        <w:t>Développé par le CITEPA et personnalisé pour implémentation dans les pays émergents et en développement. Cet outil existe en trois versions Excel, Access et Web. Il contribue à la transparence, exactitude, fiabilité, couverture et cohérence des inventaires nationaux</w:t>
      </w:r>
      <w:r w:rsidRPr="0098629B">
        <w:rPr>
          <w:rFonts w:ascii="Calibri" w:hAnsi="Calibri" w:cs="Calibri"/>
        </w:rPr>
        <w:t> </w:t>
      </w:r>
      <w:r w:rsidRPr="0098629B">
        <w:t xml:space="preserve">; </w:t>
      </w:r>
      <w:r w:rsidRPr="0098629B">
        <w:rPr>
          <w:rFonts w:cs="Marianne"/>
        </w:rPr>
        <w:t>à</w:t>
      </w:r>
      <w:r w:rsidRPr="0098629B">
        <w:t xml:space="preserve"> la durabilité des actions de renforcement des capacités des pays du sud</w:t>
      </w:r>
      <w:r w:rsidRPr="0098629B">
        <w:rPr>
          <w:rFonts w:ascii="Calibri" w:hAnsi="Calibri" w:cs="Calibri"/>
        </w:rPr>
        <w:t> </w:t>
      </w:r>
      <w:r w:rsidRPr="0098629B">
        <w:t xml:space="preserve">; enfin </w:t>
      </w:r>
      <w:r w:rsidRPr="0098629B">
        <w:rPr>
          <w:rFonts w:cs="Marianne"/>
        </w:rPr>
        <w:t>à</w:t>
      </w:r>
      <w:r w:rsidRPr="0098629B">
        <w:t xml:space="preserve"> la scalabilit</w:t>
      </w:r>
      <w:r w:rsidRPr="0098629B">
        <w:rPr>
          <w:rFonts w:cs="Marianne"/>
        </w:rPr>
        <w:t>é</w:t>
      </w:r>
      <w:r w:rsidRPr="0098629B">
        <w:t xml:space="preserve"> de leur mesure, rapportage et de v</w:t>
      </w:r>
      <w:r w:rsidRPr="0098629B">
        <w:rPr>
          <w:rFonts w:cs="Marianne"/>
        </w:rPr>
        <w:t>é</w:t>
      </w:r>
      <w:r w:rsidRPr="0098629B">
        <w:t xml:space="preserve">rification (des nations aux villes, des nations </w:t>
      </w:r>
      <w:r w:rsidRPr="0098629B">
        <w:rPr>
          <w:rFonts w:cs="Marianne"/>
        </w:rPr>
        <w:t>à</w:t>
      </w:r>
      <w:r w:rsidRPr="0098629B">
        <w:t xml:space="preserve"> leurs voisines). RISQ a </w:t>
      </w:r>
      <w:r w:rsidRPr="0098629B">
        <w:rPr>
          <w:rFonts w:cs="Marianne"/>
        </w:rPr>
        <w:t>é</w:t>
      </w:r>
      <w:r w:rsidRPr="0098629B">
        <w:t>t</w:t>
      </w:r>
      <w:r w:rsidRPr="0098629B">
        <w:rPr>
          <w:rFonts w:cs="Marianne"/>
        </w:rPr>
        <w:t>é</w:t>
      </w:r>
      <w:r w:rsidRPr="0098629B">
        <w:t xml:space="preserve"> impl</w:t>
      </w:r>
      <w:r w:rsidRPr="0098629B">
        <w:rPr>
          <w:rFonts w:cs="Marianne"/>
        </w:rPr>
        <w:t>é</w:t>
      </w:r>
      <w:r w:rsidRPr="0098629B">
        <w:t>ment</w:t>
      </w:r>
      <w:r w:rsidRPr="0098629B">
        <w:rPr>
          <w:rFonts w:cs="Marianne"/>
        </w:rPr>
        <w:t>é</w:t>
      </w:r>
      <w:r w:rsidRPr="0098629B">
        <w:t xml:space="preserve"> ou le sera en France, Maroc, Nig</w:t>
      </w:r>
      <w:r w:rsidRPr="0098629B">
        <w:rPr>
          <w:rFonts w:cs="Marianne"/>
        </w:rPr>
        <w:t>é</w:t>
      </w:r>
      <w:r w:rsidRPr="0098629B">
        <w:t>ria, Niger, Rwanda, Tunisie, Algérie et Monaco. (Développement sur autofinancement du Citepa)</w:t>
      </w:r>
    </w:p>
    <w:p w14:paraId="08FBA2B7" w14:textId="77777777" w:rsidR="00631ED2" w:rsidRPr="0098629B" w:rsidRDefault="00631ED2" w:rsidP="00B04A7C">
      <w:pPr>
        <w:pStyle w:val="Titre3Niveau3"/>
      </w:pPr>
      <w:bookmarkStart w:id="291" w:name="_Toc115454115"/>
      <w:bookmarkStart w:id="292" w:name="_Toc121390996"/>
      <w:bookmarkStart w:id="293" w:name="_Toc122694304"/>
      <w:bookmarkStart w:id="294" w:name="_Toc138344644"/>
      <w:r w:rsidRPr="0098629B">
        <w:t>Le centre franco-chinois avec le CRAES</w:t>
      </w:r>
      <w:bookmarkEnd w:id="291"/>
      <w:bookmarkEnd w:id="292"/>
      <w:bookmarkEnd w:id="293"/>
      <w:bookmarkEnd w:id="294"/>
    </w:p>
    <w:p w14:paraId="389E0040" w14:textId="41CB4115" w:rsidR="00631ED2" w:rsidRPr="0098629B" w:rsidRDefault="00631ED2" w:rsidP="00631ED2">
      <w:pPr>
        <w:spacing w:before="240" w:after="240"/>
      </w:pPr>
      <w:r w:rsidRPr="0098629B">
        <w:t xml:space="preserve">Le CITEPA et son partenaire chinois le CRAES, qui dépend du ministère du contrôle des polluants, se sont rencontrés pour la première fois à Pékin en 2014. Ils ont signé le 1er août 2015 un accord-cadre sur 5 ans afin d’intégrer GES et polluants pour permettre une synergie entre qualité de l’air en ville et lutte contre le changement climatique. Cette collaboration fondée sur la connaissance, la quantification, le rapportage et les projections des émissions en Chine vise à une intégration progressive des problématiques air-climat-énergie. Un rapport a été publié en 2015 sur les fruits de ce travail commun, qui a abouti à la création du centre franco-chinois des polluants, des émissions de GES et de leur réduction. Le centre promeut les bonnes pratiques en matière d’inventaire d’émissions de GES, de mesure, de rapportage et de vérification, au service des politiques publiques. Ces actions ont été présentées lors d’un side-event spécifique lors de la 5ème conférence internationale franco-chinoise sur l’environnement atmosphérique, qui a eu lieu à Xi’an en octobre 2016. Un atelier a également eu lieu à Paris, en mai 2017. En 2019, ce partenariat a été complété par la venue du NTSC, division du MEE chinois, et responsable de la NDC de Chine. En 2019-2020, il est prévu de faire la démonstration d’une approche intégrée des rapportages et politiques et mesures climat et pollution atmosphérique, dans deux provinces (dont la Mongolie intérieure). Ce pilote, mobilisant deux logiciels RISQ régionaux, a été présenté pour demande de financement, en mars 2019 à la Banque Asiatique du développement (AsDB – Asian Development Bank).  </w:t>
      </w:r>
    </w:p>
    <w:p w14:paraId="207C72D1" w14:textId="2B3A59C9" w:rsidR="00631ED2" w:rsidRPr="0098629B" w:rsidRDefault="00631ED2" w:rsidP="00631ED2">
      <w:pPr>
        <w:spacing w:before="240" w:after="240"/>
      </w:pPr>
      <w:r w:rsidRPr="0098629B">
        <w:t xml:space="preserve">Une nouvelle présentation du logiciel RISQ, pour application en différents pays d’Asie </w:t>
      </w:r>
      <w:r w:rsidR="00F25018">
        <w:t>a eu lieu</w:t>
      </w:r>
      <w:r w:rsidRPr="0098629B">
        <w:t xml:space="preserve"> au premier semestre 2020. Ce projet est mené sur autofinancement du CITEPA.</w:t>
      </w:r>
    </w:p>
    <w:p w14:paraId="614D6E0D" w14:textId="77777777" w:rsidR="00631ED2" w:rsidRPr="0098629B" w:rsidRDefault="00631ED2" w:rsidP="00B04A7C">
      <w:pPr>
        <w:pStyle w:val="Titre3Niveau3"/>
      </w:pPr>
      <w:bookmarkStart w:id="295" w:name="_Toc115454116"/>
      <w:bookmarkStart w:id="296" w:name="_Toc121390997"/>
      <w:bookmarkStart w:id="297" w:name="_Toc122694305"/>
      <w:bookmarkStart w:id="298" w:name="_Toc138344645"/>
      <w:r w:rsidRPr="0098629B">
        <w:t>Le rôle de l’ADEME</w:t>
      </w:r>
      <w:bookmarkEnd w:id="295"/>
      <w:bookmarkEnd w:id="296"/>
      <w:bookmarkEnd w:id="297"/>
      <w:bookmarkEnd w:id="298"/>
    </w:p>
    <w:p w14:paraId="7283D66A" w14:textId="355EEBE2" w:rsidR="00631ED2" w:rsidRPr="0098629B" w:rsidRDefault="00631ED2" w:rsidP="00631ED2">
      <w:pPr>
        <w:spacing w:before="240" w:after="240"/>
      </w:pPr>
      <w:r w:rsidRPr="0098629B">
        <w:t>Au niveau national</w:t>
      </w:r>
      <w:r w:rsidR="00F25018">
        <w:t>,</w:t>
      </w:r>
      <w:r w:rsidRPr="0098629B">
        <w:t xml:space="preserve"> l’ADEME accompagne le renforcement de capacité des collectivités territoriales sur le changement climatique. Cette expertise a été partagé</w:t>
      </w:r>
      <w:r w:rsidR="00F733A2">
        <w:t>e</w:t>
      </w:r>
      <w:r w:rsidRPr="0098629B">
        <w:t xml:space="preserve"> au niveau international dans des programmes de renforcement de capacité des collectivités de l’Afrique subsaharienne. En partenariat avec la Commission européenne l’ADEME a contribué aux travaux de la Convention des Maires pour l’Afrique subsaharienne (Com SSA). En partenariat avec l’Association Internationale des Maires Francophones (AIMF) elle accompagne le développement Réseau des Femmes Elues Locales d’Afrique (REFELA). Enfin, l’ADEME accompagne l’organisation panafricaine Cités et gouvernements locaux unis d’Afrique (CGLU – Afrique) et son Académie Africaine des Collectivités Territoriales (ALGA).</w:t>
      </w:r>
    </w:p>
    <w:p w14:paraId="46C59DB7" w14:textId="77777777" w:rsidR="00631ED2" w:rsidRPr="0098629B" w:rsidRDefault="00631ED2" w:rsidP="00631ED2">
      <w:pPr>
        <w:spacing w:before="240" w:after="240"/>
      </w:pPr>
      <w:r w:rsidRPr="0098629B">
        <w:t>L’ADEME contribue aussi à l’initiative multilatérale Mobilise Your City qui vise la montée en compétences des collectivités territoriales sur la mobilité urbaine durable.</w:t>
      </w:r>
    </w:p>
    <w:p w14:paraId="26403D0A" w14:textId="77777777" w:rsidR="00631ED2" w:rsidRPr="0098629B" w:rsidRDefault="00631ED2" w:rsidP="00631ED2">
      <w:pPr>
        <w:spacing w:before="240" w:after="240"/>
      </w:pPr>
      <w:r w:rsidRPr="0098629B">
        <w:t>En parallèle aux appels à projets 2017 et 2019 sur l’accès à l’énergie renouvelable hors réseau, l’ADEME a animé avec le Syndicat des Energies Renouvelables, un groupe de travail des acteurs français de l’offre. Cette animation, de 2018 à 2022, a permis de développer une vision commune pour les acteurs français de l’accès à l’énergie, élaborer des propositions pour lever les verrous auxquels ces acteurs sont confrontés, et promouvoir le savoir-faire français à l’international. Leurs propositions pour accélérer l’accès universel à des services énergétiques durables hors réseau sont proposés dans un Livre Blanc publié en 2020.</w:t>
      </w:r>
    </w:p>
    <w:p w14:paraId="7CF7DB80" w14:textId="694A415E" w:rsidR="00401567" w:rsidRDefault="00631ED2" w:rsidP="00631ED2">
      <w:pPr>
        <w:spacing w:before="240" w:after="240"/>
        <w:rPr>
          <w:rFonts w:ascii="Times New Roman" w:hAnsi="Times New Roman"/>
        </w:rPr>
      </w:pPr>
      <w:r w:rsidRPr="0098629B">
        <w:t>La table CTF9 présente quelques initiatives de renforcement de capacité.</w:t>
      </w:r>
      <w:r w:rsidR="00401567" w:rsidRPr="0098629B">
        <w:rPr>
          <w:rFonts w:ascii="Times New Roman" w:hAnsi="Times New Roman"/>
        </w:rPr>
        <w:t xml:space="preserve"> </w:t>
      </w:r>
    </w:p>
    <w:p w14:paraId="60BA9501" w14:textId="60C0F2EE" w:rsidR="00C32D55" w:rsidRDefault="00C32D55" w:rsidP="00631ED2">
      <w:pPr>
        <w:spacing w:before="240" w:after="240"/>
        <w:rPr>
          <w:rFonts w:ascii="Times New Roman" w:hAnsi="Times New Roman"/>
        </w:rPr>
      </w:pPr>
    </w:p>
    <w:p w14:paraId="653472A5" w14:textId="2EC71235" w:rsidR="00C32D55" w:rsidRDefault="00C32D55" w:rsidP="00573042">
      <w:pPr>
        <w:pStyle w:val="Titre3Niveau3"/>
      </w:pPr>
      <w:bookmarkStart w:id="299" w:name="_Toc138344646"/>
      <w:r w:rsidRPr="0098629B">
        <w:t>Le rôle de l’</w:t>
      </w:r>
      <w:r>
        <w:t>AFD</w:t>
      </w:r>
      <w:bookmarkEnd w:id="299"/>
    </w:p>
    <w:p w14:paraId="357F28DE" w14:textId="755A476D" w:rsidR="00C32D55" w:rsidRPr="0098629B" w:rsidRDefault="00C32D55" w:rsidP="00631ED2">
      <w:pPr>
        <w:spacing w:before="240" w:after="240"/>
        <w:sectPr w:rsidR="00C32D55" w:rsidRPr="0098629B" w:rsidSect="00896B85">
          <w:pgSz w:w="11906" w:h="16838"/>
          <w:pgMar w:top="1417" w:right="1417" w:bottom="1645" w:left="1417" w:header="0" w:footer="227" w:gutter="0"/>
          <w:cols w:space="720"/>
          <w:formProt w:val="0"/>
          <w:docGrid w:linePitch="360" w:charSpace="-6145"/>
        </w:sectPr>
      </w:pPr>
      <w:r w:rsidRPr="00C32D55">
        <w:t>L'AFD fournit une assistance technique à travers des programmes spécifiques tels que AdaptAction Facility, et à travers des subventions d'assistance technique en plus des prêts souverains et non souverains.</w:t>
      </w:r>
    </w:p>
    <w:p w14:paraId="4BACB709" w14:textId="6501428F" w:rsidR="00401567" w:rsidRPr="0098629B" w:rsidRDefault="00C246BC" w:rsidP="00C246BC">
      <w:pPr>
        <w:pStyle w:val="Caption"/>
      </w:pPr>
      <w:bookmarkStart w:id="300" w:name="_Toc123916667"/>
      <w:r w:rsidRPr="0098629B">
        <w:t xml:space="preserve">Tableau </w:t>
      </w:r>
      <w:fldSimple w:instr=" SEQ Tableau \* ARABIC ">
        <w:r w:rsidR="00677B3C">
          <w:rPr>
            <w:noProof/>
          </w:rPr>
          <w:t>32</w:t>
        </w:r>
      </w:fldSimple>
      <w:r w:rsidRPr="0098629B">
        <w:t xml:space="preserve"> : </w:t>
      </w:r>
      <w:r w:rsidR="00401567" w:rsidRPr="0098629B">
        <w:t>Table CTF9 </w:t>
      </w:r>
      <w:r w:rsidRPr="0098629B">
        <w:t xml:space="preserve">– </w:t>
      </w:r>
      <w:r w:rsidR="00401567" w:rsidRPr="0098629B">
        <w:t>Programme</w:t>
      </w:r>
      <w:r w:rsidRPr="0098629B">
        <w:t xml:space="preserve"> </w:t>
      </w:r>
      <w:r w:rsidR="00401567" w:rsidRPr="0098629B">
        <w:t>et projets de renforcement de capacité</w:t>
      </w:r>
      <w:bookmarkEnd w:id="300"/>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30" w:type="dxa"/>
          <w:bottom w:w="57" w:type="dxa"/>
          <w:right w:w="30" w:type="dxa"/>
        </w:tblCellMar>
        <w:tblLook w:val="0000" w:firstRow="0" w:lastRow="0" w:firstColumn="0" w:lastColumn="0" w:noHBand="0" w:noVBand="0"/>
      </w:tblPr>
      <w:tblGrid>
        <w:gridCol w:w="1961"/>
        <w:gridCol w:w="1881"/>
        <w:gridCol w:w="2249"/>
        <w:gridCol w:w="8646"/>
      </w:tblGrid>
      <w:tr w:rsidR="00401567" w:rsidRPr="0098629B" w14:paraId="4DA71095" w14:textId="77777777" w:rsidTr="00896B85">
        <w:trPr>
          <w:cantSplit/>
          <w:trHeight w:val="20"/>
          <w:tblHeader/>
        </w:trPr>
        <w:tc>
          <w:tcPr>
            <w:tcW w:w="0" w:type="auto"/>
            <w:shd w:val="clear" w:color="auto" w:fill="EEECE1" w:themeFill="background2"/>
          </w:tcPr>
          <w:p w14:paraId="3BF69FB9" w14:textId="77777777" w:rsidR="00401567" w:rsidRPr="0098629B" w:rsidRDefault="00401567" w:rsidP="00896B85">
            <w:pPr>
              <w:autoSpaceDE w:val="0"/>
              <w:autoSpaceDN w:val="0"/>
              <w:adjustRightInd w:val="0"/>
              <w:rPr>
                <w:rFonts w:ascii="Arial" w:eastAsiaTheme="minorHAnsi" w:hAnsi="Arial" w:cs="Arial"/>
                <w:b/>
                <w:bCs/>
                <w:sz w:val="20"/>
                <w:szCs w:val="20"/>
                <w:lang w:eastAsia="en-US"/>
              </w:rPr>
            </w:pPr>
            <w:r w:rsidRPr="0098629B">
              <w:rPr>
                <w:rFonts w:ascii="Arial" w:eastAsiaTheme="minorHAnsi" w:hAnsi="Arial" w:cs="Arial"/>
                <w:b/>
                <w:bCs/>
                <w:sz w:val="20"/>
                <w:szCs w:val="20"/>
                <w:lang w:eastAsia="en-US"/>
              </w:rPr>
              <w:t>Bénéficiaire Pays/ Region</w:t>
            </w:r>
          </w:p>
        </w:tc>
        <w:tc>
          <w:tcPr>
            <w:tcW w:w="0" w:type="auto"/>
            <w:shd w:val="clear" w:color="auto" w:fill="EEECE1" w:themeFill="background2"/>
          </w:tcPr>
          <w:p w14:paraId="7F5A52AC" w14:textId="77777777" w:rsidR="00401567" w:rsidRPr="0098629B" w:rsidRDefault="00401567" w:rsidP="00896B85">
            <w:pPr>
              <w:autoSpaceDE w:val="0"/>
              <w:autoSpaceDN w:val="0"/>
              <w:adjustRightInd w:val="0"/>
              <w:rPr>
                <w:rFonts w:ascii="Arial" w:eastAsiaTheme="minorHAnsi" w:hAnsi="Arial" w:cs="Arial"/>
                <w:b/>
                <w:bCs/>
                <w:sz w:val="20"/>
                <w:szCs w:val="20"/>
                <w:lang w:eastAsia="en-US"/>
              </w:rPr>
            </w:pPr>
            <w:r w:rsidRPr="0098629B">
              <w:rPr>
                <w:rFonts w:ascii="Arial" w:eastAsiaTheme="minorHAnsi" w:hAnsi="Arial" w:cs="Arial"/>
                <w:b/>
                <w:bCs/>
                <w:sz w:val="20"/>
                <w:szCs w:val="20"/>
                <w:lang w:eastAsia="en-US"/>
              </w:rPr>
              <w:t>Champ</w:t>
            </w:r>
          </w:p>
        </w:tc>
        <w:tc>
          <w:tcPr>
            <w:tcW w:w="2249" w:type="dxa"/>
            <w:shd w:val="clear" w:color="auto" w:fill="EEECE1" w:themeFill="background2"/>
          </w:tcPr>
          <w:p w14:paraId="472281DA" w14:textId="77777777" w:rsidR="00401567" w:rsidRPr="0098629B" w:rsidRDefault="00401567" w:rsidP="00896B85">
            <w:pPr>
              <w:autoSpaceDE w:val="0"/>
              <w:autoSpaceDN w:val="0"/>
              <w:adjustRightInd w:val="0"/>
              <w:rPr>
                <w:rFonts w:ascii="Arial" w:eastAsiaTheme="minorHAnsi" w:hAnsi="Arial" w:cs="Arial"/>
                <w:b/>
                <w:bCs/>
                <w:sz w:val="20"/>
                <w:szCs w:val="20"/>
                <w:lang w:eastAsia="en-US"/>
              </w:rPr>
            </w:pPr>
            <w:r w:rsidRPr="0098629B">
              <w:rPr>
                <w:rFonts w:ascii="Arial" w:eastAsiaTheme="minorHAnsi" w:hAnsi="Arial" w:cs="Arial"/>
                <w:b/>
                <w:bCs/>
                <w:sz w:val="20"/>
                <w:szCs w:val="20"/>
                <w:lang w:eastAsia="en-US"/>
              </w:rPr>
              <w:t>Programme ou titre du projet</w:t>
            </w:r>
          </w:p>
        </w:tc>
        <w:tc>
          <w:tcPr>
            <w:tcW w:w="8646" w:type="dxa"/>
            <w:shd w:val="clear" w:color="auto" w:fill="EEECE1" w:themeFill="background2"/>
          </w:tcPr>
          <w:p w14:paraId="11DC5B4B" w14:textId="77777777" w:rsidR="00401567" w:rsidRPr="0098629B" w:rsidRDefault="00401567" w:rsidP="00896B85">
            <w:pPr>
              <w:autoSpaceDE w:val="0"/>
              <w:autoSpaceDN w:val="0"/>
              <w:adjustRightInd w:val="0"/>
              <w:rPr>
                <w:rFonts w:ascii="Arial" w:eastAsiaTheme="minorHAnsi" w:hAnsi="Arial" w:cs="Arial"/>
                <w:b/>
                <w:bCs/>
                <w:sz w:val="20"/>
                <w:szCs w:val="20"/>
                <w:lang w:eastAsia="en-US"/>
              </w:rPr>
            </w:pPr>
            <w:r w:rsidRPr="0098629B">
              <w:rPr>
                <w:rFonts w:ascii="Arial" w:eastAsiaTheme="minorHAnsi" w:hAnsi="Arial" w:cs="Arial"/>
                <w:b/>
                <w:bCs/>
                <w:sz w:val="20"/>
                <w:szCs w:val="20"/>
                <w:lang w:eastAsia="en-US"/>
              </w:rPr>
              <w:t>Description du programme ou du projet</w:t>
            </w:r>
          </w:p>
        </w:tc>
      </w:tr>
      <w:tr w:rsidR="00401567" w:rsidRPr="0098629B" w14:paraId="4F643D18" w14:textId="77777777" w:rsidTr="00896B85">
        <w:trPr>
          <w:cantSplit/>
          <w:trHeight w:val="20"/>
        </w:trPr>
        <w:tc>
          <w:tcPr>
            <w:tcW w:w="0" w:type="auto"/>
          </w:tcPr>
          <w:p w14:paraId="1D33F0C8"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Africa</w:t>
            </w:r>
          </w:p>
        </w:tc>
        <w:tc>
          <w:tcPr>
            <w:tcW w:w="0" w:type="auto"/>
          </w:tcPr>
          <w:p w14:paraId="6CA8FB86"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Multiple Areas</w:t>
            </w:r>
          </w:p>
        </w:tc>
        <w:tc>
          <w:tcPr>
            <w:tcW w:w="2249" w:type="dxa"/>
          </w:tcPr>
          <w:p w14:paraId="29C63FD6"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AMMA-CATCH</w:t>
            </w:r>
          </w:p>
        </w:tc>
        <w:tc>
          <w:tcPr>
            <w:tcW w:w="8646" w:type="dxa"/>
          </w:tcPr>
          <w:p w14:paraId="358BCDD5"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 xml:space="preserve">Concernant le SMOC (Système d’Observation Mondial du Climat) en Afrique, le programme AMMA-CATCH est un système d’observation pour un suivi à long terme des impacts de la mousson en Afrique de l’Ouest. Il avait été initié par le MESR (Ministère de l’Enseignement Supérieur et de la Recherche) et il bénéficie du soutien de l’IRD (Institut de recherche pour le développement) et de l’INSU (L’Institut national des sciences de l’Univers).  http://www.amma-catch.org/ </w:t>
            </w:r>
          </w:p>
        </w:tc>
      </w:tr>
      <w:tr w:rsidR="00401567" w:rsidRPr="0098629B" w14:paraId="3EECC341" w14:textId="77777777" w:rsidTr="00896B85">
        <w:trPr>
          <w:cantSplit/>
          <w:trHeight w:val="20"/>
        </w:trPr>
        <w:tc>
          <w:tcPr>
            <w:tcW w:w="0" w:type="auto"/>
          </w:tcPr>
          <w:p w14:paraId="53889DF4"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Mediterranean basin</w:t>
            </w:r>
          </w:p>
        </w:tc>
        <w:tc>
          <w:tcPr>
            <w:tcW w:w="0" w:type="auto"/>
          </w:tcPr>
          <w:p w14:paraId="3B208A7C"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Multiple Areas</w:t>
            </w:r>
          </w:p>
        </w:tc>
        <w:tc>
          <w:tcPr>
            <w:tcW w:w="2249" w:type="dxa"/>
          </w:tcPr>
          <w:p w14:paraId="6A6D7FA6"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MISTRALS</w:t>
            </w:r>
          </w:p>
        </w:tc>
        <w:tc>
          <w:tcPr>
            <w:tcW w:w="8646" w:type="dxa"/>
          </w:tcPr>
          <w:p w14:paraId="05C703E3"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Lancé en 2008 pour une durée prévue jusqu’en 2020, MISTRALS est un méta-programme international de recherches fondamentales et d’observations interdisciplinaires et systématiques dédié à la compréhension du fonctionnement et de l’évolution de l’environnement dans le bassin méditerranéen sous les pressions du changement global anthropique pour en prédire l’évolution future. Au-delà de sa vocation académique, MISTRALS a également pour ambition de transformer les objectifs et résultats de recherche en concepts et données accessibles aux décideurs, acteurs territoriaux et gestionnaires, afin d’identifier les besoins et nécessités nationaux et transnationaux et de répondre aux enjeux sociétaux, environnementaux et économiques pour le développement durable des pays et des populations partageant l’aire méditerranéenne.</w:t>
            </w:r>
            <w:r w:rsidRPr="0098629B">
              <w:rPr>
                <w:rFonts w:ascii="Arial" w:eastAsiaTheme="minorHAnsi" w:hAnsi="Arial" w:cs="Arial"/>
                <w:sz w:val="20"/>
                <w:szCs w:val="20"/>
                <w:lang w:eastAsia="en-US"/>
              </w:rPr>
              <w:br/>
              <w:t>http://www.mistrals-home.org/spip/spip.php?rubrique39</w:t>
            </w:r>
          </w:p>
        </w:tc>
      </w:tr>
      <w:tr w:rsidR="00401567" w:rsidRPr="0098629B" w14:paraId="410DC0CA" w14:textId="77777777" w:rsidTr="00896B85">
        <w:trPr>
          <w:cantSplit/>
          <w:trHeight w:val="20"/>
        </w:trPr>
        <w:tc>
          <w:tcPr>
            <w:tcW w:w="0" w:type="auto"/>
          </w:tcPr>
          <w:p w14:paraId="1C0B5966"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Africa</w:t>
            </w:r>
          </w:p>
        </w:tc>
        <w:tc>
          <w:tcPr>
            <w:tcW w:w="0" w:type="auto"/>
          </w:tcPr>
          <w:p w14:paraId="7A716E26"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Adaptation</w:t>
            </w:r>
          </w:p>
        </w:tc>
        <w:tc>
          <w:tcPr>
            <w:tcW w:w="2249" w:type="dxa"/>
          </w:tcPr>
          <w:p w14:paraId="6C9BAEAC"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Service Climatique</w:t>
            </w:r>
          </w:p>
        </w:tc>
        <w:tc>
          <w:tcPr>
            <w:tcW w:w="8646" w:type="dxa"/>
          </w:tcPr>
          <w:p w14:paraId="2B88FAE4"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Démonstrateur 2 dans le cadre de la convention Services Climatiques signées en 2017 entre le MTES et les laboratoires spécialistes du climat : IPSL/LSCE; CNRM ; CECI.</w:t>
            </w:r>
            <w:r w:rsidRPr="0098629B">
              <w:rPr>
                <w:rFonts w:ascii="Arial" w:eastAsiaTheme="minorHAnsi" w:hAnsi="Arial" w:cs="Arial"/>
                <w:sz w:val="20"/>
                <w:szCs w:val="20"/>
                <w:lang w:eastAsia="en-US"/>
              </w:rPr>
              <w:br/>
              <w:t>Il s'agit d'un démonstrateur de service climatique pour l'agriculture en Afrique de l'Ouest.</w:t>
            </w:r>
          </w:p>
        </w:tc>
      </w:tr>
      <w:tr w:rsidR="00401567" w:rsidRPr="0098629B" w14:paraId="7F66F4A1" w14:textId="77777777" w:rsidTr="00896B85">
        <w:trPr>
          <w:cantSplit/>
          <w:trHeight w:val="20"/>
        </w:trPr>
        <w:tc>
          <w:tcPr>
            <w:tcW w:w="0" w:type="auto"/>
          </w:tcPr>
          <w:p w14:paraId="47A9D58E"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Africa, SIDS</w:t>
            </w:r>
          </w:p>
        </w:tc>
        <w:tc>
          <w:tcPr>
            <w:tcW w:w="0" w:type="auto"/>
          </w:tcPr>
          <w:p w14:paraId="59729010"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 Adaptation</w:t>
            </w:r>
          </w:p>
        </w:tc>
        <w:tc>
          <w:tcPr>
            <w:tcW w:w="2249" w:type="dxa"/>
          </w:tcPr>
          <w:p w14:paraId="1B0D89BC"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Facilité française de préparation aux INDC</w:t>
            </w:r>
          </w:p>
        </w:tc>
        <w:tc>
          <w:tcPr>
            <w:tcW w:w="8646" w:type="dxa"/>
          </w:tcPr>
          <w:p w14:paraId="7169B58E"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Préparation des INDC d’une trentaine de pays</w:t>
            </w:r>
          </w:p>
        </w:tc>
      </w:tr>
      <w:tr w:rsidR="00401567" w:rsidRPr="0098629B" w14:paraId="3A992132" w14:textId="77777777" w:rsidTr="00896B85">
        <w:trPr>
          <w:cantSplit/>
          <w:trHeight w:val="20"/>
        </w:trPr>
        <w:tc>
          <w:tcPr>
            <w:tcW w:w="0" w:type="auto"/>
          </w:tcPr>
          <w:p w14:paraId="2BC3C1FF"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Africa</w:t>
            </w:r>
          </w:p>
        </w:tc>
        <w:tc>
          <w:tcPr>
            <w:tcW w:w="0" w:type="auto"/>
          </w:tcPr>
          <w:p w14:paraId="0FF610B5"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w:t>
            </w:r>
          </w:p>
        </w:tc>
        <w:tc>
          <w:tcPr>
            <w:tcW w:w="2249" w:type="dxa"/>
          </w:tcPr>
          <w:p w14:paraId="6DEBA4A7"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Cluster francophone</w:t>
            </w:r>
          </w:p>
        </w:tc>
        <w:tc>
          <w:tcPr>
            <w:tcW w:w="8646" w:type="dxa"/>
          </w:tcPr>
          <w:p w14:paraId="04187DA7"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Formation sur les inventaires de GES et les mesures d’atténuation</w:t>
            </w:r>
          </w:p>
        </w:tc>
      </w:tr>
      <w:tr w:rsidR="00401567" w:rsidRPr="0098629B" w14:paraId="00B3DEC5" w14:textId="77777777" w:rsidTr="00896B85">
        <w:trPr>
          <w:cantSplit/>
          <w:trHeight w:val="20"/>
        </w:trPr>
        <w:tc>
          <w:tcPr>
            <w:tcW w:w="0" w:type="auto"/>
          </w:tcPr>
          <w:p w14:paraId="1F9B577A"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Africa (Ethiopia, Zambia)</w:t>
            </w:r>
          </w:p>
        </w:tc>
        <w:tc>
          <w:tcPr>
            <w:tcW w:w="0" w:type="auto"/>
          </w:tcPr>
          <w:p w14:paraId="2577B4C5"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w:t>
            </w:r>
          </w:p>
        </w:tc>
        <w:tc>
          <w:tcPr>
            <w:tcW w:w="2249" w:type="dxa"/>
          </w:tcPr>
          <w:p w14:paraId="7C5EAE0C"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AFD</w:t>
            </w:r>
          </w:p>
        </w:tc>
        <w:tc>
          <w:tcPr>
            <w:tcW w:w="8646" w:type="dxa"/>
          </w:tcPr>
          <w:p w14:paraId="5748034F"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Analyse des lacunes du système MRV en termes d'inventaires de GES et d'atténuation des émissions</w:t>
            </w:r>
          </w:p>
        </w:tc>
      </w:tr>
      <w:tr w:rsidR="00401567" w:rsidRPr="0098629B" w14:paraId="7F2D1B09" w14:textId="77777777" w:rsidTr="00896B85">
        <w:trPr>
          <w:cantSplit/>
          <w:trHeight w:val="20"/>
        </w:trPr>
        <w:tc>
          <w:tcPr>
            <w:tcW w:w="0" w:type="auto"/>
          </w:tcPr>
          <w:p w14:paraId="0F75E2B8"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Africa (Comores)</w:t>
            </w:r>
          </w:p>
        </w:tc>
        <w:tc>
          <w:tcPr>
            <w:tcW w:w="0" w:type="auto"/>
          </w:tcPr>
          <w:p w14:paraId="38875455"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 (renforcement des capacités)</w:t>
            </w:r>
          </w:p>
        </w:tc>
        <w:tc>
          <w:tcPr>
            <w:tcW w:w="2249" w:type="dxa"/>
          </w:tcPr>
          <w:p w14:paraId="3ABB1BA8"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Adapt'Action</w:t>
            </w:r>
          </w:p>
        </w:tc>
        <w:tc>
          <w:tcPr>
            <w:tcW w:w="8646" w:type="dxa"/>
          </w:tcPr>
          <w:p w14:paraId="3720C4DD"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Renforcement d’une NDC</w:t>
            </w:r>
          </w:p>
        </w:tc>
      </w:tr>
      <w:tr w:rsidR="00401567" w:rsidRPr="0098629B" w14:paraId="71922494" w14:textId="77777777" w:rsidTr="00896B85">
        <w:trPr>
          <w:cantSplit/>
          <w:trHeight w:val="20"/>
        </w:trPr>
        <w:tc>
          <w:tcPr>
            <w:tcW w:w="0" w:type="auto"/>
          </w:tcPr>
          <w:p w14:paraId="007336CA"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Global</w:t>
            </w:r>
          </w:p>
        </w:tc>
        <w:tc>
          <w:tcPr>
            <w:tcW w:w="0" w:type="auto"/>
          </w:tcPr>
          <w:p w14:paraId="5F098313"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 (MRV, transparence)</w:t>
            </w:r>
          </w:p>
        </w:tc>
        <w:tc>
          <w:tcPr>
            <w:tcW w:w="2249" w:type="dxa"/>
          </w:tcPr>
          <w:p w14:paraId="0AF669BE"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RISQ</w:t>
            </w:r>
          </w:p>
        </w:tc>
        <w:tc>
          <w:tcPr>
            <w:tcW w:w="8646" w:type="dxa"/>
          </w:tcPr>
          <w:p w14:paraId="2A4343F0"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Développé par le Citepa et personnalisé pour implémentation dans les pays émergents et en développement, cet outil existe en trois versions Excel, Access et Web. Il contribue à la transparence, exactitude, fiabilité, couverture et cohérence des inventaires nationaux ; à la durabilité des actions de renforcement des capacités des pays du sud ; enfin à la scalabilité de leur mesure, rapportage et de vérification (des nations aux villes, des nations à leurs voisines). RISQ a été implémenté ou le sera en France, Maroc, Nigéria, Niger, Rwanda, Tunisie, Algérie et Monaco. (Développement sur autofinancement du CITEPA)</w:t>
            </w:r>
          </w:p>
        </w:tc>
      </w:tr>
      <w:tr w:rsidR="00401567" w:rsidRPr="0098629B" w14:paraId="507221DD" w14:textId="77777777" w:rsidTr="00896B85">
        <w:trPr>
          <w:cantSplit/>
          <w:trHeight w:val="20"/>
        </w:trPr>
        <w:tc>
          <w:tcPr>
            <w:tcW w:w="0" w:type="auto"/>
          </w:tcPr>
          <w:p w14:paraId="0E922C2B"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China</w:t>
            </w:r>
          </w:p>
        </w:tc>
        <w:tc>
          <w:tcPr>
            <w:tcW w:w="0" w:type="auto"/>
          </w:tcPr>
          <w:p w14:paraId="18B51E67"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 (avec co-bénéfices pollution atmosphérique)</w:t>
            </w:r>
          </w:p>
        </w:tc>
        <w:tc>
          <w:tcPr>
            <w:tcW w:w="2249" w:type="dxa"/>
          </w:tcPr>
          <w:p w14:paraId="775C1268"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Centre sino-français</w:t>
            </w:r>
          </w:p>
        </w:tc>
        <w:tc>
          <w:tcPr>
            <w:tcW w:w="8646" w:type="dxa"/>
          </w:tcPr>
          <w:p w14:paraId="223B1A71"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Création d'un Centre sino-français dédié à l'intégration des systèmes d'inventaires d'émissions de GES et de polluants atmosphériques, en unissant les expertises françaises (CITEPA) et chinoises (Académie Chinoise de Recherche en Sciences Environnementales de Pékin -CRAES), suite à des contacts de 2014. Le centre promeut les bonnes pratiques en matière d’inventaire d’émissions de GES, de mesure, de rapportage et de vérification, au service des politiques publiques. Ces actions ont été présentées lors d’un side-event spécifique lors de la 5ème conférence internationale franco-chinoise sur l’environnement atmosphérique, qui a eu lieu à Xi’an en octobre 2016. Un atelier a également eu lieu à Paris, en mai 2017.</w:t>
            </w:r>
          </w:p>
        </w:tc>
      </w:tr>
      <w:tr w:rsidR="00401567" w:rsidRPr="0098629B" w14:paraId="2FE89F55" w14:textId="77777777" w:rsidTr="00896B85">
        <w:trPr>
          <w:cantSplit/>
          <w:trHeight w:val="20"/>
        </w:trPr>
        <w:tc>
          <w:tcPr>
            <w:tcW w:w="0" w:type="auto"/>
          </w:tcPr>
          <w:p w14:paraId="4589F9B2" w14:textId="77777777" w:rsidR="00401567" w:rsidRPr="0098629B" w:rsidRDefault="00401567" w:rsidP="00896B85">
            <w:pPr>
              <w:autoSpaceDE w:val="0"/>
              <w:autoSpaceDN w:val="0"/>
              <w:adjustRightInd w:val="0"/>
              <w:rPr>
                <w:rFonts w:ascii="Arial" w:eastAsiaTheme="minorHAnsi" w:hAnsi="Arial" w:cs="Arial"/>
                <w:sz w:val="20"/>
                <w:szCs w:val="20"/>
                <w:lang w:val="en-US" w:eastAsia="en-US"/>
              </w:rPr>
            </w:pPr>
            <w:r w:rsidRPr="0098629B">
              <w:rPr>
                <w:rFonts w:ascii="Arial" w:eastAsiaTheme="minorHAnsi" w:hAnsi="Arial" w:cs="Arial"/>
                <w:sz w:val="20"/>
                <w:szCs w:val="20"/>
                <w:lang w:val="en-US" w:eastAsia="en-US"/>
              </w:rPr>
              <w:t>Southern Europe, Mediterranean basin, Europe, Vietnam</w:t>
            </w:r>
          </w:p>
        </w:tc>
        <w:tc>
          <w:tcPr>
            <w:tcW w:w="0" w:type="auto"/>
          </w:tcPr>
          <w:p w14:paraId="593CF668"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Adaptation</w:t>
            </w:r>
          </w:p>
        </w:tc>
        <w:tc>
          <w:tcPr>
            <w:tcW w:w="2249" w:type="dxa"/>
          </w:tcPr>
          <w:p w14:paraId="12C5DE55"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Bilateral and multilateral cooperations</w:t>
            </w:r>
          </w:p>
        </w:tc>
        <w:tc>
          <w:tcPr>
            <w:tcW w:w="8646" w:type="dxa"/>
          </w:tcPr>
          <w:p w14:paraId="4BEF2198"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L’Observatoire National sur les Effets du Réchauffement Climatique (ONERC), a participé à différents travaux :</w:t>
            </w:r>
            <w:r w:rsidRPr="0098629B">
              <w:rPr>
                <w:rFonts w:ascii="Arial" w:eastAsiaTheme="minorHAnsi" w:hAnsi="Arial" w:cs="Arial"/>
                <w:sz w:val="20"/>
                <w:szCs w:val="20"/>
                <w:lang w:eastAsia="en-US"/>
              </w:rPr>
              <w:br/>
              <w:t>- le working group 6 installé par la Commission européenne pour le suivi des travaux d’adaptation au changement climatique et qui travaille actuellement sur la révision de la stratégie de l'UE relative à l'adaptation au changement climatique ;</w:t>
            </w:r>
            <w:r w:rsidRPr="0098629B">
              <w:rPr>
                <w:rFonts w:ascii="Arial" w:eastAsiaTheme="minorHAnsi" w:hAnsi="Arial" w:cs="Arial"/>
                <w:sz w:val="20"/>
                <w:szCs w:val="20"/>
                <w:lang w:eastAsia="en-US"/>
              </w:rPr>
              <w:br/>
              <w:t>- dans le cadre des travaux de l’agence européenne de l’Environnement :</w:t>
            </w:r>
            <w:r w:rsidRPr="0098629B">
              <w:rPr>
                <w:rFonts w:ascii="Arial" w:eastAsiaTheme="minorHAnsi" w:hAnsi="Arial" w:cs="Arial"/>
                <w:sz w:val="20"/>
                <w:szCs w:val="20"/>
                <w:lang w:eastAsia="en-US"/>
              </w:rPr>
              <w:br/>
              <w:t>- évaluation et la mise à jour de la plate-forme Climate-Adapt dans le cadre de la révision de la stratégie européenne</w:t>
            </w:r>
            <w:r w:rsidRPr="0098629B">
              <w:rPr>
                <w:rFonts w:ascii="Arial" w:eastAsiaTheme="minorHAnsi" w:hAnsi="Arial" w:cs="Arial"/>
                <w:sz w:val="20"/>
                <w:szCs w:val="20"/>
                <w:lang w:eastAsia="en-US"/>
              </w:rPr>
              <w:br/>
              <w:t>- Participation à la relecture des rapports thématiques de l'Agence Européenne de l'Environnement</w:t>
            </w:r>
            <w:r w:rsidRPr="0098629B">
              <w:rPr>
                <w:rFonts w:ascii="Arial" w:eastAsiaTheme="minorHAnsi" w:hAnsi="Arial" w:cs="Arial"/>
                <w:sz w:val="20"/>
                <w:szCs w:val="20"/>
                <w:lang w:eastAsia="en-US"/>
              </w:rPr>
              <w:br/>
              <w:t>- Rencontre multilatérale de pays d’Europe pour le partage d’expériences en matière d’évaluation des politiques publiques d’adaptation ;</w:t>
            </w:r>
            <w:r w:rsidRPr="0098629B">
              <w:rPr>
                <w:rFonts w:ascii="Arial" w:eastAsiaTheme="minorHAnsi" w:hAnsi="Arial" w:cs="Arial"/>
                <w:sz w:val="20"/>
                <w:szCs w:val="20"/>
                <w:lang w:eastAsia="en-US"/>
              </w:rPr>
              <w:br/>
              <w:t>- accueil de délégations de pays étrangers, notamment accueil de membres de l'Observatoire National sur les Changements Climatiques du Cameroun (ONACC)</w:t>
            </w:r>
            <w:r w:rsidRPr="0098629B">
              <w:rPr>
                <w:rFonts w:ascii="Arial" w:eastAsiaTheme="minorHAnsi" w:hAnsi="Arial" w:cs="Arial"/>
                <w:sz w:val="20"/>
                <w:szCs w:val="20"/>
                <w:lang w:eastAsia="en-US"/>
              </w:rPr>
              <w:br/>
              <w:t>dialogue multilatéral avec les pays riverains de l’arc alpin dans le cadre de la convention alpine (Conseil Consultatif sur le Climat) ;</w:t>
            </w:r>
            <w:r w:rsidRPr="0098629B">
              <w:rPr>
                <w:rFonts w:ascii="Arial" w:eastAsiaTheme="minorHAnsi" w:hAnsi="Arial" w:cs="Arial"/>
                <w:sz w:val="20"/>
                <w:szCs w:val="20"/>
                <w:lang w:eastAsia="en-US"/>
              </w:rPr>
              <w:br/>
              <w:t>Météo-France et les ministères concernés participent aux travaux de mise en place du cadre mondial pour les services climatiques dans le cadre de l’OMM, et dans le cadre de la convention signée en 2017 avec le MTES.</w:t>
            </w:r>
          </w:p>
        </w:tc>
      </w:tr>
      <w:tr w:rsidR="00401567" w:rsidRPr="0098629B" w14:paraId="17C5BE4E" w14:textId="77777777" w:rsidTr="00896B85">
        <w:trPr>
          <w:cantSplit/>
          <w:trHeight w:val="20"/>
        </w:trPr>
        <w:tc>
          <w:tcPr>
            <w:tcW w:w="0" w:type="auto"/>
          </w:tcPr>
          <w:p w14:paraId="0A3554ED"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Multi-pays</w:t>
            </w:r>
          </w:p>
        </w:tc>
        <w:tc>
          <w:tcPr>
            <w:tcW w:w="0" w:type="auto"/>
          </w:tcPr>
          <w:p w14:paraId="3B07C1CB"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w:t>
            </w:r>
          </w:p>
        </w:tc>
        <w:tc>
          <w:tcPr>
            <w:tcW w:w="2249" w:type="dxa"/>
          </w:tcPr>
          <w:p w14:paraId="33A25D57"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Mobilise Your City</w:t>
            </w:r>
          </w:p>
        </w:tc>
        <w:tc>
          <w:tcPr>
            <w:tcW w:w="8646" w:type="dxa"/>
          </w:tcPr>
          <w:p w14:paraId="76E3AF37"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 xml:space="preserve">Lancée à la COP 21, MobiliseYourCity est une initiative franco-allemande de l'Agenda mondial de l'action pour le climat mise en œuvre par la GIZ, l'AFD, le CEREMA, la CODATU et l'ADEME, avec l'appui du FFEM. Elle vise à déployer des plans de mobilité urbaine durable dans 100 villes de 20 pays en développement. Elle prend la forme d’un programme partenarial au sein duquel : (i) des villes et gouvernements s’engagent dans l’élaboration de plans de développement durable de la mobilité urbaine (SUMPs) et de politiques nationales de la mobilité urbaine (NUMPs) pour améliorer la mobilité et réduire les émissions de GES ; et (ii) des actions sont financées pour les appuyer dans cet objectif, leur fournir un cadre méthodologique robuste, et leur permettre d’échanger entre pairs. </w:t>
            </w:r>
          </w:p>
        </w:tc>
      </w:tr>
      <w:tr w:rsidR="00401567" w:rsidRPr="0098629B" w14:paraId="0408FC56" w14:textId="77777777" w:rsidTr="00896B85">
        <w:trPr>
          <w:cantSplit/>
          <w:trHeight w:val="20"/>
        </w:trPr>
        <w:tc>
          <w:tcPr>
            <w:tcW w:w="0" w:type="auto"/>
          </w:tcPr>
          <w:p w14:paraId="18226A6A"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Méditerranée, Asie, Afrique Subsaharienne, Amérique Latine</w:t>
            </w:r>
          </w:p>
        </w:tc>
        <w:tc>
          <w:tcPr>
            <w:tcW w:w="0" w:type="auto"/>
          </w:tcPr>
          <w:p w14:paraId="7B592132"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Mitigation</w:t>
            </w:r>
          </w:p>
        </w:tc>
        <w:tc>
          <w:tcPr>
            <w:tcW w:w="2249" w:type="dxa"/>
          </w:tcPr>
          <w:p w14:paraId="255B8050"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PEEB - Programme pour l'Efficacité Energétique des Bâtiments</w:t>
            </w:r>
          </w:p>
        </w:tc>
        <w:tc>
          <w:tcPr>
            <w:tcW w:w="8646" w:type="dxa"/>
          </w:tcPr>
          <w:p w14:paraId="42564E5C" w14:textId="0EB3A742" w:rsidR="00401567" w:rsidRPr="0098629B" w:rsidRDefault="00401567" w:rsidP="00F25018">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Lancé à la COP 22, le Programme pour l'Efficacité Energétique des Bâtiments contribue à l'Alliance mondiale pour le</w:t>
            </w:r>
            <w:r w:rsidR="00F25018">
              <w:rPr>
                <w:rFonts w:ascii="Arial" w:eastAsiaTheme="minorHAnsi" w:hAnsi="Arial" w:cs="Arial"/>
                <w:sz w:val="20"/>
                <w:szCs w:val="20"/>
                <w:lang w:eastAsia="en-US"/>
              </w:rPr>
              <w:t>s</w:t>
            </w:r>
            <w:r w:rsidRPr="0098629B">
              <w:rPr>
                <w:rFonts w:ascii="Arial" w:eastAsiaTheme="minorHAnsi" w:hAnsi="Arial" w:cs="Arial"/>
                <w:sz w:val="20"/>
                <w:szCs w:val="20"/>
                <w:lang w:eastAsia="en-US"/>
              </w:rPr>
              <w:t xml:space="preserve"> bâtiment</w:t>
            </w:r>
            <w:r w:rsidR="00F25018">
              <w:rPr>
                <w:rFonts w:ascii="Arial" w:eastAsiaTheme="minorHAnsi" w:hAnsi="Arial" w:cs="Arial"/>
                <w:sz w:val="20"/>
                <w:szCs w:val="20"/>
                <w:lang w:eastAsia="en-US"/>
              </w:rPr>
              <w:t xml:space="preserve">s </w:t>
            </w:r>
            <w:r w:rsidRPr="0098629B">
              <w:rPr>
                <w:rFonts w:ascii="Arial" w:eastAsiaTheme="minorHAnsi" w:hAnsi="Arial" w:cs="Arial"/>
                <w:sz w:val="20"/>
                <w:szCs w:val="20"/>
                <w:lang w:eastAsia="en-US"/>
              </w:rPr>
              <w:t>et la construction (GABC) et est mis en œuvre par la GIZ, l'AFD et l'ADEME, avec l'appui du FFEM.Ce programme a pour objectif d'encourager et de financer des projets d’amélioration de la performance énergétique des bâtiments dans les pays en développement. Cinq pays pilotes sont visés dans la phase initiale du projet PEEB : Mexique, Maroc, Tunisie, Sénégal et Vietnam. La priorité est donnée aux bâtiments neufs dans la mesure où la majorité des bâtiments dans les pays en développement qui existeront en 2035 sont encore à construire. Le programme consiste en la mise en place d’une facilité de coopération technique, pour l’émergence au niveau international de solutions de financement innovantes, l’appui aux politiques publiques nationales et l’aide à la structuration et à l’accompagnement des projets. Cette facilité vise ainsi à promouvoir et accompagner le financement par des Institutions financières internationales et locales d’investissements dans des bâtiments efficaces en énergie.</w:t>
            </w:r>
          </w:p>
        </w:tc>
      </w:tr>
      <w:tr w:rsidR="00401567" w:rsidRPr="0098629B" w14:paraId="37A2A332" w14:textId="77777777" w:rsidTr="00896B85">
        <w:trPr>
          <w:cantSplit/>
          <w:trHeight w:val="20"/>
        </w:trPr>
        <w:tc>
          <w:tcPr>
            <w:tcW w:w="0" w:type="auto"/>
          </w:tcPr>
          <w:p w14:paraId="67C52BB5"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Amérique latine et Caraïbes</w:t>
            </w:r>
            <w:r w:rsidRPr="0098629B">
              <w:rPr>
                <w:rFonts w:ascii="Arial" w:eastAsiaTheme="minorHAnsi" w:hAnsi="Arial" w:cs="Arial"/>
                <w:sz w:val="20"/>
                <w:szCs w:val="20"/>
                <w:lang w:eastAsia="en-US"/>
              </w:rPr>
              <w:br/>
            </w:r>
            <w:r w:rsidRPr="0098629B">
              <w:rPr>
                <w:rFonts w:ascii="Arial" w:eastAsiaTheme="minorHAnsi" w:hAnsi="Arial" w:cs="Arial"/>
                <w:sz w:val="20"/>
                <w:szCs w:val="20"/>
                <w:lang w:eastAsia="en-US"/>
              </w:rPr>
              <w:br/>
              <w:t>Maroc, Algérie, Tunisie, Liban</w:t>
            </w:r>
          </w:p>
        </w:tc>
        <w:tc>
          <w:tcPr>
            <w:tcW w:w="0" w:type="auto"/>
          </w:tcPr>
          <w:p w14:paraId="122AAF00" w14:textId="77777777" w:rsidR="00401567" w:rsidRPr="0098629B" w:rsidRDefault="00401567" w:rsidP="00896B85">
            <w:pPr>
              <w:autoSpaceDE w:val="0"/>
              <w:autoSpaceDN w:val="0"/>
              <w:adjustRightInd w:val="0"/>
              <w:rPr>
                <w:rFonts w:ascii="Arial" w:eastAsiaTheme="minorHAnsi" w:hAnsi="Arial" w:cs="Arial"/>
                <w:sz w:val="20"/>
                <w:szCs w:val="20"/>
                <w:lang w:eastAsia="en-US"/>
              </w:rPr>
            </w:pPr>
          </w:p>
        </w:tc>
        <w:tc>
          <w:tcPr>
            <w:tcW w:w="2249" w:type="dxa"/>
          </w:tcPr>
          <w:p w14:paraId="0A884A3A"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Appui à la mise en place d’un système de monitoring de l’efficacité énergétique (indicateurs d’efficacité énergétique et évaluation des politiques d’efficacité énergétique)</w:t>
            </w:r>
          </w:p>
        </w:tc>
        <w:tc>
          <w:tcPr>
            <w:tcW w:w="8646" w:type="dxa"/>
          </w:tcPr>
          <w:p w14:paraId="29944187"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Dans la continuité du projet européen Odyssee Mure mené depuis plus de 20 ans et qui a permis le développement et la mise en œuvre dans l’Union européenne d’une méthodologie d’évaluation des économies d’énergie sur la base d’indicateurs d’efficacité énergétique, l’ADEME soutient la déclinaison de cette méthodologie :</w:t>
            </w:r>
            <w:r w:rsidRPr="0098629B">
              <w:rPr>
                <w:rFonts w:ascii="Arial" w:eastAsiaTheme="minorHAnsi" w:hAnsi="Arial" w:cs="Arial"/>
                <w:sz w:val="20"/>
                <w:szCs w:val="20"/>
                <w:lang w:eastAsia="en-US"/>
              </w:rPr>
              <w:br/>
              <w:t>Au Maroc, en Algérie, en Tunisie et au Liban de 2012 à 2014 dans le cadre de MEDENER (Association méditerranéenne des agences nationales de maîtrise de l'énergie) ;</w:t>
            </w:r>
            <w:r w:rsidRPr="0098629B">
              <w:rPr>
                <w:rFonts w:ascii="Arial" w:eastAsiaTheme="minorHAnsi" w:hAnsi="Arial" w:cs="Arial"/>
                <w:sz w:val="20"/>
                <w:szCs w:val="20"/>
                <w:lang w:eastAsia="en-US"/>
              </w:rPr>
              <w:br/>
              <w:t>Depuis 2014 dans une vingtaine de pays d’Amérique Latine et des Caraïbes avec le CEPAL-UN (Commission économique pour l’Amérique latine et les Caraïbes des Nations unies) dans le cadre de l’IPEEC (International Partnership for Energy Efficiency Cooperation) ;</w:t>
            </w:r>
            <w:r w:rsidRPr="0098629B">
              <w:rPr>
                <w:rFonts w:ascii="Arial" w:eastAsiaTheme="minorHAnsi" w:hAnsi="Arial" w:cs="Arial"/>
                <w:sz w:val="20"/>
                <w:szCs w:val="20"/>
                <w:lang w:eastAsia="en-US"/>
              </w:rPr>
              <w:br/>
              <w:t>Depuis 2016, un travail plus en détail est mené avec le Mexique dans le cadre d’une coopération avec le CONUEE (Comisión Nacional para el Uso Eficiente de la Energía) soutenue par l’AFD.</w:t>
            </w:r>
          </w:p>
        </w:tc>
      </w:tr>
      <w:tr w:rsidR="00401567" w:rsidRPr="0098629B" w14:paraId="2333CB76" w14:textId="77777777" w:rsidTr="00896B85">
        <w:trPr>
          <w:cantSplit/>
          <w:trHeight w:val="20"/>
        </w:trPr>
        <w:tc>
          <w:tcPr>
            <w:tcW w:w="0" w:type="auto"/>
          </w:tcPr>
          <w:p w14:paraId="755B961E"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Maroc</w:t>
            </w:r>
          </w:p>
        </w:tc>
        <w:tc>
          <w:tcPr>
            <w:tcW w:w="0" w:type="auto"/>
          </w:tcPr>
          <w:p w14:paraId="559AFEC0"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Appui au renforcement du secteur de l'Energie</w:t>
            </w:r>
          </w:p>
        </w:tc>
        <w:tc>
          <w:tcPr>
            <w:tcW w:w="2249" w:type="dxa"/>
          </w:tcPr>
          <w:p w14:paraId="362BDD59"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Jumelage entre le MTES et le MEMDD</w:t>
            </w:r>
          </w:p>
        </w:tc>
        <w:tc>
          <w:tcPr>
            <w:tcW w:w="8646" w:type="dxa"/>
          </w:tcPr>
          <w:p w14:paraId="4BD771C1"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 xml:space="preserve">La France (MTES) a été sélectionnée, avec l’Allemagne (BMWi) comme partenaire pour mettre en œuvre un jumelage avec le Maroc, financé par l’UE, intitulé "Appui au renforcement du secteur de l’énergie" (2017-2019). </w:t>
            </w:r>
            <w:r w:rsidRPr="0098629B">
              <w:rPr>
                <w:rFonts w:ascii="Arial" w:eastAsiaTheme="minorHAnsi" w:hAnsi="Arial" w:cs="Arial"/>
                <w:sz w:val="20"/>
                <w:szCs w:val="20"/>
                <w:lang w:eastAsia="en-US"/>
              </w:rPr>
              <w:br/>
              <w:t>L’objectif général du projet vise à faciliter l’atteinte des objectifs de la stratégie énergétique nationale (sécurité de l'approvisionnement et de la disponibilité de l'énergie, accès généralisé à l'énergie, maîtrise de la demande et préservation de l'environnement).</w:t>
            </w:r>
          </w:p>
        </w:tc>
      </w:tr>
      <w:tr w:rsidR="00401567" w:rsidRPr="0098629B" w14:paraId="11274E41" w14:textId="77777777" w:rsidTr="00896B85">
        <w:trPr>
          <w:cantSplit/>
          <w:trHeight w:val="20"/>
        </w:trPr>
        <w:tc>
          <w:tcPr>
            <w:tcW w:w="0" w:type="auto"/>
          </w:tcPr>
          <w:p w14:paraId="1511393F"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Africa</w:t>
            </w:r>
          </w:p>
        </w:tc>
        <w:tc>
          <w:tcPr>
            <w:tcW w:w="0" w:type="auto"/>
          </w:tcPr>
          <w:p w14:paraId="50CDF563"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Cities, Mitigation and adaptation</w:t>
            </w:r>
          </w:p>
        </w:tc>
        <w:tc>
          <w:tcPr>
            <w:tcW w:w="2249" w:type="dxa"/>
          </w:tcPr>
          <w:p w14:paraId="084BA618"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CICLIA</w:t>
            </w:r>
          </w:p>
        </w:tc>
        <w:tc>
          <w:tcPr>
            <w:tcW w:w="8646" w:type="dxa"/>
          </w:tcPr>
          <w:p w14:paraId="592F9300" w14:textId="77777777" w:rsidR="00401567" w:rsidRPr="0098629B" w:rsidRDefault="00401567" w:rsidP="00896B85">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Décidé en 2016, financement en partie par l’AFD ainsi qu’en délégation à l’AFD de fonds de l’Union Européenne et de SECO : d’activités d’accompagnement technique à la planification Climat des villes ; de préparation de projets à co-bénéfices Climat ; d’assistance et de renforcement de capacité auprès des maîtrises d’ouvrage locales</w:t>
            </w:r>
          </w:p>
        </w:tc>
      </w:tr>
      <w:tr w:rsidR="00F25018" w:rsidRPr="0098629B" w14:paraId="5AF6882B" w14:textId="77777777" w:rsidTr="00896B85">
        <w:trPr>
          <w:cantSplit/>
          <w:trHeight w:val="20"/>
        </w:trPr>
        <w:tc>
          <w:tcPr>
            <w:tcW w:w="0" w:type="auto"/>
          </w:tcPr>
          <w:p w14:paraId="2BF1D2A1" w14:textId="77777777" w:rsidR="00F25018" w:rsidRPr="0098629B" w:rsidRDefault="00F25018" w:rsidP="00F25018">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Afrique francophone</w:t>
            </w:r>
          </w:p>
        </w:tc>
        <w:tc>
          <w:tcPr>
            <w:tcW w:w="0" w:type="auto"/>
          </w:tcPr>
          <w:p w14:paraId="772A3B1C" w14:textId="77777777" w:rsidR="00F25018" w:rsidRPr="0098629B" w:rsidRDefault="00F25018" w:rsidP="00F25018">
            <w:pPr>
              <w:autoSpaceDE w:val="0"/>
              <w:autoSpaceDN w:val="0"/>
              <w:adjustRightInd w:val="0"/>
              <w:rPr>
                <w:rFonts w:ascii="Arial" w:eastAsiaTheme="minorHAnsi" w:hAnsi="Arial" w:cs="Arial"/>
                <w:sz w:val="20"/>
                <w:szCs w:val="20"/>
                <w:lang w:eastAsia="en-US"/>
              </w:rPr>
            </w:pPr>
            <w:r w:rsidRPr="0098629B">
              <w:rPr>
                <w:rFonts w:ascii="Arial" w:eastAsiaTheme="minorHAnsi" w:hAnsi="Arial" w:cs="Arial"/>
                <w:sz w:val="20"/>
                <w:szCs w:val="20"/>
                <w:lang w:eastAsia="en-US"/>
              </w:rPr>
              <w:t>Négociation</w:t>
            </w:r>
          </w:p>
        </w:tc>
        <w:tc>
          <w:tcPr>
            <w:tcW w:w="2249" w:type="dxa"/>
          </w:tcPr>
          <w:p w14:paraId="2A2A8C19" w14:textId="594058E6" w:rsidR="00F25018" w:rsidRPr="0098629B" w:rsidRDefault="00F25018" w:rsidP="00F25018">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A</w:t>
            </w:r>
            <w:r w:rsidRPr="00E468B9">
              <w:rPr>
                <w:rFonts w:ascii="Arial" w:eastAsiaTheme="minorHAnsi" w:hAnsi="Arial" w:cs="Arial"/>
                <w:sz w:val="20"/>
                <w:szCs w:val="20"/>
                <w:lang w:eastAsia="en-US"/>
              </w:rPr>
              <w:t>telier</w:t>
            </w:r>
            <w:r>
              <w:rPr>
                <w:rFonts w:ascii="Arial" w:eastAsiaTheme="minorHAnsi" w:hAnsi="Arial" w:cs="Arial"/>
                <w:sz w:val="20"/>
                <w:szCs w:val="20"/>
                <w:lang w:eastAsia="en-US"/>
              </w:rPr>
              <w:t>s de renforcement de capacités</w:t>
            </w:r>
            <w:r w:rsidRPr="00E468B9">
              <w:rPr>
                <w:rFonts w:ascii="Arial" w:eastAsiaTheme="minorHAnsi" w:hAnsi="Arial" w:cs="Arial"/>
                <w:sz w:val="20"/>
                <w:szCs w:val="20"/>
                <w:lang w:eastAsia="en-US"/>
              </w:rPr>
              <w:t xml:space="preserve"> pour les négociatrices africaines francophones</w:t>
            </w:r>
          </w:p>
        </w:tc>
        <w:tc>
          <w:tcPr>
            <w:tcW w:w="8646" w:type="dxa"/>
          </w:tcPr>
          <w:p w14:paraId="3D4D565A" w14:textId="4231F6D3" w:rsidR="00F25018" w:rsidRPr="0098629B" w:rsidRDefault="00F25018" w:rsidP="00F25018">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Depuis 2018, la France et le Canada financent des cycles d’ateliers de renforcement des capacités à destination de négociatrices africaines francophones, afin d’assurer leur contribution active lors des intersessions et des Conférences des Parties. En 2022, 200 négociatrices ont participé aux ateliers et plus de 50 d’entre elles ont bénéficié de soutien financier additionnel pour participer à la COP27. Ces ateliers, appuyés par un système de mentorat, visent notamment à </w:t>
            </w:r>
            <w:r w:rsidRPr="008735AC">
              <w:rPr>
                <w:rFonts w:ascii="Arial" w:eastAsiaTheme="minorHAnsi" w:hAnsi="Arial" w:cs="Arial"/>
                <w:sz w:val="20"/>
                <w:szCs w:val="20"/>
                <w:lang w:eastAsia="en-US"/>
              </w:rPr>
              <w:t xml:space="preserve">acquérir des connaissances sur les processus </w:t>
            </w:r>
            <w:r>
              <w:rPr>
                <w:rFonts w:ascii="Arial" w:eastAsiaTheme="minorHAnsi" w:hAnsi="Arial" w:cs="Arial"/>
                <w:sz w:val="20"/>
                <w:szCs w:val="20"/>
                <w:lang w:eastAsia="en-US"/>
              </w:rPr>
              <w:t xml:space="preserve">et les acteurs </w:t>
            </w:r>
            <w:r w:rsidRPr="008735AC">
              <w:rPr>
                <w:rFonts w:ascii="Arial" w:eastAsiaTheme="minorHAnsi" w:hAnsi="Arial" w:cs="Arial"/>
                <w:sz w:val="20"/>
                <w:szCs w:val="20"/>
                <w:lang w:eastAsia="en-US"/>
              </w:rPr>
              <w:t>de</w:t>
            </w:r>
            <w:r>
              <w:rPr>
                <w:rFonts w:ascii="Arial" w:eastAsiaTheme="minorHAnsi" w:hAnsi="Arial" w:cs="Arial"/>
                <w:sz w:val="20"/>
                <w:szCs w:val="20"/>
                <w:lang w:eastAsia="en-US"/>
              </w:rPr>
              <w:t>s</w:t>
            </w:r>
            <w:r w:rsidRPr="008735AC">
              <w:rPr>
                <w:rFonts w:ascii="Arial" w:eastAsiaTheme="minorHAnsi" w:hAnsi="Arial" w:cs="Arial"/>
                <w:sz w:val="20"/>
                <w:szCs w:val="20"/>
                <w:lang w:eastAsia="en-US"/>
              </w:rPr>
              <w:t xml:space="preserve"> négociations </w:t>
            </w:r>
            <w:r>
              <w:rPr>
                <w:rFonts w:ascii="Arial" w:eastAsiaTheme="minorHAnsi" w:hAnsi="Arial" w:cs="Arial"/>
                <w:sz w:val="20"/>
                <w:szCs w:val="20"/>
                <w:lang w:eastAsia="en-US"/>
              </w:rPr>
              <w:t xml:space="preserve">ainsi </w:t>
            </w:r>
            <w:r w:rsidRPr="008735AC">
              <w:rPr>
                <w:rFonts w:ascii="Arial" w:eastAsiaTheme="minorHAnsi" w:hAnsi="Arial" w:cs="Arial"/>
                <w:sz w:val="20"/>
                <w:szCs w:val="20"/>
                <w:lang w:eastAsia="en-US"/>
              </w:rPr>
              <w:t xml:space="preserve">qu’à développer des aptitudes de négociation </w:t>
            </w:r>
            <w:r>
              <w:rPr>
                <w:rFonts w:ascii="Arial" w:eastAsiaTheme="minorHAnsi" w:hAnsi="Arial" w:cs="Arial"/>
                <w:sz w:val="20"/>
                <w:szCs w:val="20"/>
                <w:lang w:eastAsia="en-US"/>
              </w:rPr>
              <w:t>lors de simulations.</w:t>
            </w:r>
            <w:r w:rsidRPr="008735AC">
              <w:rPr>
                <w:rFonts w:ascii="Arial" w:eastAsiaTheme="minorHAnsi" w:hAnsi="Arial" w:cs="Arial"/>
                <w:sz w:val="20"/>
                <w:szCs w:val="20"/>
                <w:lang w:eastAsia="en-US"/>
              </w:rPr>
              <w:t xml:space="preserve"> </w:t>
            </w:r>
          </w:p>
        </w:tc>
      </w:tr>
    </w:tbl>
    <w:p w14:paraId="64A8DCCC" w14:textId="4B18E882" w:rsidR="00401567" w:rsidRPr="0098629B" w:rsidRDefault="00401567">
      <w:pPr>
        <w:spacing w:line="240" w:lineRule="atLeast"/>
        <w:jc w:val="left"/>
        <w:rPr>
          <w:rFonts w:eastAsiaTheme="majorEastAsia" w:cstheme="majorBidi"/>
          <w:bCs/>
          <w:spacing w:val="-10"/>
          <w:kern w:val="28"/>
          <w:sz w:val="48"/>
          <w:szCs w:val="56"/>
        </w:rPr>
      </w:pPr>
      <w:r w:rsidRPr="0098629B">
        <w:br w:type="page"/>
      </w:r>
    </w:p>
    <w:p w14:paraId="61F4F11E" w14:textId="77777777" w:rsidR="00401567" w:rsidRPr="0098629B" w:rsidRDefault="00401567" w:rsidP="007C589E">
      <w:pPr>
        <w:pStyle w:val="Titre1Niveau1"/>
        <w:sectPr w:rsidR="00401567" w:rsidRPr="0098629B" w:rsidSect="00401567">
          <w:pgSz w:w="16838" w:h="11906" w:orient="landscape" w:code="9"/>
          <w:pgMar w:top="1049" w:right="1229" w:bottom="907" w:left="1648" w:header="284" w:footer="284" w:gutter="0"/>
          <w:cols w:space="708"/>
          <w:titlePg/>
          <w:docGrid w:linePitch="360"/>
        </w:sectPr>
      </w:pPr>
    </w:p>
    <w:p w14:paraId="313E9220" w14:textId="15C602A2" w:rsidR="0051771F" w:rsidRPr="0098629B" w:rsidRDefault="0051771F" w:rsidP="007C589E">
      <w:pPr>
        <w:pStyle w:val="Titre1Niveau1"/>
      </w:pPr>
      <w:bookmarkStart w:id="301" w:name="_Toc138344647"/>
      <w:r w:rsidRPr="0098629B">
        <w:t>Annexe</w:t>
      </w:r>
      <w:r w:rsidR="00C430E9" w:rsidRPr="0098629B">
        <w:t xml:space="preserve"> I – Tableaux de synthèse des émissions par secteur</w:t>
      </w:r>
      <w:bookmarkEnd w:id="301"/>
    </w:p>
    <w:tbl>
      <w:tblPr>
        <w:tblW w:w="11108" w:type="dxa"/>
        <w:jc w:val="center"/>
        <w:tblCellMar>
          <w:left w:w="70" w:type="dxa"/>
          <w:right w:w="70" w:type="dxa"/>
        </w:tblCellMar>
        <w:tblLook w:val="04A0" w:firstRow="1" w:lastRow="0" w:firstColumn="1" w:lastColumn="0" w:noHBand="0" w:noVBand="1"/>
      </w:tblPr>
      <w:tblGrid>
        <w:gridCol w:w="3397"/>
        <w:gridCol w:w="914"/>
        <w:gridCol w:w="820"/>
        <w:gridCol w:w="820"/>
        <w:gridCol w:w="820"/>
        <w:gridCol w:w="723"/>
        <w:gridCol w:w="723"/>
        <w:gridCol w:w="1276"/>
        <w:gridCol w:w="580"/>
        <w:gridCol w:w="133"/>
        <w:gridCol w:w="843"/>
        <w:gridCol w:w="137"/>
      </w:tblGrid>
      <w:tr w:rsidR="00C430E9" w:rsidRPr="0098629B" w14:paraId="63524B2F" w14:textId="77777777" w:rsidTr="00D8302C">
        <w:trPr>
          <w:gridAfter w:val="1"/>
          <w:wAfter w:w="152" w:type="dxa"/>
          <w:trHeight w:val="429"/>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76CE18AC" w14:textId="178A7FDE" w:rsidR="00C430E9" w:rsidRPr="0098629B" w:rsidRDefault="00C430E9" w:rsidP="00C430E9">
            <w:pPr>
              <w:jc w:val="left"/>
              <w:rPr>
                <w:rFonts w:ascii="Times New Roman" w:hAnsi="Times New Roman"/>
                <w:b/>
                <w:bCs/>
                <w:sz w:val="14"/>
                <w:szCs w:val="16"/>
                <w:lang w:val="en-GB"/>
              </w:rPr>
            </w:pPr>
            <w:bookmarkStart w:id="302" w:name="RANGE!A5:J54"/>
            <w:r w:rsidRPr="0098629B">
              <w:rPr>
                <w:rFonts w:ascii="Times New Roman" w:hAnsi="Times New Roman"/>
                <w:b/>
                <w:bCs/>
                <w:sz w:val="14"/>
                <w:szCs w:val="16"/>
                <w:lang w:val="en-GB"/>
              </w:rPr>
              <w:t xml:space="preserve">GREENHOUSE GAS SOURCE AND </w:t>
            </w:r>
            <w:bookmarkEnd w:id="302"/>
            <w:r w:rsidRPr="0098629B">
              <w:rPr>
                <w:rFonts w:ascii="Times New Roman" w:hAnsi="Times New Roman"/>
                <w:b/>
                <w:bCs/>
                <w:sz w:val="14"/>
                <w:szCs w:val="16"/>
                <w:lang w:val="en-GB"/>
              </w:rPr>
              <w:t>SINK CATEGORIES</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B957E76" w14:textId="35DB0063" w:rsidR="00C430E9" w:rsidRPr="0098629B" w:rsidRDefault="00811B0F" w:rsidP="00C430E9">
            <w:pPr>
              <w:jc w:val="center"/>
              <w:rPr>
                <w:rFonts w:ascii="Times New Roman" w:hAnsi="Times New Roman"/>
                <w:b/>
                <w:bCs/>
                <w:sz w:val="14"/>
                <w:szCs w:val="16"/>
              </w:rPr>
            </w:pPr>
            <w:r w:rsidRPr="0098629B">
              <w:rPr>
                <w:sz w:val="14"/>
                <w:szCs w:val="16"/>
              </w:rPr>
              <w:t>CO</w:t>
            </w:r>
            <w:r w:rsidRPr="0098629B">
              <w:rPr>
                <w:sz w:val="14"/>
                <w:szCs w:val="16"/>
                <w:vertAlign w:val="subscript"/>
              </w:rPr>
              <w:t>2</w:t>
            </w:r>
            <w:r w:rsidR="00C430E9" w:rsidRPr="0098629B">
              <w:rPr>
                <w:rFonts w:ascii="Times New Roman" w:hAnsi="Times New Roman"/>
                <w:b/>
                <w:bCs/>
                <w:sz w:val="14"/>
                <w:szCs w:val="16"/>
                <w:vertAlign w:val="superscript"/>
              </w:rPr>
              <w:t>(1)</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11215800" w14:textId="76E09C63" w:rsidR="00C430E9" w:rsidRPr="0098629B" w:rsidRDefault="00891B49" w:rsidP="00C430E9">
            <w:pPr>
              <w:jc w:val="center"/>
              <w:rPr>
                <w:rFonts w:ascii="Times New Roman" w:hAnsi="Times New Roman"/>
                <w:b/>
                <w:bCs/>
                <w:sz w:val="14"/>
                <w:szCs w:val="16"/>
              </w:rPr>
            </w:pPr>
            <w:r w:rsidRPr="0098629B">
              <w:rPr>
                <w:sz w:val="14"/>
                <w:szCs w:val="16"/>
              </w:rPr>
              <w:t>CH</w:t>
            </w:r>
            <w:r w:rsidRPr="0098629B">
              <w:rPr>
                <w:sz w:val="14"/>
                <w:szCs w:val="16"/>
                <w:vertAlign w:val="subscript"/>
              </w:rPr>
              <w:t>4</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4739B764" w14:textId="54750511" w:rsidR="00C430E9" w:rsidRPr="0098629B" w:rsidRDefault="00891B49" w:rsidP="00C430E9">
            <w:pPr>
              <w:jc w:val="center"/>
              <w:rPr>
                <w:rFonts w:ascii="Times New Roman" w:hAnsi="Times New Roman"/>
                <w:b/>
                <w:bCs/>
                <w:sz w:val="14"/>
                <w:szCs w:val="16"/>
              </w:rPr>
            </w:pPr>
            <w:r w:rsidRPr="0098629B">
              <w:rPr>
                <w:sz w:val="14"/>
                <w:szCs w:val="16"/>
              </w:rPr>
              <w:t>N</w:t>
            </w:r>
            <w:r w:rsidRPr="0098629B">
              <w:rPr>
                <w:sz w:val="14"/>
                <w:szCs w:val="16"/>
                <w:vertAlign w:val="subscript"/>
              </w:rPr>
              <w:t>2</w:t>
            </w:r>
            <w:r w:rsidRPr="0098629B">
              <w:rPr>
                <w:sz w:val="14"/>
                <w:szCs w:val="16"/>
              </w:rPr>
              <w:t>O</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0C3D446F" w14:textId="77777777" w:rsidR="00C430E9" w:rsidRPr="0098629B" w:rsidRDefault="00C430E9" w:rsidP="00C430E9">
            <w:pPr>
              <w:jc w:val="center"/>
              <w:rPr>
                <w:rFonts w:ascii="Times New Roman" w:hAnsi="Times New Roman"/>
                <w:b/>
                <w:bCs/>
                <w:sz w:val="14"/>
                <w:szCs w:val="16"/>
              </w:rPr>
            </w:pPr>
            <w:r w:rsidRPr="0098629B">
              <w:rPr>
                <w:rFonts w:ascii="Times New Roman" w:hAnsi="Times New Roman"/>
                <w:b/>
                <w:bCs/>
                <w:sz w:val="14"/>
                <w:szCs w:val="16"/>
              </w:rPr>
              <w:t xml:space="preserve">HFCs </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25770648" w14:textId="77777777" w:rsidR="00C430E9" w:rsidRPr="0098629B" w:rsidRDefault="00C430E9" w:rsidP="00C430E9">
            <w:pPr>
              <w:jc w:val="center"/>
              <w:rPr>
                <w:rFonts w:ascii="Times New Roman" w:hAnsi="Times New Roman"/>
                <w:b/>
                <w:bCs/>
                <w:sz w:val="14"/>
                <w:szCs w:val="16"/>
              </w:rPr>
            </w:pPr>
            <w:r w:rsidRPr="0098629B">
              <w:rPr>
                <w:rFonts w:ascii="Times New Roman" w:hAnsi="Times New Roman"/>
                <w:b/>
                <w:bCs/>
                <w:sz w:val="14"/>
                <w:szCs w:val="16"/>
              </w:rPr>
              <w:t>PFCs</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6238B539" w14:textId="4F030748" w:rsidR="00C430E9" w:rsidRPr="0098629B" w:rsidRDefault="002F2FFD" w:rsidP="00C430E9">
            <w:pPr>
              <w:jc w:val="center"/>
              <w:rPr>
                <w:rFonts w:ascii="Times New Roman" w:hAnsi="Times New Roman"/>
                <w:b/>
                <w:bCs/>
                <w:sz w:val="14"/>
                <w:szCs w:val="16"/>
              </w:rPr>
            </w:pPr>
            <w:r w:rsidRPr="0098629B">
              <w:rPr>
                <w:sz w:val="14"/>
                <w:szCs w:val="16"/>
              </w:rPr>
              <w:t>SF</w:t>
            </w:r>
            <w:r w:rsidRPr="0098629B">
              <w:rPr>
                <w:sz w:val="14"/>
                <w:szCs w:val="16"/>
                <w:vertAlign w:val="subscript"/>
              </w:rPr>
              <w:t>6</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14:paraId="348D26F9" w14:textId="77777777" w:rsidR="00C430E9" w:rsidRPr="0098629B" w:rsidRDefault="00C430E9" w:rsidP="00C430E9">
            <w:pPr>
              <w:jc w:val="center"/>
              <w:rPr>
                <w:rFonts w:ascii="Times New Roman" w:hAnsi="Times New Roman"/>
                <w:b/>
                <w:bCs/>
                <w:sz w:val="14"/>
                <w:szCs w:val="16"/>
                <w:lang w:val="en-GB"/>
              </w:rPr>
            </w:pPr>
            <w:r w:rsidRPr="0098629B">
              <w:rPr>
                <w:rFonts w:ascii="Times New Roman" w:hAnsi="Times New Roman"/>
                <w:b/>
                <w:bCs/>
                <w:sz w:val="14"/>
                <w:szCs w:val="16"/>
                <w:lang w:val="en-GB"/>
              </w:rPr>
              <w:t>Unspecified mix of HFCs and PFCs</w:t>
            </w:r>
          </w:p>
        </w:tc>
        <w:tc>
          <w:tcPr>
            <w:tcW w:w="487" w:type="dxa"/>
            <w:tcBorders>
              <w:top w:val="single" w:sz="4" w:space="0" w:color="auto"/>
              <w:left w:val="nil"/>
              <w:bottom w:val="single" w:sz="4" w:space="0" w:color="auto"/>
              <w:right w:val="single" w:sz="4" w:space="0" w:color="auto"/>
            </w:tcBorders>
            <w:shd w:val="clear" w:color="000000" w:fill="CCFFFF"/>
            <w:noWrap/>
            <w:vAlign w:val="center"/>
            <w:hideMark/>
          </w:tcPr>
          <w:p w14:paraId="261CDB13" w14:textId="649E225C" w:rsidR="00C430E9" w:rsidRPr="0098629B" w:rsidRDefault="002F2FFD" w:rsidP="00C430E9">
            <w:pPr>
              <w:jc w:val="center"/>
              <w:rPr>
                <w:rFonts w:ascii="Times New Roman" w:hAnsi="Times New Roman"/>
                <w:b/>
                <w:bCs/>
                <w:sz w:val="14"/>
                <w:szCs w:val="16"/>
              </w:rPr>
            </w:pPr>
            <w:r w:rsidRPr="0098629B">
              <w:rPr>
                <w:sz w:val="14"/>
                <w:szCs w:val="16"/>
              </w:rPr>
              <w:t>NF</w:t>
            </w:r>
            <w:r w:rsidRPr="0098629B">
              <w:rPr>
                <w:sz w:val="14"/>
                <w:szCs w:val="16"/>
                <w:vertAlign w:val="subscript"/>
              </w:rPr>
              <w:t>3</w:t>
            </w:r>
          </w:p>
        </w:tc>
        <w:tc>
          <w:tcPr>
            <w:tcW w:w="976" w:type="dxa"/>
            <w:gridSpan w:val="2"/>
            <w:tcBorders>
              <w:top w:val="single" w:sz="4" w:space="0" w:color="auto"/>
              <w:left w:val="nil"/>
              <w:bottom w:val="single" w:sz="4" w:space="0" w:color="auto"/>
              <w:right w:val="single" w:sz="4" w:space="0" w:color="auto"/>
            </w:tcBorders>
            <w:shd w:val="clear" w:color="000000" w:fill="CCFFFF"/>
            <w:noWrap/>
            <w:vAlign w:val="center"/>
            <w:hideMark/>
          </w:tcPr>
          <w:p w14:paraId="3C0D3FB8" w14:textId="77777777" w:rsidR="00C430E9" w:rsidRPr="0098629B" w:rsidRDefault="00C430E9" w:rsidP="00C430E9">
            <w:pPr>
              <w:jc w:val="center"/>
              <w:rPr>
                <w:rFonts w:ascii="Times New Roman" w:hAnsi="Times New Roman"/>
                <w:b/>
                <w:bCs/>
                <w:sz w:val="14"/>
                <w:szCs w:val="16"/>
              </w:rPr>
            </w:pPr>
            <w:r w:rsidRPr="0098629B">
              <w:rPr>
                <w:rFonts w:ascii="Times New Roman" w:hAnsi="Times New Roman"/>
                <w:b/>
                <w:bCs/>
                <w:sz w:val="14"/>
                <w:szCs w:val="16"/>
              </w:rPr>
              <w:t xml:space="preserve">Total </w:t>
            </w:r>
          </w:p>
        </w:tc>
      </w:tr>
      <w:tr w:rsidR="00C430E9" w:rsidRPr="0098629B" w14:paraId="60592FDA" w14:textId="77777777" w:rsidTr="00D8302C">
        <w:trPr>
          <w:gridAfter w:val="1"/>
          <w:wAfter w:w="152" w:type="dxa"/>
          <w:trHeight w:val="68"/>
          <w:jc w:val="center"/>
        </w:trPr>
        <w:tc>
          <w:tcPr>
            <w:tcW w:w="3397" w:type="dxa"/>
            <w:tcBorders>
              <w:top w:val="nil"/>
              <w:left w:val="single" w:sz="4" w:space="0" w:color="auto"/>
              <w:bottom w:val="nil"/>
              <w:right w:val="single" w:sz="4" w:space="0" w:color="auto"/>
            </w:tcBorders>
            <w:shd w:val="clear" w:color="000000" w:fill="CCFFFF"/>
            <w:noWrap/>
            <w:vAlign w:val="center"/>
            <w:hideMark/>
          </w:tcPr>
          <w:p w14:paraId="7C444B6D" w14:textId="0522064D" w:rsidR="00C430E9" w:rsidRPr="0098629B" w:rsidRDefault="00C430E9" w:rsidP="00C430E9">
            <w:pPr>
              <w:jc w:val="left"/>
              <w:rPr>
                <w:rFonts w:ascii="Times New Roman" w:hAnsi="Times New Roman"/>
                <w:b/>
                <w:bCs/>
                <w:sz w:val="14"/>
                <w:szCs w:val="16"/>
              </w:rPr>
            </w:pPr>
            <w:r w:rsidRPr="0098629B">
              <w:rPr>
                <w:rFonts w:ascii="Times New Roman" w:hAnsi="Times New Roman"/>
                <w:b/>
                <w:bCs/>
                <w:sz w:val="14"/>
                <w:szCs w:val="16"/>
              </w:rPr>
              <w:t>Total (net emissions)</w:t>
            </w:r>
            <w:r w:rsidRPr="0098629B">
              <w:rPr>
                <w:rFonts w:ascii="Times New Roman" w:hAnsi="Times New Roman"/>
                <w:b/>
                <w:bCs/>
                <w:sz w:val="14"/>
                <w:szCs w:val="16"/>
                <w:vertAlign w:val="superscript"/>
              </w:rPr>
              <w:t>(1)</w:t>
            </w:r>
            <w:r w:rsidRPr="0098629B">
              <w:rPr>
                <w:rFonts w:ascii="Times New Roman" w:hAnsi="Times New Roman"/>
                <w:b/>
                <w:bCs/>
                <w:sz w:val="14"/>
                <w:szCs w:val="16"/>
                <w:vertAlign w:val="subscript"/>
              </w:rPr>
              <w:t xml:space="preserve"> </w:t>
            </w:r>
            <w:r w:rsidRPr="0098629B">
              <w:rPr>
                <w:rFonts w:ascii="Times New Roman" w:hAnsi="Times New Roman"/>
                <w:b/>
                <w:bCs/>
                <w:sz w:val="14"/>
                <w:szCs w:val="16"/>
              </w:rPr>
              <w:t>kt</w:t>
            </w:r>
            <w:r w:rsidR="00811B0F" w:rsidRPr="0098629B">
              <w:rPr>
                <w:sz w:val="14"/>
                <w:szCs w:val="16"/>
              </w:rPr>
              <w:t>CO</w:t>
            </w:r>
            <w:r w:rsidR="00811B0F" w:rsidRPr="0098629B">
              <w:rPr>
                <w:sz w:val="14"/>
                <w:szCs w:val="16"/>
                <w:vertAlign w:val="subscript"/>
              </w:rPr>
              <w:t>2</w:t>
            </w:r>
            <w:r w:rsidR="00891B49" w:rsidRPr="0098629B">
              <w:rPr>
                <w:sz w:val="14"/>
                <w:szCs w:val="16"/>
                <w:vertAlign w:val="subscript"/>
              </w:rPr>
              <w:t>e</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630E8FA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276517,49</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40A8F73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56252,96</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2D20F01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39298,64</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63A8816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11822,65</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5278D90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543,49</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0129E8F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347,77</w:t>
            </w:r>
          </w:p>
        </w:tc>
        <w:tc>
          <w:tcPr>
            <w:tcW w:w="1276" w:type="dxa"/>
            <w:tcBorders>
              <w:top w:val="single" w:sz="4" w:space="0" w:color="auto"/>
              <w:left w:val="nil"/>
              <w:bottom w:val="single" w:sz="4" w:space="0" w:color="auto"/>
              <w:right w:val="single" w:sz="4" w:space="0" w:color="auto"/>
            </w:tcBorders>
            <w:shd w:val="clear" w:color="000000" w:fill="CCFFFF"/>
            <w:noWrap/>
            <w:vAlign w:val="bottom"/>
            <w:hideMark/>
          </w:tcPr>
          <w:p w14:paraId="3FDBDB6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487" w:type="dxa"/>
            <w:tcBorders>
              <w:top w:val="single" w:sz="4" w:space="0" w:color="auto"/>
              <w:left w:val="nil"/>
              <w:bottom w:val="single" w:sz="4" w:space="0" w:color="auto"/>
              <w:right w:val="single" w:sz="4" w:space="0" w:color="auto"/>
            </w:tcBorders>
            <w:shd w:val="clear" w:color="000000" w:fill="CCFFFF"/>
            <w:noWrap/>
            <w:vAlign w:val="bottom"/>
            <w:hideMark/>
          </w:tcPr>
          <w:p w14:paraId="707D89D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8,54</w:t>
            </w:r>
          </w:p>
        </w:tc>
        <w:tc>
          <w:tcPr>
            <w:tcW w:w="976" w:type="dxa"/>
            <w:gridSpan w:val="2"/>
            <w:tcBorders>
              <w:top w:val="single" w:sz="4" w:space="0" w:color="auto"/>
              <w:left w:val="nil"/>
              <w:bottom w:val="single" w:sz="4" w:space="0" w:color="auto"/>
              <w:right w:val="single" w:sz="4" w:space="0" w:color="auto"/>
            </w:tcBorders>
            <w:shd w:val="clear" w:color="000000" w:fill="CCFFFF"/>
            <w:noWrap/>
            <w:vAlign w:val="bottom"/>
            <w:hideMark/>
          </w:tcPr>
          <w:p w14:paraId="1B1DC69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384791,52</w:t>
            </w:r>
          </w:p>
        </w:tc>
      </w:tr>
      <w:tr w:rsidR="00C430E9" w:rsidRPr="0098629B" w14:paraId="61BED860" w14:textId="77777777" w:rsidTr="00D8302C">
        <w:trPr>
          <w:gridAfter w:val="1"/>
          <w:wAfter w:w="152" w:type="dxa"/>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88DAE96" w14:textId="77777777" w:rsidR="00C430E9" w:rsidRPr="0098629B" w:rsidRDefault="00C430E9" w:rsidP="00C430E9">
            <w:pPr>
              <w:jc w:val="left"/>
              <w:rPr>
                <w:rFonts w:ascii="Times New Roman" w:hAnsi="Times New Roman"/>
                <w:b/>
                <w:bCs/>
                <w:sz w:val="14"/>
                <w:szCs w:val="16"/>
              </w:rPr>
            </w:pPr>
            <w:r w:rsidRPr="0098629B">
              <w:rPr>
                <w:rFonts w:ascii="Times New Roman" w:hAnsi="Times New Roman"/>
                <w:b/>
                <w:bCs/>
                <w:sz w:val="14"/>
                <w:szCs w:val="16"/>
              </w:rPr>
              <w:t>1. Energy</w:t>
            </w:r>
          </w:p>
        </w:tc>
        <w:tc>
          <w:tcPr>
            <w:tcW w:w="914" w:type="dxa"/>
            <w:tcBorders>
              <w:top w:val="nil"/>
              <w:left w:val="nil"/>
              <w:bottom w:val="single" w:sz="4" w:space="0" w:color="auto"/>
              <w:right w:val="single" w:sz="4" w:space="0" w:color="auto"/>
            </w:tcBorders>
            <w:shd w:val="clear" w:color="000000" w:fill="CCFFFF"/>
            <w:noWrap/>
            <w:vAlign w:val="bottom"/>
            <w:hideMark/>
          </w:tcPr>
          <w:p w14:paraId="4E6F9C0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264912,62</w:t>
            </w:r>
          </w:p>
        </w:tc>
        <w:tc>
          <w:tcPr>
            <w:tcW w:w="820" w:type="dxa"/>
            <w:tcBorders>
              <w:top w:val="nil"/>
              <w:left w:val="nil"/>
              <w:bottom w:val="single" w:sz="4" w:space="0" w:color="auto"/>
              <w:right w:val="single" w:sz="4" w:space="0" w:color="auto"/>
            </w:tcBorders>
            <w:shd w:val="clear" w:color="000000" w:fill="CCFFFF"/>
            <w:noWrap/>
            <w:vAlign w:val="bottom"/>
            <w:hideMark/>
          </w:tcPr>
          <w:p w14:paraId="2AC1120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2137,89</w:t>
            </w:r>
          </w:p>
        </w:tc>
        <w:tc>
          <w:tcPr>
            <w:tcW w:w="820" w:type="dxa"/>
            <w:tcBorders>
              <w:top w:val="nil"/>
              <w:left w:val="nil"/>
              <w:bottom w:val="single" w:sz="4" w:space="0" w:color="auto"/>
              <w:right w:val="single" w:sz="4" w:space="0" w:color="auto"/>
            </w:tcBorders>
            <w:shd w:val="clear" w:color="000000" w:fill="CCFFFF"/>
            <w:noWrap/>
            <w:vAlign w:val="bottom"/>
            <w:hideMark/>
          </w:tcPr>
          <w:p w14:paraId="4BDD88C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3460,04</w:t>
            </w:r>
          </w:p>
        </w:tc>
        <w:tc>
          <w:tcPr>
            <w:tcW w:w="820" w:type="dxa"/>
            <w:tcBorders>
              <w:top w:val="nil"/>
              <w:left w:val="nil"/>
              <w:bottom w:val="single" w:sz="4" w:space="0" w:color="auto"/>
              <w:right w:val="single" w:sz="4" w:space="0" w:color="auto"/>
            </w:tcBorders>
            <w:shd w:val="clear" w:color="000000" w:fill="969696"/>
            <w:noWrap/>
            <w:vAlign w:val="bottom"/>
            <w:hideMark/>
          </w:tcPr>
          <w:p w14:paraId="0CD6471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72FC2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D411F9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666BF0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EBA2B3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719542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270510,55</w:t>
            </w:r>
          </w:p>
        </w:tc>
      </w:tr>
      <w:tr w:rsidR="00C430E9" w:rsidRPr="0098629B" w14:paraId="069F096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17FC426"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A. Fuel combustion (sectoral approach)</w:t>
            </w:r>
          </w:p>
        </w:tc>
        <w:tc>
          <w:tcPr>
            <w:tcW w:w="914" w:type="dxa"/>
            <w:tcBorders>
              <w:top w:val="nil"/>
              <w:left w:val="nil"/>
              <w:bottom w:val="single" w:sz="4" w:space="0" w:color="auto"/>
              <w:right w:val="single" w:sz="4" w:space="0" w:color="auto"/>
            </w:tcBorders>
            <w:shd w:val="clear" w:color="000000" w:fill="CCFFFF"/>
            <w:noWrap/>
            <w:vAlign w:val="bottom"/>
            <w:hideMark/>
          </w:tcPr>
          <w:p w14:paraId="4D94C78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262709,51</w:t>
            </w:r>
          </w:p>
        </w:tc>
        <w:tc>
          <w:tcPr>
            <w:tcW w:w="820" w:type="dxa"/>
            <w:tcBorders>
              <w:top w:val="nil"/>
              <w:left w:val="nil"/>
              <w:bottom w:val="single" w:sz="4" w:space="0" w:color="auto"/>
              <w:right w:val="single" w:sz="4" w:space="0" w:color="auto"/>
            </w:tcBorders>
            <w:shd w:val="clear" w:color="000000" w:fill="CCFFFF"/>
            <w:noWrap/>
            <w:vAlign w:val="bottom"/>
            <w:hideMark/>
          </w:tcPr>
          <w:p w14:paraId="5FB6C10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1286,68</w:t>
            </w:r>
          </w:p>
        </w:tc>
        <w:tc>
          <w:tcPr>
            <w:tcW w:w="820" w:type="dxa"/>
            <w:tcBorders>
              <w:top w:val="nil"/>
              <w:left w:val="nil"/>
              <w:bottom w:val="single" w:sz="4" w:space="0" w:color="auto"/>
              <w:right w:val="single" w:sz="4" w:space="0" w:color="auto"/>
            </w:tcBorders>
            <w:shd w:val="clear" w:color="000000" w:fill="CCFFFF"/>
            <w:noWrap/>
            <w:vAlign w:val="bottom"/>
            <w:hideMark/>
          </w:tcPr>
          <w:p w14:paraId="011844F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3309,02</w:t>
            </w:r>
          </w:p>
        </w:tc>
        <w:tc>
          <w:tcPr>
            <w:tcW w:w="820" w:type="dxa"/>
            <w:tcBorders>
              <w:top w:val="nil"/>
              <w:left w:val="nil"/>
              <w:bottom w:val="single" w:sz="4" w:space="0" w:color="auto"/>
              <w:right w:val="single" w:sz="4" w:space="0" w:color="auto"/>
            </w:tcBorders>
            <w:shd w:val="clear" w:color="000000" w:fill="969696"/>
            <w:noWrap/>
            <w:vAlign w:val="bottom"/>
            <w:hideMark/>
          </w:tcPr>
          <w:p w14:paraId="1B19C71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6F87D2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5E6097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504DBC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66FAC0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527100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267305,22</w:t>
            </w:r>
          </w:p>
        </w:tc>
      </w:tr>
      <w:tr w:rsidR="00C430E9" w:rsidRPr="0098629B" w14:paraId="1BAB490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E388FFC"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1.  Energy industries</w:t>
            </w:r>
          </w:p>
        </w:tc>
        <w:tc>
          <w:tcPr>
            <w:tcW w:w="914" w:type="dxa"/>
            <w:tcBorders>
              <w:top w:val="nil"/>
              <w:left w:val="nil"/>
              <w:bottom w:val="single" w:sz="4" w:space="0" w:color="auto"/>
              <w:right w:val="single" w:sz="4" w:space="0" w:color="auto"/>
            </w:tcBorders>
            <w:shd w:val="clear" w:color="000000" w:fill="CCFFFF"/>
            <w:noWrap/>
            <w:vAlign w:val="bottom"/>
            <w:hideMark/>
          </w:tcPr>
          <w:p w14:paraId="7AF868A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37537,83</w:t>
            </w:r>
          </w:p>
        </w:tc>
        <w:tc>
          <w:tcPr>
            <w:tcW w:w="820" w:type="dxa"/>
            <w:tcBorders>
              <w:top w:val="nil"/>
              <w:left w:val="nil"/>
              <w:bottom w:val="single" w:sz="4" w:space="0" w:color="auto"/>
              <w:right w:val="single" w:sz="4" w:space="0" w:color="auto"/>
            </w:tcBorders>
            <w:shd w:val="clear" w:color="000000" w:fill="CCFFFF"/>
            <w:noWrap/>
            <w:vAlign w:val="bottom"/>
            <w:hideMark/>
          </w:tcPr>
          <w:p w14:paraId="26D47C2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46,05</w:t>
            </w:r>
          </w:p>
        </w:tc>
        <w:tc>
          <w:tcPr>
            <w:tcW w:w="820" w:type="dxa"/>
            <w:tcBorders>
              <w:top w:val="nil"/>
              <w:left w:val="nil"/>
              <w:bottom w:val="single" w:sz="4" w:space="0" w:color="auto"/>
              <w:right w:val="single" w:sz="4" w:space="0" w:color="auto"/>
            </w:tcBorders>
            <w:shd w:val="clear" w:color="000000" w:fill="CCFFFF"/>
            <w:noWrap/>
            <w:vAlign w:val="bottom"/>
            <w:hideMark/>
          </w:tcPr>
          <w:p w14:paraId="40ACC78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252,68</w:t>
            </w:r>
          </w:p>
        </w:tc>
        <w:tc>
          <w:tcPr>
            <w:tcW w:w="820" w:type="dxa"/>
            <w:tcBorders>
              <w:top w:val="nil"/>
              <w:left w:val="nil"/>
              <w:bottom w:val="single" w:sz="4" w:space="0" w:color="auto"/>
              <w:right w:val="single" w:sz="4" w:space="0" w:color="auto"/>
            </w:tcBorders>
            <w:shd w:val="clear" w:color="000000" w:fill="969696"/>
            <w:noWrap/>
            <w:vAlign w:val="bottom"/>
            <w:hideMark/>
          </w:tcPr>
          <w:p w14:paraId="3F705A1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43C22F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215D03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9E2C00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AEE914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D4859D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37836,56</w:t>
            </w:r>
          </w:p>
        </w:tc>
      </w:tr>
      <w:tr w:rsidR="00C430E9" w:rsidRPr="0098629B" w14:paraId="51A5BB79"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51E3731"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2.  Manufacturing industries and construction</w:t>
            </w:r>
          </w:p>
        </w:tc>
        <w:tc>
          <w:tcPr>
            <w:tcW w:w="914" w:type="dxa"/>
            <w:tcBorders>
              <w:top w:val="nil"/>
              <w:left w:val="nil"/>
              <w:bottom w:val="single" w:sz="4" w:space="0" w:color="auto"/>
              <w:right w:val="single" w:sz="4" w:space="0" w:color="auto"/>
            </w:tcBorders>
            <w:shd w:val="clear" w:color="000000" w:fill="CCFFFF"/>
            <w:noWrap/>
            <w:vAlign w:val="bottom"/>
            <w:hideMark/>
          </w:tcPr>
          <w:p w14:paraId="4338008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45369,28</w:t>
            </w:r>
          </w:p>
        </w:tc>
        <w:tc>
          <w:tcPr>
            <w:tcW w:w="820" w:type="dxa"/>
            <w:tcBorders>
              <w:top w:val="nil"/>
              <w:left w:val="nil"/>
              <w:bottom w:val="single" w:sz="4" w:space="0" w:color="auto"/>
              <w:right w:val="single" w:sz="4" w:space="0" w:color="auto"/>
            </w:tcBorders>
            <w:shd w:val="clear" w:color="000000" w:fill="CCFFFF"/>
            <w:noWrap/>
            <w:vAlign w:val="bottom"/>
            <w:hideMark/>
          </w:tcPr>
          <w:p w14:paraId="56784D6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102,97</w:t>
            </w:r>
          </w:p>
        </w:tc>
        <w:tc>
          <w:tcPr>
            <w:tcW w:w="820" w:type="dxa"/>
            <w:tcBorders>
              <w:top w:val="nil"/>
              <w:left w:val="nil"/>
              <w:bottom w:val="single" w:sz="4" w:space="0" w:color="auto"/>
              <w:right w:val="single" w:sz="4" w:space="0" w:color="auto"/>
            </w:tcBorders>
            <w:shd w:val="clear" w:color="000000" w:fill="CCFFFF"/>
            <w:noWrap/>
            <w:vAlign w:val="bottom"/>
            <w:hideMark/>
          </w:tcPr>
          <w:p w14:paraId="603F0C0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516,48</w:t>
            </w:r>
          </w:p>
        </w:tc>
        <w:tc>
          <w:tcPr>
            <w:tcW w:w="820" w:type="dxa"/>
            <w:tcBorders>
              <w:top w:val="nil"/>
              <w:left w:val="nil"/>
              <w:bottom w:val="single" w:sz="4" w:space="0" w:color="auto"/>
              <w:right w:val="single" w:sz="4" w:space="0" w:color="auto"/>
            </w:tcBorders>
            <w:shd w:val="clear" w:color="000000" w:fill="969696"/>
            <w:noWrap/>
            <w:vAlign w:val="bottom"/>
            <w:hideMark/>
          </w:tcPr>
          <w:p w14:paraId="6DBDB35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97384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155C91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310490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2CE6AE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3E9210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45988,73</w:t>
            </w:r>
          </w:p>
        </w:tc>
      </w:tr>
      <w:tr w:rsidR="00C430E9" w:rsidRPr="0098629B" w14:paraId="386A468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E16035F"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3.  Transport</w:t>
            </w:r>
          </w:p>
        </w:tc>
        <w:tc>
          <w:tcPr>
            <w:tcW w:w="914" w:type="dxa"/>
            <w:tcBorders>
              <w:top w:val="nil"/>
              <w:left w:val="nil"/>
              <w:bottom w:val="single" w:sz="4" w:space="0" w:color="auto"/>
              <w:right w:val="single" w:sz="4" w:space="0" w:color="auto"/>
            </w:tcBorders>
            <w:shd w:val="clear" w:color="000000" w:fill="CCFFFF"/>
            <w:noWrap/>
            <w:vAlign w:val="bottom"/>
            <w:hideMark/>
          </w:tcPr>
          <w:p w14:paraId="0D8C3B5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109312,02</w:t>
            </w:r>
          </w:p>
        </w:tc>
        <w:tc>
          <w:tcPr>
            <w:tcW w:w="820" w:type="dxa"/>
            <w:tcBorders>
              <w:top w:val="nil"/>
              <w:left w:val="nil"/>
              <w:bottom w:val="single" w:sz="4" w:space="0" w:color="auto"/>
              <w:right w:val="single" w:sz="4" w:space="0" w:color="auto"/>
            </w:tcBorders>
            <w:shd w:val="clear" w:color="000000" w:fill="CCFFFF"/>
            <w:noWrap/>
            <w:vAlign w:val="bottom"/>
            <w:hideMark/>
          </w:tcPr>
          <w:p w14:paraId="57CE2F2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145,05</w:t>
            </w:r>
          </w:p>
        </w:tc>
        <w:tc>
          <w:tcPr>
            <w:tcW w:w="820" w:type="dxa"/>
            <w:tcBorders>
              <w:top w:val="nil"/>
              <w:left w:val="nil"/>
              <w:bottom w:val="single" w:sz="4" w:space="0" w:color="auto"/>
              <w:right w:val="single" w:sz="4" w:space="0" w:color="auto"/>
            </w:tcBorders>
            <w:shd w:val="clear" w:color="000000" w:fill="CCFFFF"/>
            <w:noWrap/>
            <w:vAlign w:val="bottom"/>
            <w:hideMark/>
          </w:tcPr>
          <w:p w14:paraId="1BF4F41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1156,99</w:t>
            </w:r>
          </w:p>
        </w:tc>
        <w:tc>
          <w:tcPr>
            <w:tcW w:w="820" w:type="dxa"/>
            <w:tcBorders>
              <w:top w:val="nil"/>
              <w:left w:val="nil"/>
              <w:bottom w:val="single" w:sz="4" w:space="0" w:color="auto"/>
              <w:right w:val="single" w:sz="4" w:space="0" w:color="auto"/>
            </w:tcBorders>
            <w:shd w:val="clear" w:color="000000" w:fill="969696"/>
            <w:noWrap/>
            <w:vAlign w:val="bottom"/>
            <w:hideMark/>
          </w:tcPr>
          <w:p w14:paraId="1F45044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5C1DD2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94EE8D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346F2E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3E1FC6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F9D163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110614,06</w:t>
            </w:r>
          </w:p>
        </w:tc>
      </w:tr>
      <w:tr w:rsidR="00C430E9" w:rsidRPr="0098629B" w14:paraId="0E49404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02056E6"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4.  Other sectors</w:t>
            </w:r>
          </w:p>
        </w:tc>
        <w:tc>
          <w:tcPr>
            <w:tcW w:w="914" w:type="dxa"/>
            <w:tcBorders>
              <w:top w:val="nil"/>
              <w:left w:val="nil"/>
              <w:bottom w:val="single" w:sz="4" w:space="0" w:color="auto"/>
              <w:right w:val="single" w:sz="4" w:space="0" w:color="auto"/>
            </w:tcBorders>
            <w:shd w:val="clear" w:color="000000" w:fill="CCFFFF"/>
            <w:noWrap/>
            <w:vAlign w:val="bottom"/>
            <w:hideMark/>
          </w:tcPr>
          <w:p w14:paraId="53B295B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69013,99</w:t>
            </w:r>
          </w:p>
        </w:tc>
        <w:tc>
          <w:tcPr>
            <w:tcW w:w="820" w:type="dxa"/>
            <w:tcBorders>
              <w:top w:val="nil"/>
              <w:left w:val="nil"/>
              <w:bottom w:val="single" w:sz="4" w:space="0" w:color="auto"/>
              <w:right w:val="single" w:sz="4" w:space="0" w:color="auto"/>
            </w:tcBorders>
            <w:shd w:val="clear" w:color="000000" w:fill="CCFFFF"/>
            <w:noWrap/>
            <w:vAlign w:val="bottom"/>
            <w:hideMark/>
          </w:tcPr>
          <w:p w14:paraId="05255C8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990,60</w:t>
            </w:r>
          </w:p>
        </w:tc>
        <w:tc>
          <w:tcPr>
            <w:tcW w:w="820" w:type="dxa"/>
            <w:tcBorders>
              <w:top w:val="nil"/>
              <w:left w:val="nil"/>
              <w:bottom w:val="single" w:sz="4" w:space="0" w:color="auto"/>
              <w:right w:val="single" w:sz="4" w:space="0" w:color="auto"/>
            </w:tcBorders>
            <w:shd w:val="clear" w:color="000000" w:fill="CCFFFF"/>
            <w:noWrap/>
            <w:vAlign w:val="bottom"/>
            <w:hideMark/>
          </w:tcPr>
          <w:p w14:paraId="055A72F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1374,75</w:t>
            </w:r>
          </w:p>
        </w:tc>
        <w:tc>
          <w:tcPr>
            <w:tcW w:w="820" w:type="dxa"/>
            <w:tcBorders>
              <w:top w:val="nil"/>
              <w:left w:val="nil"/>
              <w:bottom w:val="single" w:sz="4" w:space="0" w:color="auto"/>
              <w:right w:val="single" w:sz="4" w:space="0" w:color="auto"/>
            </w:tcBorders>
            <w:shd w:val="clear" w:color="000000" w:fill="969696"/>
            <w:noWrap/>
            <w:vAlign w:val="bottom"/>
            <w:hideMark/>
          </w:tcPr>
          <w:p w14:paraId="79FA419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0B3AE2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82CD5B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B1005F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0C1431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138E22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71379,34</w:t>
            </w:r>
          </w:p>
        </w:tc>
      </w:tr>
      <w:tr w:rsidR="00C430E9" w:rsidRPr="0098629B" w14:paraId="266E784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B3471B0"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5.  Other</w:t>
            </w:r>
          </w:p>
        </w:tc>
        <w:tc>
          <w:tcPr>
            <w:tcW w:w="914" w:type="dxa"/>
            <w:tcBorders>
              <w:top w:val="nil"/>
              <w:left w:val="nil"/>
              <w:bottom w:val="single" w:sz="4" w:space="0" w:color="auto"/>
              <w:right w:val="single" w:sz="4" w:space="0" w:color="auto"/>
            </w:tcBorders>
            <w:shd w:val="clear" w:color="000000" w:fill="CCFFFF"/>
            <w:noWrap/>
            <w:vAlign w:val="bottom"/>
            <w:hideMark/>
          </w:tcPr>
          <w:p w14:paraId="15FA2AC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1476,39</w:t>
            </w:r>
          </w:p>
        </w:tc>
        <w:tc>
          <w:tcPr>
            <w:tcW w:w="820" w:type="dxa"/>
            <w:tcBorders>
              <w:top w:val="nil"/>
              <w:left w:val="nil"/>
              <w:bottom w:val="single" w:sz="4" w:space="0" w:color="auto"/>
              <w:right w:val="single" w:sz="4" w:space="0" w:color="auto"/>
            </w:tcBorders>
            <w:shd w:val="clear" w:color="000000" w:fill="CCFFFF"/>
            <w:noWrap/>
            <w:vAlign w:val="bottom"/>
            <w:hideMark/>
          </w:tcPr>
          <w:p w14:paraId="3947025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2,02</w:t>
            </w:r>
          </w:p>
        </w:tc>
        <w:tc>
          <w:tcPr>
            <w:tcW w:w="820" w:type="dxa"/>
            <w:tcBorders>
              <w:top w:val="nil"/>
              <w:left w:val="nil"/>
              <w:bottom w:val="single" w:sz="4" w:space="0" w:color="auto"/>
              <w:right w:val="single" w:sz="4" w:space="0" w:color="auto"/>
            </w:tcBorders>
            <w:shd w:val="clear" w:color="000000" w:fill="CCFFFF"/>
            <w:noWrap/>
            <w:vAlign w:val="bottom"/>
            <w:hideMark/>
          </w:tcPr>
          <w:p w14:paraId="7431570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8,13</w:t>
            </w:r>
          </w:p>
        </w:tc>
        <w:tc>
          <w:tcPr>
            <w:tcW w:w="820" w:type="dxa"/>
            <w:tcBorders>
              <w:top w:val="nil"/>
              <w:left w:val="nil"/>
              <w:bottom w:val="single" w:sz="4" w:space="0" w:color="auto"/>
              <w:right w:val="single" w:sz="4" w:space="0" w:color="auto"/>
            </w:tcBorders>
            <w:shd w:val="clear" w:color="000000" w:fill="969696"/>
            <w:noWrap/>
            <w:vAlign w:val="bottom"/>
            <w:hideMark/>
          </w:tcPr>
          <w:p w14:paraId="23E3E9A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987844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EB9FF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064BBD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38723A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26EF9B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1486,53</w:t>
            </w:r>
          </w:p>
        </w:tc>
      </w:tr>
      <w:tr w:rsidR="00C430E9" w:rsidRPr="0098629B" w14:paraId="4ACF7CB7"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7085E34"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B. Fugitive emissions from fuels</w:t>
            </w:r>
          </w:p>
        </w:tc>
        <w:tc>
          <w:tcPr>
            <w:tcW w:w="914" w:type="dxa"/>
            <w:tcBorders>
              <w:top w:val="nil"/>
              <w:left w:val="nil"/>
              <w:bottom w:val="single" w:sz="4" w:space="0" w:color="auto"/>
              <w:right w:val="single" w:sz="4" w:space="0" w:color="auto"/>
            </w:tcBorders>
            <w:shd w:val="clear" w:color="000000" w:fill="CCFFFF"/>
            <w:noWrap/>
            <w:vAlign w:val="bottom"/>
            <w:hideMark/>
          </w:tcPr>
          <w:p w14:paraId="1712F61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4D788EE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851,21</w:t>
            </w:r>
          </w:p>
        </w:tc>
        <w:tc>
          <w:tcPr>
            <w:tcW w:w="820" w:type="dxa"/>
            <w:tcBorders>
              <w:top w:val="nil"/>
              <w:left w:val="nil"/>
              <w:bottom w:val="single" w:sz="4" w:space="0" w:color="auto"/>
              <w:right w:val="single" w:sz="4" w:space="0" w:color="auto"/>
            </w:tcBorders>
            <w:shd w:val="clear" w:color="000000" w:fill="CCFFFF"/>
            <w:noWrap/>
            <w:vAlign w:val="bottom"/>
            <w:hideMark/>
          </w:tcPr>
          <w:p w14:paraId="250E072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2634827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7CC96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947F9B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942E3B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16281E8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C2822E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3205,33</w:t>
            </w:r>
          </w:p>
        </w:tc>
      </w:tr>
      <w:tr w:rsidR="00C430E9" w:rsidRPr="0098629B" w14:paraId="2986234B"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4F043F0"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1.  Solid fuels</w:t>
            </w:r>
          </w:p>
        </w:tc>
        <w:tc>
          <w:tcPr>
            <w:tcW w:w="914" w:type="dxa"/>
            <w:tcBorders>
              <w:top w:val="nil"/>
              <w:left w:val="nil"/>
              <w:bottom w:val="single" w:sz="4" w:space="0" w:color="auto"/>
              <w:right w:val="single" w:sz="4" w:space="0" w:color="auto"/>
            </w:tcBorders>
            <w:shd w:val="clear" w:color="000000" w:fill="CCFFFF"/>
            <w:noWrap/>
            <w:vAlign w:val="bottom"/>
            <w:hideMark/>
          </w:tcPr>
          <w:p w14:paraId="606AFE4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03AA4E4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25,56</w:t>
            </w:r>
          </w:p>
        </w:tc>
        <w:tc>
          <w:tcPr>
            <w:tcW w:w="820" w:type="dxa"/>
            <w:tcBorders>
              <w:top w:val="nil"/>
              <w:left w:val="nil"/>
              <w:bottom w:val="single" w:sz="4" w:space="0" w:color="auto"/>
              <w:right w:val="single" w:sz="4" w:space="0" w:color="auto"/>
            </w:tcBorders>
            <w:shd w:val="clear" w:color="000000" w:fill="CCFFFF"/>
            <w:noWrap/>
            <w:vAlign w:val="bottom"/>
            <w:hideMark/>
          </w:tcPr>
          <w:p w14:paraId="3788C04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1444FAC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55634E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37949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A4C8AE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57960D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C83DB7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25,56</w:t>
            </w:r>
          </w:p>
        </w:tc>
      </w:tr>
      <w:tr w:rsidR="00C430E9" w:rsidRPr="0098629B" w14:paraId="5FE0B694"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A04B24A"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2.  Oil and natural gas</w:t>
            </w:r>
          </w:p>
        </w:tc>
        <w:tc>
          <w:tcPr>
            <w:tcW w:w="914" w:type="dxa"/>
            <w:tcBorders>
              <w:top w:val="nil"/>
              <w:left w:val="nil"/>
              <w:bottom w:val="single" w:sz="4" w:space="0" w:color="auto"/>
              <w:right w:val="single" w:sz="4" w:space="0" w:color="auto"/>
            </w:tcBorders>
            <w:shd w:val="clear" w:color="000000" w:fill="CCFFFF"/>
            <w:noWrap/>
            <w:vAlign w:val="bottom"/>
            <w:hideMark/>
          </w:tcPr>
          <w:p w14:paraId="413883A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301F24B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825,65</w:t>
            </w:r>
          </w:p>
        </w:tc>
        <w:tc>
          <w:tcPr>
            <w:tcW w:w="820" w:type="dxa"/>
            <w:tcBorders>
              <w:top w:val="nil"/>
              <w:left w:val="nil"/>
              <w:bottom w:val="single" w:sz="4" w:space="0" w:color="auto"/>
              <w:right w:val="single" w:sz="4" w:space="0" w:color="auto"/>
            </w:tcBorders>
            <w:shd w:val="clear" w:color="000000" w:fill="CCFFFF"/>
            <w:noWrap/>
            <w:vAlign w:val="bottom"/>
            <w:hideMark/>
          </w:tcPr>
          <w:p w14:paraId="35D036C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0FD34AC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7E7F11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8188F1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13644B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9F7E94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6BCB10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3179,77</w:t>
            </w:r>
          </w:p>
        </w:tc>
      </w:tr>
      <w:tr w:rsidR="00C430E9" w:rsidRPr="0098629B" w14:paraId="711D590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AC945D3" w14:textId="2B755415"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 xml:space="preserve">C.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sz w:val="14"/>
                <w:szCs w:val="16"/>
                <w:lang w:val="en-GB"/>
              </w:rPr>
              <w:t xml:space="preserve"> transport and storage</w:t>
            </w:r>
          </w:p>
        </w:tc>
        <w:tc>
          <w:tcPr>
            <w:tcW w:w="914" w:type="dxa"/>
            <w:tcBorders>
              <w:top w:val="nil"/>
              <w:left w:val="nil"/>
              <w:bottom w:val="single" w:sz="4" w:space="0" w:color="auto"/>
              <w:right w:val="single" w:sz="4" w:space="0" w:color="auto"/>
            </w:tcBorders>
            <w:shd w:val="clear" w:color="000000" w:fill="CCFFFF"/>
            <w:noWrap/>
            <w:vAlign w:val="bottom"/>
            <w:hideMark/>
          </w:tcPr>
          <w:p w14:paraId="2688855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5E715F8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E6BC6D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7B71FE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74FFB4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6766C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3DF8D0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2332FF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0C42DC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r>
      <w:tr w:rsidR="00C430E9" w:rsidRPr="0098629B" w14:paraId="3614E77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DEE2A2F" w14:textId="77777777" w:rsidR="00C430E9" w:rsidRPr="0098629B" w:rsidRDefault="00C430E9" w:rsidP="00C430E9">
            <w:pPr>
              <w:jc w:val="left"/>
              <w:rPr>
                <w:rFonts w:ascii="Times New Roman" w:hAnsi="Times New Roman"/>
                <w:b/>
                <w:bCs/>
                <w:sz w:val="14"/>
                <w:szCs w:val="16"/>
                <w:lang w:val="en-GB"/>
              </w:rPr>
            </w:pPr>
            <w:r w:rsidRPr="0098629B">
              <w:rPr>
                <w:rFonts w:ascii="Times New Roman" w:hAnsi="Times New Roman"/>
                <w:b/>
                <w:bCs/>
                <w:sz w:val="14"/>
                <w:szCs w:val="16"/>
                <w:lang w:val="en-GB"/>
              </w:rPr>
              <w:t>2.  Industrial processes and product use</w:t>
            </w:r>
          </w:p>
        </w:tc>
        <w:tc>
          <w:tcPr>
            <w:tcW w:w="914" w:type="dxa"/>
            <w:tcBorders>
              <w:top w:val="nil"/>
              <w:left w:val="nil"/>
              <w:bottom w:val="single" w:sz="4" w:space="0" w:color="auto"/>
              <w:right w:val="single" w:sz="4" w:space="0" w:color="auto"/>
            </w:tcBorders>
            <w:shd w:val="clear" w:color="000000" w:fill="CCFFFF"/>
            <w:noWrap/>
            <w:vAlign w:val="bottom"/>
            <w:hideMark/>
          </w:tcPr>
          <w:p w14:paraId="04D4F44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26762,04</w:t>
            </w:r>
          </w:p>
        </w:tc>
        <w:tc>
          <w:tcPr>
            <w:tcW w:w="820" w:type="dxa"/>
            <w:tcBorders>
              <w:top w:val="nil"/>
              <w:left w:val="nil"/>
              <w:bottom w:val="single" w:sz="4" w:space="0" w:color="auto"/>
              <w:right w:val="single" w:sz="4" w:space="0" w:color="auto"/>
            </w:tcBorders>
            <w:shd w:val="clear" w:color="000000" w:fill="CCFFFF"/>
            <w:noWrap/>
            <w:vAlign w:val="bottom"/>
            <w:hideMark/>
          </w:tcPr>
          <w:p w14:paraId="78AB881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57,12</w:t>
            </w:r>
          </w:p>
        </w:tc>
        <w:tc>
          <w:tcPr>
            <w:tcW w:w="820" w:type="dxa"/>
            <w:tcBorders>
              <w:top w:val="nil"/>
              <w:left w:val="nil"/>
              <w:bottom w:val="single" w:sz="4" w:space="0" w:color="auto"/>
              <w:right w:val="single" w:sz="4" w:space="0" w:color="auto"/>
            </w:tcBorders>
            <w:shd w:val="clear" w:color="000000" w:fill="CCFFFF"/>
            <w:noWrap/>
            <w:vAlign w:val="bottom"/>
            <w:hideMark/>
          </w:tcPr>
          <w:p w14:paraId="67913E8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742,88</w:t>
            </w:r>
          </w:p>
        </w:tc>
        <w:tc>
          <w:tcPr>
            <w:tcW w:w="820" w:type="dxa"/>
            <w:tcBorders>
              <w:top w:val="nil"/>
              <w:left w:val="nil"/>
              <w:bottom w:val="single" w:sz="4" w:space="0" w:color="auto"/>
              <w:right w:val="single" w:sz="4" w:space="0" w:color="auto"/>
            </w:tcBorders>
            <w:shd w:val="clear" w:color="000000" w:fill="CCFFFF"/>
            <w:noWrap/>
            <w:vAlign w:val="bottom"/>
            <w:hideMark/>
          </w:tcPr>
          <w:p w14:paraId="4A18052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11822,65</w:t>
            </w:r>
          </w:p>
        </w:tc>
        <w:tc>
          <w:tcPr>
            <w:tcW w:w="723" w:type="dxa"/>
            <w:tcBorders>
              <w:top w:val="nil"/>
              <w:left w:val="nil"/>
              <w:bottom w:val="single" w:sz="4" w:space="0" w:color="auto"/>
              <w:right w:val="single" w:sz="4" w:space="0" w:color="auto"/>
            </w:tcBorders>
            <w:shd w:val="clear" w:color="000000" w:fill="CCFFFF"/>
            <w:noWrap/>
            <w:vAlign w:val="bottom"/>
            <w:hideMark/>
          </w:tcPr>
          <w:p w14:paraId="168B642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543,49</w:t>
            </w:r>
          </w:p>
        </w:tc>
        <w:tc>
          <w:tcPr>
            <w:tcW w:w="723" w:type="dxa"/>
            <w:tcBorders>
              <w:top w:val="nil"/>
              <w:left w:val="nil"/>
              <w:bottom w:val="single" w:sz="4" w:space="0" w:color="auto"/>
              <w:right w:val="single" w:sz="4" w:space="0" w:color="auto"/>
            </w:tcBorders>
            <w:shd w:val="clear" w:color="000000" w:fill="CCFFFF"/>
            <w:noWrap/>
            <w:vAlign w:val="bottom"/>
            <w:hideMark/>
          </w:tcPr>
          <w:p w14:paraId="7C8E90C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347,77</w:t>
            </w:r>
          </w:p>
        </w:tc>
        <w:tc>
          <w:tcPr>
            <w:tcW w:w="1276" w:type="dxa"/>
            <w:tcBorders>
              <w:top w:val="nil"/>
              <w:left w:val="nil"/>
              <w:bottom w:val="single" w:sz="4" w:space="0" w:color="auto"/>
              <w:right w:val="single" w:sz="4" w:space="0" w:color="auto"/>
            </w:tcBorders>
            <w:shd w:val="clear" w:color="000000" w:fill="CCFFFF"/>
            <w:noWrap/>
            <w:vAlign w:val="bottom"/>
            <w:hideMark/>
          </w:tcPr>
          <w:p w14:paraId="0454DCE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487" w:type="dxa"/>
            <w:tcBorders>
              <w:top w:val="nil"/>
              <w:left w:val="nil"/>
              <w:bottom w:val="single" w:sz="4" w:space="0" w:color="auto"/>
              <w:right w:val="single" w:sz="4" w:space="0" w:color="auto"/>
            </w:tcBorders>
            <w:shd w:val="clear" w:color="000000" w:fill="CCFFFF"/>
            <w:noWrap/>
            <w:vAlign w:val="bottom"/>
            <w:hideMark/>
          </w:tcPr>
          <w:p w14:paraId="46AACC1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8,54</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164E0E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40284,48</w:t>
            </w:r>
          </w:p>
        </w:tc>
      </w:tr>
      <w:tr w:rsidR="00C430E9" w:rsidRPr="0098629B" w14:paraId="0DAA7D05"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B01A3FD"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A.  Mineral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68FD0B3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9082,96</w:t>
            </w:r>
          </w:p>
        </w:tc>
        <w:tc>
          <w:tcPr>
            <w:tcW w:w="820" w:type="dxa"/>
            <w:tcBorders>
              <w:top w:val="nil"/>
              <w:left w:val="nil"/>
              <w:bottom w:val="single" w:sz="4" w:space="0" w:color="auto"/>
              <w:right w:val="single" w:sz="4" w:space="0" w:color="auto"/>
            </w:tcBorders>
            <w:shd w:val="clear" w:color="000000" w:fill="969696"/>
            <w:noWrap/>
            <w:vAlign w:val="bottom"/>
            <w:hideMark/>
          </w:tcPr>
          <w:p w14:paraId="4EA4CCF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3582D9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8D90DF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9F95AA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E16982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3D8A6F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98A9A3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54BF2B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9082,96</w:t>
            </w:r>
          </w:p>
        </w:tc>
      </w:tr>
      <w:tr w:rsidR="00C430E9" w:rsidRPr="0098629B" w14:paraId="093A18A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08AE0F0"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B.  Chemical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4AE432E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6282,91</w:t>
            </w:r>
          </w:p>
        </w:tc>
        <w:tc>
          <w:tcPr>
            <w:tcW w:w="820" w:type="dxa"/>
            <w:tcBorders>
              <w:top w:val="nil"/>
              <w:left w:val="nil"/>
              <w:bottom w:val="single" w:sz="4" w:space="0" w:color="auto"/>
              <w:right w:val="single" w:sz="4" w:space="0" w:color="auto"/>
            </w:tcBorders>
            <w:shd w:val="clear" w:color="000000" w:fill="CCFFFF"/>
            <w:noWrap/>
            <w:vAlign w:val="bottom"/>
            <w:hideMark/>
          </w:tcPr>
          <w:p w14:paraId="2F8187F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31,24</w:t>
            </w:r>
          </w:p>
        </w:tc>
        <w:tc>
          <w:tcPr>
            <w:tcW w:w="820" w:type="dxa"/>
            <w:tcBorders>
              <w:top w:val="nil"/>
              <w:left w:val="nil"/>
              <w:bottom w:val="single" w:sz="4" w:space="0" w:color="auto"/>
              <w:right w:val="single" w:sz="4" w:space="0" w:color="auto"/>
            </w:tcBorders>
            <w:shd w:val="clear" w:color="000000" w:fill="CCFFFF"/>
            <w:noWrap/>
            <w:vAlign w:val="bottom"/>
            <w:hideMark/>
          </w:tcPr>
          <w:p w14:paraId="174A8DA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606,27</w:t>
            </w:r>
          </w:p>
        </w:tc>
        <w:tc>
          <w:tcPr>
            <w:tcW w:w="820" w:type="dxa"/>
            <w:tcBorders>
              <w:top w:val="nil"/>
              <w:left w:val="nil"/>
              <w:bottom w:val="single" w:sz="4" w:space="0" w:color="auto"/>
              <w:right w:val="single" w:sz="4" w:space="0" w:color="auto"/>
            </w:tcBorders>
            <w:shd w:val="clear" w:color="000000" w:fill="CCFFFF"/>
            <w:noWrap/>
            <w:vAlign w:val="bottom"/>
            <w:hideMark/>
          </w:tcPr>
          <w:p w14:paraId="22287DC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94,45</w:t>
            </w:r>
          </w:p>
        </w:tc>
        <w:tc>
          <w:tcPr>
            <w:tcW w:w="723" w:type="dxa"/>
            <w:tcBorders>
              <w:top w:val="nil"/>
              <w:left w:val="nil"/>
              <w:bottom w:val="single" w:sz="4" w:space="0" w:color="auto"/>
              <w:right w:val="single" w:sz="4" w:space="0" w:color="auto"/>
            </w:tcBorders>
            <w:shd w:val="clear" w:color="000000" w:fill="CCFFFF"/>
            <w:noWrap/>
            <w:vAlign w:val="bottom"/>
            <w:hideMark/>
          </w:tcPr>
          <w:p w14:paraId="066F2EA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723" w:type="dxa"/>
            <w:tcBorders>
              <w:top w:val="nil"/>
              <w:left w:val="nil"/>
              <w:bottom w:val="single" w:sz="4" w:space="0" w:color="auto"/>
              <w:right w:val="single" w:sz="4" w:space="0" w:color="auto"/>
            </w:tcBorders>
            <w:shd w:val="clear" w:color="000000" w:fill="CCFFFF"/>
            <w:noWrap/>
            <w:vAlign w:val="bottom"/>
            <w:hideMark/>
          </w:tcPr>
          <w:p w14:paraId="725D052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1276" w:type="dxa"/>
            <w:tcBorders>
              <w:top w:val="nil"/>
              <w:left w:val="nil"/>
              <w:bottom w:val="single" w:sz="4" w:space="0" w:color="auto"/>
              <w:right w:val="single" w:sz="4" w:space="0" w:color="auto"/>
            </w:tcBorders>
            <w:shd w:val="clear" w:color="000000" w:fill="CCFFFF"/>
            <w:noWrap/>
            <w:vAlign w:val="bottom"/>
            <w:hideMark/>
          </w:tcPr>
          <w:p w14:paraId="759B45C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487" w:type="dxa"/>
            <w:tcBorders>
              <w:top w:val="nil"/>
              <w:left w:val="nil"/>
              <w:bottom w:val="single" w:sz="4" w:space="0" w:color="auto"/>
              <w:right w:val="single" w:sz="4" w:space="0" w:color="auto"/>
            </w:tcBorders>
            <w:shd w:val="clear" w:color="000000" w:fill="CCFFFF"/>
            <w:noWrap/>
            <w:vAlign w:val="bottom"/>
            <w:hideMark/>
          </w:tcPr>
          <w:p w14:paraId="60D13F3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672B29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7014,86</w:t>
            </w:r>
          </w:p>
        </w:tc>
      </w:tr>
      <w:tr w:rsidR="00C430E9" w:rsidRPr="0098629B" w14:paraId="16D3BA07"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4CFC729"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C.  Metal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02182E3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9862,56</w:t>
            </w:r>
          </w:p>
        </w:tc>
        <w:tc>
          <w:tcPr>
            <w:tcW w:w="820" w:type="dxa"/>
            <w:tcBorders>
              <w:top w:val="nil"/>
              <w:left w:val="nil"/>
              <w:bottom w:val="single" w:sz="4" w:space="0" w:color="auto"/>
              <w:right w:val="single" w:sz="4" w:space="0" w:color="auto"/>
            </w:tcBorders>
            <w:shd w:val="clear" w:color="000000" w:fill="CCFFFF"/>
            <w:noWrap/>
            <w:vAlign w:val="bottom"/>
            <w:hideMark/>
          </w:tcPr>
          <w:p w14:paraId="74B2926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25,64</w:t>
            </w:r>
          </w:p>
        </w:tc>
        <w:tc>
          <w:tcPr>
            <w:tcW w:w="820" w:type="dxa"/>
            <w:tcBorders>
              <w:top w:val="nil"/>
              <w:left w:val="nil"/>
              <w:bottom w:val="single" w:sz="4" w:space="0" w:color="auto"/>
              <w:right w:val="single" w:sz="4" w:space="0" w:color="auto"/>
            </w:tcBorders>
            <w:shd w:val="clear" w:color="000000" w:fill="CCFFFF"/>
            <w:noWrap/>
            <w:vAlign w:val="bottom"/>
            <w:hideMark/>
          </w:tcPr>
          <w:p w14:paraId="01A86F9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35CEA8F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NO,IE</w:t>
            </w:r>
          </w:p>
        </w:tc>
        <w:tc>
          <w:tcPr>
            <w:tcW w:w="723" w:type="dxa"/>
            <w:tcBorders>
              <w:top w:val="nil"/>
              <w:left w:val="nil"/>
              <w:bottom w:val="single" w:sz="4" w:space="0" w:color="auto"/>
              <w:right w:val="single" w:sz="4" w:space="0" w:color="auto"/>
            </w:tcBorders>
            <w:shd w:val="clear" w:color="000000" w:fill="CCFFFF"/>
            <w:noWrap/>
            <w:vAlign w:val="bottom"/>
            <w:hideMark/>
          </w:tcPr>
          <w:p w14:paraId="5433BCE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61,33</w:t>
            </w:r>
          </w:p>
        </w:tc>
        <w:tc>
          <w:tcPr>
            <w:tcW w:w="723" w:type="dxa"/>
            <w:tcBorders>
              <w:top w:val="nil"/>
              <w:left w:val="nil"/>
              <w:bottom w:val="single" w:sz="4" w:space="0" w:color="auto"/>
              <w:right w:val="single" w:sz="4" w:space="0" w:color="auto"/>
            </w:tcBorders>
            <w:shd w:val="clear" w:color="000000" w:fill="CCFFFF"/>
            <w:noWrap/>
            <w:vAlign w:val="bottom"/>
            <w:hideMark/>
          </w:tcPr>
          <w:p w14:paraId="5FE3CF2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7,66</w:t>
            </w:r>
          </w:p>
        </w:tc>
        <w:tc>
          <w:tcPr>
            <w:tcW w:w="1276" w:type="dxa"/>
            <w:tcBorders>
              <w:top w:val="nil"/>
              <w:left w:val="nil"/>
              <w:bottom w:val="single" w:sz="4" w:space="0" w:color="auto"/>
              <w:right w:val="single" w:sz="4" w:space="0" w:color="auto"/>
            </w:tcBorders>
            <w:shd w:val="clear" w:color="000000" w:fill="CCFFFF"/>
            <w:noWrap/>
            <w:vAlign w:val="bottom"/>
            <w:hideMark/>
          </w:tcPr>
          <w:p w14:paraId="418FCD9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487" w:type="dxa"/>
            <w:tcBorders>
              <w:top w:val="nil"/>
              <w:left w:val="nil"/>
              <w:bottom w:val="single" w:sz="4" w:space="0" w:color="auto"/>
              <w:right w:val="single" w:sz="4" w:space="0" w:color="auto"/>
            </w:tcBorders>
            <w:shd w:val="clear" w:color="000000" w:fill="CCFFFF"/>
            <w:noWrap/>
            <w:vAlign w:val="bottom"/>
            <w:hideMark/>
          </w:tcPr>
          <w:p w14:paraId="44CEBDF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A5AC21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9957,18</w:t>
            </w:r>
          </w:p>
        </w:tc>
      </w:tr>
      <w:tr w:rsidR="00C430E9" w:rsidRPr="0098629B" w14:paraId="4138C9C9"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53946CB1"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D.  Non-energy products from fuels and solvent use</w:t>
            </w:r>
          </w:p>
        </w:tc>
        <w:tc>
          <w:tcPr>
            <w:tcW w:w="914" w:type="dxa"/>
            <w:tcBorders>
              <w:top w:val="nil"/>
              <w:left w:val="nil"/>
              <w:bottom w:val="single" w:sz="4" w:space="0" w:color="auto"/>
              <w:right w:val="single" w:sz="4" w:space="0" w:color="auto"/>
            </w:tcBorders>
            <w:shd w:val="clear" w:color="000000" w:fill="CCFFFF"/>
            <w:noWrap/>
            <w:vAlign w:val="bottom"/>
            <w:hideMark/>
          </w:tcPr>
          <w:p w14:paraId="001AAD7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1071,19</w:t>
            </w:r>
          </w:p>
        </w:tc>
        <w:tc>
          <w:tcPr>
            <w:tcW w:w="820" w:type="dxa"/>
            <w:tcBorders>
              <w:top w:val="nil"/>
              <w:left w:val="nil"/>
              <w:bottom w:val="single" w:sz="4" w:space="0" w:color="auto"/>
              <w:right w:val="single" w:sz="4" w:space="0" w:color="auto"/>
            </w:tcBorders>
            <w:shd w:val="clear" w:color="000000" w:fill="CCFFFF"/>
            <w:noWrap/>
            <w:vAlign w:val="bottom"/>
            <w:hideMark/>
          </w:tcPr>
          <w:p w14:paraId="1A7CE4E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0,24</w:t>
            </w:r>
          </w:p>
        </w:tc>
        <w:tc>
          <w:tcPr>
            <w:tcW w:w="820" w:type="dxa"/>
            <w:tcBorders>
              <w:top w:val="nil"/>
              <w:left w:val="nil"/>
              <w:bottom w:val="single" w:sz="4" w:space="0" w:color="auto"/>
              <w:right w:val="single" w:sz="4" w:space="0" w:color="auto"/>
            </w:tcBorders>
            <w:shd w:val="clear" w:color="000000" w:fill="CCFFFF"/>
            <w:noWrap/>
            <w:vAlign w:val="bottom"/>
            <w:hideMark/>
          </w:tcPr>
          <w:p w14:paraId="446545E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2,03</w:t>
            </w:r>
          </w:p>
        </w:tc>
        <w:tc>
          <w:tcPr>
            <w:tcW w:w="820" w:type="dxa"/>
            <w:tcBorders>
              <w:top w:val="nil"/>
              <w:left w:val="nil"/>
              <w:bottom w:val="single" w:sz="4" w:space="0" w:color="auto"/>
              <w:right w:val="single" w:sz="4" w:space="0" w:color="auto"/>
            </w:tcBorders>
            <w:shd w:val="clear" w:color="000000" w:fill="969696"/>
            <w:noWrap/>
            <w:vAlign w:val="bottom"/>
            <w:hideMark/>
          </w:tcPr>
          <w:p w14:paraId="7C36D58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A9C98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A5DA4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FB478A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985F08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269D5B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1073,46</w:t>
            </w:r>
          </w:p>
        </w:tc>
      </w:tr>
      <w:tr w:rsidR="00C430E9" w:rsidRPr="0098629B" w14:paraId="667C36D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3AA20AF9"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 xml:space="preserve">E.  Electronic Industry </w:t>
            </w:r>
          </w:p>
        </w:tc>
        <w:tc>
          <w:tcPr>
            <w:tcW w:w="914" w:type="dxa"/>
            <w:tcBorders>
              <w:top w:val="nil"/>
              <w:left w:val="nil"/>
              <w:bottom w:val="single" w:sz="4" w:space="0" w:color="auto"/>
              <w:right w:val="single" w:sz="4" w:space="0" w:color="auto"/>
            </w:tcBorders>
            <w:shd w:val="clear" w:color="000000" w:fill="969696"/>
            <w:noWrap/>
            <w:vAlign w:val="bottom"/>
            <w:hideMark/>
          </w:tcPr>
          <w:p w14:paraId="758BBBF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CB6AD7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729E46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D2B4CE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6,62</w:t>
            </w:r>
          </w:p>
        </w:tc>
        <w:tc>
          <w:tcPr>
            <w:tcW w:w="723" w:type="dxa"/>
            <w:tcBorders>
              <w:top w:val="nil"/>
              <w:left w:val="nil"/>
              <w:bottom w:val="single" w:sz="4" w:space="0" w:color="auto"/>
              <w:right w:val="single" w:sz="4" w:space="0" w:color="auto"/>
            </w:tcBorders>
            <w:shd w:val="clear" w:color="000000" w:fill="CCFFFF"/>
            <w:noWrap/>
            <w:vAlign w:val="bottom"/>
            <w:hideMark/>
          </w:tcPr>
          <w:p w14:paraId="0131464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77,41</w:t>
            </w:r>
          </w:p>
        </w:tc>
        <w:tc>
          <w:tcPr>
            <w:tcW w:w="723" w:type="dxa"/>
            <w:tcBorders>
              <w:top w:val="nil"/>
              <w:left w:val="nil"/>
              <w:bottom w:val="single" w:sz="4" w:space="0" w:color="auto"/>
              <w:right w:val="single" w:sz="4" w:space="0" w:color="auto"/>
            </w:tcBorders>
            <w:shd w:val="clear" w:color="000000" w:fill="CCFFFF"/>
            <w:noWrap/>
            <w:vAlign w:val="bottom"/>
            <w:hideMark/>
          </w:tcPr>
          <w:p w14:paraId="5A62EDD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4,08</w:t>
            </w:r>
          </w:p>
        </w:tc>
        <w:tc>
          <w:tcPr>
            <w:tcW w:w="1276" w:type="dxa"/>
            <w:tcBorders>
              <w:top w:val="nil"/>
              <w:left w:val="nil"/>
              <w:bottom w:val="single" w:sz="4" w:space="0" w:color="auto"/>
              <w:right w:val="single" w:sz="4" w:space="0" w:color="auto"/>
            </w:tcBorders>
            <w:shd w:val="clear" w:color="000000" w:fill="CCFFFF"/>
            <w:noWrap/>
            <w:vAlign w:val="bottom"/>
            <w:hideMark/>
          </w:tcPr>
          <w:p w14:paraId="204AF9D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487" w:type="dxa"/>
            <w:tcBorders>
              <w:top w:val="nil"/>
              <w:left w:val="nil"/>
              <w:bottom w:val="single" w:sz="4" w:space="0" w:color="auto"/>
              <w:right w:val="single" w:sz="4" w:space="0" w:color="auto"/>
            </w:tcBorders>
            <w:shd w:val="clear" w:color="000000" w:fill="CCFFFF"/>
            <w:noWrap/>
            <w:vAlign w:val="bottom"/>
            <w:hideMark/>
          </w:tcPr>
          <w:p w14:paraId="776097C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8,54</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FAACCB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96,65</w:t>
            </w:r>
          </w:p>
        </w:tc>
      </w:tr>
      <w:tr w:rsidR="00C430E9" w:rsidRPr="0098629B" w14:paraId="2B1DC64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46518078"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 xml:space="preserve">F.  Product uses as ODS substitutes </w:t>
            </w:r>
          </w:p>
        </w:tc>
        <w:tc>
          <w:tcPr>
            <w:tcW w:w="914" w:type="dxa"/>
            <w:tcBorders>
              <w:top w:val="nil"/>
              <w:left w:val="nil"/>
              <w:bottom w:val="single" w:sz="4" w:space="0" w:color="auto"/>
              <w:right w:val="single" w:sz="4" w:space="0" w:color="auto"/>
            </w:tcBorders>
            <w:shd w:val="clear" w:color="000000" w:fill="969696"/>
            <w:noWrap/>
            <w:vAlign w:val="bottom"/>
            <w:hideMark/>
          </w:tcPr>
          <w:p w14:paraId="3FBA60AC" w14:textId="77777777" w:rsidR="00C430E9" w:rsidRPr="0098629B" w:rsidRDefault="00C430E9" w:rsidP="00C430E9">
            <w:pPr>
              <w:jc w:val="righ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C1B8198" w14:textId="77777777" w:rsidR="00C430E9" w:rsidRPr="0098629B" w:rsidRDefault="00C430E9" w:rsidP="00C430E9">
            <w:pPr>
              <w:jc w:val="righ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6479F9F" w14:textId="77777777" w:rsidR="00C430E9" w:rsidRPr="0098629B" w:rsidRDefault="00C430E9" w:rsidP="00C430E9">
            <w:pPr>
              <w:jc w:val="righ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4C39D4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11720,99</w:t>
            </w:r>
          </w:p>
        </w:tc>
        <w:tc>
          <w:tcPr>
            <w:tcW w:w="723" w:type="dxa"/>
            <w:tcBorders>
              <w:top w:val="nil"/>
              <w:left w:val="nil"/>
              <w:bottom w:val="single" w:sz="4" w:space="0" w:color="auto"/>
              <w:right w:val="single" w:sz="4" w:space="0" w:color="auto"/>
            </w:tcBorders>
            <w:shd w:val="clear" w:color="000000" w:fill="CCFFFF"/>
            <w:noWrap/>
            <w:vAlign w:val="bottom"/>
            <w:hideMark/>
          </w:tcPr>
          <w:p w14:paraId="4F74C89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4E410E7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30D5E15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CCFFFF"/>
            <w:noWrap/>
            <w:vAlign w:val="bottom"/>
            <w:hideMark/>
          </w:tcPr>
          <w:p w14:paraId="1832EA8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45CE72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11720,99</w:t>
            </w:r>
          </w:p>
        </w:tc>
      </w:tr>
      <w:tr w:rsidR="00C430E9" w:rsidRPr="0098629B" w14:paraId="2F6CEA5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304B4684"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 xml:space="preserve">G.  Other product manufacture and use </w:t>
            </w:r>
          </w:p>
        </w:tc>
        <w:tc>
          <w:tcPr>
            <w:tcW w:w="914" w:type="dxa"/>
            <w:tcBorders>
              <w:top w:val="nil"/>
              <w:left w:val="nil"/>
              <w:bottom w:val="single" w:sz="4" w:space="0" w:color="auto"/>
              <w:right w:val="single" w:sz="4" w:space="0" w:color="auto"/>
            </w:tcBorders>
            <w:shd w:val="clear" w:color="000000" w:fill="CCFFFF"/>
            <w:noWrap/>
            <w:vAlign w:val="bottom"/>
            <w:hideMark/>
          </w:tcPr>
          <w:p w14:paraId="52DCF17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462,31</w:t>
            </w:r>
          </w:p>
        </w:tc>
        <w:tc>
          <w:tcPr>
            <w:tcW w:w="820" w:type="dxa"/>
            <w:tcBorders>
              <w:top w:val="nil"/>
              <w:left w:val="nil"/>
              <w:bottom w:val="single" w:sz="4" w:space="0" w:color="auto"/>
              <w:right w:val="single" w:sz="4" w:space="0" w:color="auto"/>
            </w:tcBorders>
            <w:shd w:val="clear" w:color="000000" w:fill="CCFFFF"/>
            <w:noWrap/>
            <w:vAlign w:val="bottom"/>
            <w:hideMark/>
          </w:tcPr>
          <w:p w14:paraId="012784C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41E4C8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134,58</w:t>
            </w:r>
          </w:p>
        </w:tc>
        <w:tc>
          <w:tcPr>
            <w:tcW w:w="820" w:type="dxa"/>
            <w:tcBorders>
              <w:top w:val="nil"/>
              <w:left w:val="nil"/>
              <w:bottom w:val="single" w:sz="4" w:space="0" w:color="auto"/>
              <w:right w:val="single" w:sz="4" w:space="0" w:color="auto"/>
            </w:tcBorders>
            <w:shd w:val="clear" w:color="000000" w:fill="CCFFFF"/>
            <w:noWrap/>
            <w:vAlign w:val="bottom"/>
            <w:hideMark/>
          </w:tcPr>
          <w:p w14:paraId="796B407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0,59</w:t>
            </w:r>
          </w:p>
        </w:tc>
        <w:tc>
          <w:tcPr>
            <w:tcW w:w="723" w:type="dxa"/>
            <w:tcBorders>
              <w:top w:val="nil"/>
              <w:left w:val="nil"/>
              <w:bottom w:val="single" w:sz="4" w:space="0" w:color="auto"/>
              <w:right w:val="single" w:sz="4" w:space="0" w:color="auto"/>
            </w:tcBorders>
            <w:shd w:val="clear" w:color="000000" w:fill="CCFFFF"/>
            <w:noWrap/>
            <w:vAlign w:val="bottom"/>
            <w:hideMark/>
          </w:tcPr>
          <w:p w14:paraId="2294337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404,76</w:t>
            </w:r>
          </w:p>
        </w:tc>
        <w:tc>
          <w:tcPr>
            <w:tcW w:w="723" w:type="dxa"/>
            <w:tcBorders>
              <w:top w:val="nil"/>
              <w:left w:val="nil"/>
              <w:bottom w:val="single" w:sz="4" w:space="0" w:color="auto"/>
              <w:right w:val="single" w:sz="4" w:space="0" w:color="auto"/>
            </w:tcBorders>
            <w:shd w:val="clear" w:color="000000" w:fill="CCFFFF"/>
            <w:noWrap/>
            <w:vAlign w:val="bottom"/>
            <w:hideMark/>
          </w:tcPr>
          <w:p w14:paraId="2A869B1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336,02</w:t>
            </w:r>
          </w:p>
        </w:tc>
        <w:tc>
          <w:tcPr>
            <w:tcW w:w="1276" w:type="dxa"/>
            <w:tcBorders>
              <w:top w:val="nil"/>
              <w:left w:val="nil"/>
              <w:bottom w:val="single" w:sz="4" w:space="0" w:color="auto"/>
              <w:right w:val="single" w:sz="4" w:space="0" w:color="auto"/>
            </w:tcBorders>
            <w:shd w:val="clear" w:color="000000" w:fill="CCFFFF"/>
            <w:noWrap/>
            <w:vAlign w:val="bottom"/>
            <w:hideMark/>
          </w:tcPr>
          <w:p w14:paraId="08F9ADA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CCFFFF"/>
            <w:noWrap/>
            <w:vAlign w:val="bottom"/>
            <w:hideMark/>
          </w:tcPr>
          <w:p w14:paraId="6D87E51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16D76A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1338,27</w:t>
            </w:r>
          </w:p>
        </w:tc>
      </w:tr>
      <w:tr w:rsidR="00C430E9" w:rsidRPr="0098629B" w14:paraId="760E5E0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065C127"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 xml:space="preserve">H.  Other </w:t>
            </w:r>
          </w:p>
        </w:tc>
        <w:tc>
          <w:tcPr>
            <w:tcW w:w="914" w:type="dxa"/>
            <w:tcBorders>
              <w:top w:val="nil"/>
              <w:left w:val="nil"/>
              <w:bottom w:val="single" w:sz="4" w:space="0" w:color="auto"/>
              <w:right w:val="single" w:sz="4" w:space="0" w:color="auto"/>
            </w:tcBorders>
            <w:shd w:val="clear" w:color="000000" w:fill="CCFFFF"/>
            <w:noWrap/>
            <w:vAlign w:val="bottom"/>
            <w:hideMark/>
          </w:tcPr>
          <w:p w14:paraId="5AAFB09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0,10</w:t>
            </w:r>
          </w:p>
        </w:tc>
        <w:tc>
          <w:tcPr>
            <w:tcW w:w="820" w:type="dxa"/>
            <w:tcBorders>
              <w:top w:val="nil"/>
              <w:left w:val="nil"/>
              <w:bottom w:val="single" w:sz="4" w:space="0" w:color="auto"/>
              <w:right w:val="single" w:sz="4" w:space="0" w:color="auto"/>
            </w:tcBorders>
            <w:shd w:val="clear" w:color="000000" w:fill="CCFFFF"/>
            <w:noWrap/>
            <w:vAlign w:val="bottom"/>
            <w:hideMark/>
          </w:tcPr>
          <w:p w14:paraId="211645E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6E84AE3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731C8B7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291FF8A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4A93DC9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25825B3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CCFFFF"/>
            <w:noWrap/>
            <w:vAlign w:val="bottom"/>
            <w:hideMark/>
          </w:tcPr>
          <w:p w14:paraId="14F2C02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FC14F5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0,10</w:t>
            </w:r>
          </w:p>
        </w:tc>
      </w:tr>
      <w:tr w:rsidR="00C430E9" w:rsidRPr="0098629B" w14:paraId="63F5762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03B0C90" w14:textId="77777777" w:rsidR="00C430E9" w:rsidRPr="0098629B" w:rsidRDefault="00C430E9" w:rsidP="00C430E9">
            <w:pPr>
              <w:jc w:val="left"/>
              <w:rPr>
                <w:rFonts w:ascii="Times New Roman" w:hAnsi="Times New Roman"/>
                <w:b/>
                <w:bCs/>
                <w:sz w:val="14"/>
                <w:szCs w:val="16"/>
              </w:rPr>
            </w:pPr>
            <w:r w:rsidRPr="0098629B">
              <w:rPr>
                <w:rFonts w:ascii="Times New Roman" w:hAnsi="Times New Roman"/>
                <w:b/>
                <w:bCs/>
                <w:sz w:val="14"/>
                <w:szCs w:val="16"/>
              </w:rPr>
              <w:t>3.  Agriculture</w:t>
            </w:r>
          </w:p>
        </w:tc>
        <w:tc>
          <w:tcPr>
            <w:tcW w:w="914" w:type="dxa"/>
            <w:tcBorders>
              <w:top w:val="nil"/>
              <w:left w:val="nil"/>
              <w:bottom w:val="single" w:sz="4" w:space="0" w:color="auto"/>
              <w:right w:val="single" w:sz="4" w:space="0" w:color="auto"/>
            </w:tcBorders>
            <w:shd w:val="clear" w:color="000000" w:fill="CCFFFF"/>
            <w:noWrap/>
            <w:vAlign w:val="bottom"/>
            <w:hideMark/>
          </w:tcPr>
          <w:p w14:paraId="145DC34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1858,83</w:t>
            </w:r>
          </w:p>
        </w:tc>
        <w:tc>
          <w:tcPr>
            <w:tcW w:w="820" w:type="dxa"/>
            <w:tcBorders>
              <w:top w:val="nil"/>
              <w:left w:val="nil"/>
              <w:bottom w:val="single" w:sz="4" w:space="0" w:color="auto"/>
              <w:right w:val="single" w:sz="4" w:space="0" w:color="auto"/>
            </w:tcBorders>
            <w:shd w:val="clear" w:color="000000" w:fill="CCFFFF"/>
            <w:noWrap/>
            <w:vAlign w:val="bottom"/>
            <w:hideMark/>
          </w:tcPr>
          <w:p w14:paraId="6C1897B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37165,76</w:t>
            </w:r>
          </w:p>
        </w:tc>
        <w:tc>
          <w:tcPr>
            <w:tcW w:w="820" w:type="dxa"/>
            <w:tcBorders>
              <w:top w:val="nil"/>
              <w:left w:val="nil"/>
              <w:bottom w:val="single" w:sz="4" w:space="0" w:color="auto"/>
              <w:right w:val="single" w:sz="4" w:space="0" w:color="auto"/>
            </w:tcBorders>
            <w:shd w:val="clear" w:color="000000" w:fill="CCFFFF"/>
            <w:noWrap/>
            <w:vAlign w:val="bottom"/>
            <w:hideMark/>
          </w:tcPr>
          <w:p w14:paraId="0682028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31621,31</w:t>
            </w:r>
          </w:p>
        </w:tc>
        <w:tc>
          <w:tcPr>
            <w:tcW w:w="820" w:type="dxa"/>
            <w:tcBorders>
              <w:top w:val="nil"/>
              <w:left w:val="nil"/>
              <w:bottom w:val="single" w:sz="4" w:space="0" w:color="auto"/>
              <w:right w:val="single" w:sz="4" w:space="0" w:color="auto"/>
            </w:tcBorders>
            <w:shd w:val="clear" w:color="000000" w:fill="969696"/>
            <w:noWrap/>
            <w:vAlign w:val="bottom"/>
            <w:hideMark/>
          </w:tcPr>
          <w:p w14:paraId="44A8D3C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BD1837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FAD1D9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F55B80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6827E0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72A7C7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70645,91</w:t>
            </w:r>
          </w:p>
        </w:tc>
      </w:tr>
      <w:tr w:rsidR="00C430E9" w:rsidRPr="0098629B" w14:paraId="5086973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AC1EA30"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A.  Enteric fermentation</w:t>
            </w:r>
          </w:p>
        </w:tc>
        <w:tc>
          <w:tcPr>
            <w:tcW w:w="914" w:type="dxa"/>
            <w:tcBorders>
              <w:top w:val="nil"/>
              <w:left w:val="nil"/>
              <w:bottom w:val="single" w:sz="4" w:space="0" w:color="auto"/>
              <w:right w:val="single" w:sz="4" w:space="0" w:color="auto"/>
            </w:tcBorders>
            <w:shd w:val="clear" w:color="000000" w:fill="969696"/>
            <w:noWrap/>
            <w:vAlign w:val="bottom"/>
            <w:hideMark/>
          </w:tcPr>
          <w:p w14:paraId="5C422C9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1B5B86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33258,60</w:t>
            </w:r>
          </w:p>
        </w:tc>
        <w:tc>
          <w:tcPr>
            <w:tcW w:w="820" w:type="dxa"/>
            <w:tcBorders>
              <w:top w:val="nil"/>
              <w:left w:val="nil"/>
              <w:bottom w:val="single" w:sz="4" w:space="0" w:color="auto"/>
              <w:right w:val="single" w:sz="4" w:space="0" w:color="auto"/>
            </w:tcBorders>
            <w:shd w:val="clear" w:color="000000" w:fill="969696"/>
            <w:noWrap/>
            <w:vAlign w:val="bottom"/>
            <w:hideMark/>
          </w:tcPr>
          <w:p w14:paraId="63704AE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5F6EAD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C9B3EC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AC40C8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E2114F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62D5E7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58D807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33258,60</w:t>
            </w:r>
          </w:p>
        </w:tc>
      </w:tr>
      <w:tr w:rsidR="00C430E9" w:rsidRPr="0098629B" w14:paraId="469579D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6642386"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B.  Manure management</w:t>
            </w:r>
          </w:p>
        </w:tc>
        <w:tc>
          <w:tcPr>
            <w:tcW w:w="914" w:type="dxa"/>
            <w:tcBorders>
              <w:top w:val="nil"/>
              <w:left w:val="nil"/>
              <w:bottom w:val="single" w:sz="4" w:space="0" w:color="auto"/>
              <w:right w:val="single" w:sz="4" w:space="0" w:color="auto"/>
            </w:tcBorders>
            <w:shd w:val="clear" w:color="000000" w:fill="969696"/>
            <w:noWrap/>
            <w:vAlign w:val="bottom"/>
            <w:hideMark/>
          </w:tcPr>
          <w:p w14:paraId="5AB39FE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80A1AB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3840,68</w:t>
            </w:r>
          </w:p>
        </w:tc>
        <w:tc>
          <w:tcPr>
            <w:tcW w:w="820" w:type="dxa"/>
            <w:tcBorders>
              <w:top w:val="nil"/>
              <w:left w:val="nil"/>
              <w:bottom w:val="single" w:sz="4" w:space="0" w:color="auto"/>
              <w:right w:val="single" w:sz="4" w:space="0" w:color="auto"/>
            </w:tcBorders>
            <w:shd w:val="clear" w:color="000000" w:fill="CCFFFF"/>
            <w:noWrap/>
            <w:vAlign w:val="bottom"/>
            <w:hideMark/>
          </w:tcPr>
          <w:p w14:paraId="76AEAD7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2364,21</w:t>
            </w:r>
          </w:p>
        </w:tc>
        <w:tc>
          <w:tcPr>
            <w:tcW w:w="820" w:type="dxa"/>
            <w:tcBorders>
              <w:top w:val="nil"/>
              <w:left w:val="nil"/>
              <w:bottom w:val="single" w:sz="4" w:space="0" w:color="auto"/>
              <w:right w:val="single" w:sz="4" w:space="0" w:color="auto"/>
            </w:tcBorders>
            <w:shd w:val="clear" w:color="000000" w:fill="969696"/>
            <w:noWrap/>
            <w:vAlign w:val="bottom"/>
            <w:hideMark/>
          </w:tcPr>
          <w:p w14:paraId="2642DFF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E97DAA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2AD230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725608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FF5734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654999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6204,89</w:t>
            </w:r>
          </w:p>
        </w:tc>
      </w:tr>
      <w:tr w:rsidR="00C430E9" w:rsidRPr="0098629B" w14:paraId="0268A47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F711A14"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C.  Rice cultivation</w:t>
            </w:r>
          </w:p>
        </w:tc>
        <w:tc>
          <w:tcPr>
            <w:tcW w:w="914" w:type="dxa"/>
            <w:tcBorders>
              <w:top w:val="nil"/>
              <w:left w:val="nil"/>
              <w:bottom w:val="single" w:sz="4" w:space="0" w:color="auto"/>
              <w:right w:val="single" w:sz="4" w:space="0" w:color="auto"/>
            </w:tcBorders>
            <w:shd w:val="clear" w:color="000000" w:fill="969696"/>
            <w:noWrap/>
            <w:vAlign w:val="bottom"/>
            <w:hideMark/>
          </w:tcPr>
          <w:p w14:paraId="610268B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477898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38,23</w:t>
            </w:r>
          </w:p>
        </w:tc>
        <w:tc>
          <w:tcPr>
            <w:tcW w:w="820" w:type="dxa"/>
            <w:tcBorders>
              <w:top w:val="nil"/>
              <w:left w:val="nil"/>
              <w:bottom w:val="single" w:sz="4" w:space="0" w:color="auto"/>
              <w:right w:val="single" w:sz="4" w:space="0" w:color="auto"/>
            </w:tcBorders>
            <w:shd w:val="clear" w:color="000000" w:fill="969696"/>
            <w:noWrap/>
            <w:vAlign w:val="bottom"/>
            <w:hideMark/>
          </w:tcPr>
          <w:p w14:paraId="68E496A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4735F0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9106BE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6083BC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4EA50C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C29DC6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CFA1E4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38,23</w:t>
            </w:r>
          </w:p>
        </w:tc>
      </w:tr>
      <w:tr w:rsidR="00C430E9" w:rsidRPr="0098629B" w14:paraId="6FFDA6B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3797FA9"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D.  Agricultural soils</w:t>
            </w:r>
          </w:p>
        </w:tc>
        <w:tc>
          <w:tcPr>
            <w:tcW w:w="914" w:type="dxa"/>
            <w:tcBorders>
              <w:top w:val="nil"/>
              <w:left w:val="nil"/>
              <w:bottom w:val="single" w:sz="4" w:space="0" w:color="auto"/>
              <w:right w:val="single" w:sz="4" w:space="0" w:color="auto"/>
            </w:tcBorders>
            <w:shd w:val="clear" w:color="000000" w:fill="969696"/>
            <w:noWrap/>
            <w:vAlign w:val="bottom"/>
            <w:hideMark/>
          </w:tcPr>
          <w:p w14:paraId="67232C7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B6ED42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5CDA66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29248,37</w:t>
            </w:r>
          </w:p>
        </w:tc>
        <w:tc>
          <w:tcPr>
            <w:tcW w:w="820" w:type="dxa"/>
            <w:tcBorders>
              <w:top w:val="nil"/>
              <w:left w:val="nil"/>
              <w:bottom w:val="single" w:sz="4" w:space="0" w:color="auto"/>
              <w:right w:val="single" w:sz="4" w:space="0" w:color="auto"/>
            </w:tcBorders>
            <w:shd w:val="clear" w:color="000000" w:fill="969696"/>
            <w:noWrap/>
            <w:vAlign w:val="bottom"/>
            <w:hideMark/>
          </w:tcPr>
          <w:p w14:paraId="6D76574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FFFE55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0DEF4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CA16B4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79E7A7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5CDB74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29248,37</w:t>
            </w:r>
          </w:p>
        </w:tc>
      </w:tr>
      <w:tr w:rsidR="00C430E9" w:rsidRPr="0098629B" w14:paraId="41EF316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0F0A43F"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E.  Prescribed burning of savannas</w:t>
            </w:r>
          </w:p>
        </w:tc>
        <w:tc>
          <w:tcPr>
            <w:tcW w:w="914" w:type="dxa"/>
            <w:tcBorders>
              <w:top w:val="nil"/>
              <w:left w:val="nil"/>
              <w:bottom w:val="single" w:sz="4" w:space="0" w:color="auto"/>
              <w:right w:val="single" w:sz="4" w:space="0" w:color="auto"/>
            </w:tcBorders>
            <w:shd w:val="clear" w:color="000000" w:fill="969696"/>
            <w:noWrap/>
            <w:vAlign w:val="bottom"/>
            <w:hideMark/>
          </w:tcPr>
          <w:p w14:paraId="5AD9FDE5" w14:textId="77777777" w:rsidR="00C430E9" w:rsidRPr="0098629B" w:rsidRDefault="00C430E9" w:rsidP="00C430E9">
            <w:pPr>
              <w:jc w:val="righ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7EE218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0588B14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6806A39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1C003F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66236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F6A0BF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25A479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C78660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r>
      <w:tr w:rsidR="00C430E9" w:rsidRPr="0098629B" w14:paraId="14895BC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045FC01"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F.  Field burning of agricultural residues</w:t>
            </w:r>
          </w:p>
        </w:tc>
        <w:tc>
          <w:tcPr>
            <w:tcW w:w="914" w:type="dxa"/>
            <w:tcBorders>
              <w:top w:val="nil"/>
              <w:left w:val="nil"/>
              <w:bottom w:val="single" w:sz="4" w:space="0" w:color="auto"/>
              <w:right w:val="single" w:sz="4" w:space="0" w:color="auto"/>
            </w:tcBorders>
            <w:shd w:val="clear" w:color="000000" w:fill="969696"/>
            <w:noWrap/>
            <w:vAlign w:val="bottom"/>
            <w:hideMark/>
          </w:tcPr>
          <w:p w14:paraId="67E17AD1" w14:textId="77777777" w:rsidR="00C430E9" w:rsidRPr="0098629B" w:rsidRDefault="00C430E9" w:rsidP="00C430E9">
            <w:pPr>
              <w:jc w:val="righ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031969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28,26</w:t>
            </w:r>
          </w:p>
        </w:tc>
        <w:tc>
          <w:tcPr>
            <w:tcW w:w="820" w:type="dxa"/>
            <w:tcBorders>
              <w:top w:val="nil"/>
              <w:left w:val="nil"/>
              <w:bottom w:val="single" w:sz="4" w:space="0" w:color="auto"/>
              <w:right w:val="single" w:sz="4" w:space="0" w:color="auto"/>
            </w:tcBorders>
            <w:shd w:val="clear" w:color="000000" w:fill="CCFFFF"/>
            <w:noWrap/>
            <w:vAlign w:val="bottom"/>
            <w:hideMark/>
          </w:tcPr>
          <w:p w14:paraId="196A0F1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8,73</w:t>
            </w:r>
          </w:p>
        </w:tc>
        <w:tc>
          <w:tcPr>
            <w:tcW w:w="820" w:type="dxa"/>
            <w:tcBorders>
              <w:top w:val="nil"/>
              <w:left w:val="nil"/>
              <w:bottom w:val="single" w:sz="4" w:space="0" w:color="auto"/>
              <w:right w:val="single" w:sz="4" w:space="0" w:color="auto"/>
            </w:tcBorders>
            <w:shd w:val="clear" w:color="000000" w:fill="969696"/>
            <w:noWrap/>
            <w:vAlign w:val="bottom"/>
            <w:hideMark/>
          </w:tcPr>
          <w:p w14:paraId="14D0E99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D9D838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CC4ED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EF9D57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80038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713900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36,99</w:t>
            </w:r>
          </w:p>
        </w:tc>
      </w:tr>
      <w:tr w:rsidR="00C430E9" w:rsidRPr="0098629B" w14:paraId="7645670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4927EBD"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G. Liming</w:t>
            </w:r>
          </w:p>
        </w:tc>
        <w:tc>
          <w:tcPr>
            <w:tcW w:w="914" w:type="dxa"/>
            <w:tcBorders>
              <w:top w:val="nil"/>
              <w:left w:val="nil"/>
              <w:bottom w:val="single" w:sz="4" w:space="0" w:color="auto"/>
              <w:right w:val="single" w:sz="4" w:space="0" w:color="auto"/>
            </w:tcBorders>
            <w:shd w:val="clear" w:color="000000" w:fill="CCFFFF"/>
            <w:noWrap/>
            <w:vAlign w:val="bottom"/>
            <w:hideMark/>
          </w:tcPr>
          <w:p w14:paraId="3315014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640,81</w:t>
            </w:r>
          </w:p>
        </w:tc>
        <w:tc>
          <w:tcPr>
            <w:tcW w:w="820" w:type="dxa"/>
            <w:tcBorders>
              <w:top w:val="nil"/>
              <w:left w:val="nil"/>
              <w:bottom w:val="single" w:sz="4" w:space="0" w:color="auto"/>
              <w:right w:val="single" w:sz="4" w:space="0" w:color="auto"/>
            </w:tcBorders>
            <w:shd w:val="clear" w:color="000000" w:fill="969696"/>
            <w:noWrap/>
            <w:vAlign w:val="bottom"/>
            <w:hideMark/>
          </w:tcPr>
          <w:p w14:paraId="47DE30B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1FEEFD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C43B00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BC584E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87F21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15E953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49083A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71686F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640,81</w:t>
            </w:r>
          </w:p>
        </w:tc>
      </w:tr>
      <w:tr w:rsidR="00C430E9" w:rsidRPr="0098629B" w14:paraId="4D8D8EE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F8E96EA"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H. Urea application</w:t>
            </w:r>
          </w:p>
        </w:tc>
        <w:tc>
          <w:tcPr>
            <w:tcW w:w="914" w:type="dxa"/>
            <w:tcBorders>
              <w:top w:val="nil"/>
              <w:left w:val="nil"/>
              <w:bottom w:val="single" w:sz="4" w:space="0" w:color="auto"/>
              <w:right w:val="single" w:sz="4" w:space="0" w:color="auto"/>
            </w:tcBorders>
            <w:shd w:val="clear" w:color="000000" w:fill="CCFFFF"/>
            <w:noWrap/>
            <w:vAlign w:val="bottom"/>
            <w:hideMark/>
          </w:tcPr>
          <w:p w14:paraId="7C40765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1036,18</w:t>
            </w:r>
          </w:p>
        </w:tc>
        <w:tc>
          <w:tcPr>
            <w:tcW w:w="820" w:type="dxa"/>
            <w:tcBorders>
              <w:top w:val="nil"/>
              <w:left w:val="nil"/>
              <w:bottom w:val="single" w:sz="4" w:space="0" w:color="auto"/>
              <w:right w:val="single" w:sz="4" w:space="0" w:color="auto"/>
            </w:tcBorders>
            <w:shd w:val="clear" w:color="000000" w:fill="969696"/>
            <w:noWrap/>
            <w:vAlign w:val="bottom"/>
            <w:hideMark/>
          </w:tcPr>
          <w:p w14:paraId="5008873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23888B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DE1F41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05D793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CFFCD4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C7313A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5C4E49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D839F9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1036,18</w:t>
            </w:r>
          </w:p>
        </w:tc>
      </w:tr>
      <w:tr w:rsidR="00C430E9" w:rsidRPr="0098629B" w14:paraId="625182E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AAF750E"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I.  Other carbon-containing fertilizers</w:t>
            </w:r>
          </w:p>
        </w:tc>
        <w:tc>
          <w:tcPr>
            <w:tcW w:w="914" w:type="dxa"/>
            <w:tcBorders>
              <w:top w:val="nil"/>
              <w:left w:val="nil"/>
              <w:bottom w:val="single" w:sz="4" w:space="0" w:color="auto"/>
              <w:right w:val="single" w:sz="4" w:space="0" w:color="auto"/>
            </w:tcBorders>
            <w:shd w:val="clear" w:color="000000" w:fill="CCFFFF"/>
            <w:noWrap/>
            <w:vAlign w:val="bottom"/>
            <w:hideMark/>
          </w:tcPr>
          <w:p w14:paraId="482A64B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181,84</w:t>
            </w:r>
          </w:p>
        </w:tc>
        <w:tc>
          <w:tcPr>
            <w:tcW w:w="820" w:type="dxa"/>
            <w:tcBorders>
              <w:top w:val="nil"/>
              <w:left w:val="nil"/>
              <w:bottom w:val="single" w:sz="4" w:space="0" w:color="auto"/>
              <w:right w:val="single" w:sz="4" w:space="0" w:color="auto"/>
            </w:tcBorders>
            <w:shd w:val="clear" w:color="000000" w:fill="969696"/>
            <w:noWrap/>
            <w:vAlign w:val="bottom"/>
            <w:hideMark/>
          </w:tcPr>
          <w:p w14:paraId="1D66970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3BC932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4660E1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A36864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8CA456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2D58B0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543B37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1486B8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181,84</w:t>
            </w:r>
          </w:p>
        </w:tc>
      </w:tr>
      <w:tr w:rsidR="00C430E9" w:rsidRPr="0098629B" w14:paraId="21E9DF4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C1739CB"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 xml:space="preserve">J.  Other </w:t>
            </w:r>
          </w:p>
        </w:tc>
        <w:tc>
          <w:tcPr>
            <w:tcW w:w="914" w:type="dxa"/>
            <w:tcBorders>
              <w:top w:val="nil"/>
              <w:left w:val="nil"/>
              <w:bottom w:val="single" w:sz="4" w:space="0" w:color="auto"/>
              <w:right w:val="single" w:sz="4" w:space="0" w:color="auto"/>
            </w:tcBorders>
            <w:shd w:val="clear" w:color="000000" w:fill="CCFFFF"/>
            <w:noWrap/>
            <w:vAlign w:val="bottom"/>
            <w:hideMark/>
          </w:tcPr>
          <w:p w14:paraId="5211203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60D1D5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02A8FA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2BD5003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575E0A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639042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460DB3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2C72D7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E280F9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r>
      <w:tr w:rsidR="00C430E9" w:rsidRPr="0098629B" w14:paraId="2966A20F"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4278A13" w14:textId="77777777" w:rsidR="00C430E9" w:rsidRPr="0098629B" w:rsidRDefault="00C430E9" w:rsidP="00C430E9">
            <w:pPr>
              <w:jc w:val="left"/>
              <w:rPr>
                <w:rFonts w:ascii="Times New Roman" w:hAnsi="Times New Roman"/>
                <w:b/>
                <w:bCs/>
                <w:sz w:val="14"/>
                <w:szCs w:val="16"/>
                <w:lang w:val="en-GB"/>
              </w:rPr>
            </w:pPr>
            <w:r w:rsidRPr="0098629B">
              <w:rPr>
                <w:rFonts w:ascii="Times New Roman" w:hAnsi="Times New Roman"/>
                <w:b/>
                <w:bCs/>
                <w:sz w:val="14"/>
                <w:szCs w:val="16"/>
                <w:lang w:val="en-GB"/>
              </w:rPr>
              <w:t>4. Land use, land-use change and forestry</w:t>
            </w:r>
            <w:r w:rsidRPr="0098629B">
              <w:rPr>
                <w:rFonts w:ascii="Times New Roman" w:hAnsi="Times New Roman"/>
                <w:b/>
                <w:bCs/>
                <w:sz w:val="14"/>
                <w:szCs w:val="16"/>
                <w:vertAlign w:val="superscript"/>
                <w:lang w:val="en-GB"/>
              </w:rPr>
              <w:t>(1)</w:t>
            </w:r>
          </w:p>
        </w:tc>
        <w:tc>
          <w:tcPr>
            <w:tcW w:w="914" w:type="dxa"/>
            <w:tcBorders>
              <w:top w:val="nil"/>
              <w:left w:val="nil"/>
              <w:bottom w:val="single" w:sz="4" w:space="0" w:color="auto"/>
              <w:right w:val="single" w:sz="4" w:space="0" w:color="auto"/>
            </w:tcBorders>
            <w:shd w:val="clear" w:color="000000" w:fill="CCFFFF"/>
            <w:noWrap/>
            <w:vAlign w:val="bottom"/>
            <w:hideMark/>
          </w:tcPr>
          <w:p w14:paraId="1BE8C83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-18618,93</w:t>
            </w:r>
          </w:p>
        </w:tc>
        <w:tc>
          <w:tcPr>
            <w:tcW w:w="820" w:type="dxa"/>
            <w:tcBorders>
              <w:top w:val="nil"/>
              <w:left w:val="nil"/>
              <w:bottom w:val="single" w:sz="4" w:space="0" w:color="auto"/>
              <w:right w:val="single" w:sz="4" w:space="0" w:color="auto"/>
            </w:tcBorders>
            <w:shd w:val="clear" w:color="000000" w:fill="CCFFFF"/>
            <w:noWrap/>
            <w:vAlign w:val="bottom"/>
            <w:hideMark/>
          </w:tcPr>
          <w:p w14:paraId="4C56444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1130,14</w:t>
            </w:r>
          </w:p>
        </w:tc>
        <w:tc>
          <w:tcPr>
            <w:tcW w:w="820" w:type="dxa"/>
            <w:tcBorders>
              <w:top w:val="nil"/>
              <w:left w:val="nil"/>
              <w:bottom w:val="single" w:sz="4" w:space="0" w:color="auto"/>
              <w:right w:val="single" w:sz="4" w:space="0" w:color="auto"/>
            </w:tcBorders>
            <w:shd w:val="clear" w:color="000000" w:fill="CCFFFF"/>
            <w:noWrap/>
            <w:vAlign w:val="bottom"/>
            <w:hideMark/>
          </w:tcPr>
          <w:p w14:paraId="2486C85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2867,64</w:t>
            </w:r>
          </w:p>
        </w:tc>
        <w:tc>
          <w:tcPr>
            <w:tcW w:w="820" w:type="dxa"/>
            <w:tcBorders>
              <w:top w:val="nil"/>
              <w:left w:val="nil"/>
              <w:bottom w:val="single" w:sz="4" w:space="0" w:color="auto"/>
              <w:right w:val="single" w:sz="4" w:space="0" w:color="auto"/>
            </w:tcBorders>
            <w:shd w:val="clear" w:color="000000" w:fill="969696"/>
            <w:noWrap/>
            <w:vAlign w:val="bottom"/>
            <w:hideMark/>
          </w:tcPr>
          <w:p w14:paraId="61BF817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AD5F13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C92CB8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696D50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37674D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26CF7A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-14621,14</w:t>
            </w:r>
          </w:p>
        </w:tc>
      </w:tr>
      <w:tr w:rsidR="00C430E9" w:rsidRPr="0098629B" w14:paraId="35173FD9"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163D6BE"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A. Forest land</w:t>
            </w:r>
          </w:p>
        </w:tc>
        <w:tc>
          <w:tcPr>
            <w:tcW w:w="914" w:type="dxa"/>
            <w:tcBorders>
              <w:top w:val="nil"/>
              <w:left w:val="nil"/>
              <w:bottom w:val="single" w:sz="4" w:space="0" w:color="auto"/>
              <w:right w:val="single" w:sz="4" w:space="0" w:color="auto"/>
            </w:tcBorders>
            <w:shd w:val="clear" w:color="000000" w:fill="CCFFFF"/>
            <w:noWrap/>
            <w:vAlign w:val="bottom"/>
            <w:hideMark/>
          </w:tcPr>
          <w:p w14:paraId="4E3217D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-31276,74</w:t>
            </w:r>
          </w:p>
        </w:tc>
        <w:tc>
          <w:tcPr>
            <w:tcW w:w="820" w:type="dxa"/>
            <w:tcBorders>
              <w:top w:val="nil"/>
              <w:left w:val="nil"/>
              <w:bottom w:val="single" w:sz="4" w:space="0" w:color="auto"/>
              <w:right w:val="single" w:sz="4" w:space="0" w:color="auto"/>
            </w:tcBorders>
            <w:shd w:val="clear" w:color="000000" w:fill="CCFFFF"/>
            <w:noWrap/>
            <w:vAlign w:val="bottom"/>
            <w:hideMark/>
          </w:tcPr>
          <w:p w14:paraId="72C913E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611,29</w:t>
            </w:r>
          </w:p>
        </w:tc>
        <w:tc>
          <w:tcPr>
            <w:tcW w:w="820" w:type="dxa"/>
            <w:tcBorders>
              <w:top w:val="nil"/>
              <w:left w:val="nil"/>
              <w:bottom w:val="single" w:sz="4" w:space="0" w:color="auto"/>
              <w:right w:val="single" w:sz="4" w:space="0" w:color="auto"/>
            </w:tcBorders>
            <w:shd w:val="clear" w:color="000000" w:fill="CCFFFF"/>
            <w:noWrap/>
            <w:vAlign w:val="bottom"/>
            <w:hideMark/>
          </w:tcPr>
          <w:p w14:paraId="270E6B3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381,80</w:t>
            </w:r>
          </w:p>
        </w:tc>
        <w:tc>
          <w:tcPr>
            <w:tcW w:w="820" w:type="dxa"/>
            <w:tcBorders>
              <w:top w:val="nil"/>
              <w:left w:val="nil"/>
              <w:bottom w:val="single" w:sz="4" w:space="0" w:color="auto"/>
              <w:right w:val="single" w:sz="4" w:space="0" w:color="auto"/>
            </w:tcBorders>
            <w:shd w:val="clear" w:color="000000" w:fill="969696"/>
            <w:noWrap/>
            <w:vAlign w:val="bottom"/>
            <w:hideMark/>
          </w:tcPr>
          <w:p w14:paraId="6F345AE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690FB2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300FFD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636C5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94016E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ABB78D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-30283,65</w:t>
            </w:r>
          </w:p>
        </w:tc>
      </w:tr>
      <w:tr w:rsidR="00C430E9" w:rsidRPr="0098629B" w14:paraId="5F9C702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7F931B6"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B. Cropland</w:t>
            </w:r>
          </w:p>
        </w:tc>
        <w:tc>
          <w:tcPr>
            <w:tcW w:w="914" w:type="dxa"/>
            <w:tcBorders>
              <w:top w:val="nil"/>
              <w:left w:val="nil"/>
              <w:bottom w:val="single" w:sz="4" w:space="0" w:color="auto"/>
              <w:right w:val="single" w:sz="4" w:space="0" w:color="auto"/>
            </w:tcBorders>
            <w:shd w:val="clear" w:color="000000" w:fill="CCFFFF"/>
            <w:noWrap/>
            <w:vAlign w:val="bottom"/>
            <w:hideMark/>
          </w:tcPr>
          <w:p w14:paraId="0DF4F0B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11507,10</w:t>
            </w:r>
          </w:p>
        </w:tc>
        <w:tc>
          <w:tcPr>
            <w:tcW w:w="820" w:type="dxa"/>
            <w:tcBorders>
              <w:top w:val="nil"/>
              <w:left w:val="nil"/>
              <w:bottom w:val="single" w:sz="4" w:space="0" w:color="auto"/>
              <w:right w:val="single" w:sz="4" w:space="0" w:color="auto"/>
            </w:tcBorders>
            <w:shd w:val="clear" w:color="000000" w:fill="CCFFFF"/>
            <w:noWrap/>
            <w:vAlign w:val="bottom"/>
            <w:hideMark/>
          </w:tcPr>
          <w:p w14:paraId="08C2FE3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109,50</w:t>
            </w:r>
          </w:p>
        </w:tc>
        <w:tc>
          <w:tcPr>
            <w:tcW w:w="820" w:type="dxa"/>
            <w:tcBorders>
              <w:top w:val="nil"/>
              <w:left w:val="nil"/>
              <w:bottom w:val="single" w:sz="4" w:space="0" w:color="auto"/>
              <w:right w:val="single" w:sz="4" w:space="0" w:color="auto"/>
            </w:tcBorders>
            <w:shd w:val="clear" w:color="000000" w:fill="CCFFFF"/>
            <w:noWrap/>
            <w:vAlign w:val="bottom"/>
            <w:hideMark/>
          </w:tcPr>
          <w:p w14:paraId="3B9F28C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1346,42</w:t>
            </w:r>
          </w:p>
        </w:tc>
        <w:tc>
          <w:tcPr>
            <w:tcW w:w="820" w:type="dxa"/>
            <w:tcBorders>
              <w:top w:val="nil"/>
              <w:left w:val="nil"/>
              <w:bottom w:val="single" w:sz="4" w:space="0" w:color="auto"/>
              <w:right w:val="single" w:sz="4" w:space="0" w:color="auto"/>
            </w:tcBorders>
            <w:shd w:val="clear" w:color="000000" w:fill="969696"/>
            <w:noWrap/>
            <w:vAlign w:val="bottom"/>
            <w:hideMark/>
          </w:tcPr>
          <w:p w14:paraId="63EBEE8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D2A662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9E512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A9BC3E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4B6FEA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B54646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12963,02</w:t>
            </w:r>
          </w:p>
        </w:tc>
      </w:tr>
      <w:tr w:rsidR="00C430E9" w:rsidRPr="0098629B" w14:paraId="3C73D72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F874C81"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C. Grassland</w:t>
            </w:r>
          </w:p>
        </w:tc>
        <w:tc>
          <w:tcPr>
            <w:tcW w:w="914" w:type="dxa"/>
            <w:tcBorders>
              <w:top w:val="nil"/>
              <w:left w:val="nil"/>
              <w:bottom w:val="single" w:sz="4" w:space="0" w:color="auto"/>
              <w:right w:val="single" w:sz="4" w:space="0" w:color="auto"/>
            </w:tcBorders>
            <w:shd w:val="clear" w:color="000000" w:fill="CCFFFF"/>
            <w:noWrap/>
            <w:vAlign w:val="bottom"/>
            <w:hideMark/>
          </w:tcPr>
          <w:p w14:paraId="548EBD8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-9313,49</w:t>
            </w:r>
          </w:p>
        </w:tc>
        <w:tc>
          <w:tcPr>
            <w:tcW w:w="820" w:type="dxa"/>
            <w:tcBorders>
              <w:top w:val="nil"/>
              <w:left w:val="nil"/>
              <w:bottom w:val="single" w:sz="4" w:space="0" w:color="auto"/>
              <w:right w:val="single" w:sz="4" w:space="0" w:color="auto"/>
            </w:tcBorders>
            <w:shd w:val="clear" w:color="000000" w:fill="CCFFFF"/>
            <w:noWrap/>
            <w:vAlign w:val="bottom"/>
            <w:hideMark/>
          </w:tcPr>
          <w:p w14:paraId="030943D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123,86</w:t>
            </w:r>
          </w:p>
        </w:tc>
        <w:tc>
          <w:tcPr>
            <w:tcW w:w="820" w:type="dxa"/>
            <w:tcBorders>
              <w:top w:val="nil"/>
              <w:left w:val="nil"/>
              <w:bottom w:val="single" w:sz="4" w:space="0" w:color="auto"/>
              <w:right w:val="single" w:sz="4" w:space="0" w:color="auto"/>
            </w:tcBorders>
            <w:shd w:val="clear" w:color="000000" w:fill="CCFFFF"/>
            <w:noWrap/>
            <w:vAlign w:val="bottom"/>
            <w:hideMark/>
          </w:tcPr>
          <w:p w14:paraId="157BCB7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99,88</w:t>
            </w:r>
          </w:p>
        </w:tc>
        <w:tc>
          <w:tcPr>
            <w:tcW w:w="820" w:type="dxa"/>
            <w:tcBorders>
              <w:top w:val="nil"/>
              <w:left w:val="nil"/>
              <w:bottom w:val="single" w:sz="4" w:space="0" w:color="auto"/>
              <w:right w:val="single" w:sz="4" w:space="0" w:color="auto"/>
            </w:tcBorders>
            <w:shd w:val="clear" w:color="000000" w:fill="969696"/>
            <w:noWrap/>
            <w:vAlign w:val="bottom"/>
            <w:hideMark/>
          </w:tcPr>
          <w:p w14:paraId="4938AD6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623DB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E6466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227F51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F1A5F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E78697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-9089,76</w:t>
            </w:r>
          </w:p>
        </w:tc>
      </w:tr>
      <w:tr w:rsidR="00C430E9" w:rsidRPr="0098629B" w14:paraId="24913B8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3128901"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D. Wetlands</w:t>
            </w:r>
          </w:p>
        </w:tc>
        <w:tc>
          <w:tcPr>
            <w:tcW w:w="914" w:type="dxa"/>
            <w:tcBorders>
              <w:top w:val="nil"/>
              <w:left w:val="nil"/>
              <w:bottom w:val="single" w:sz="4" w:space="0" w:color="auto"/>
              <w:right w:val="single" w:sz="4" w:space="0" w:color="auto"/>
            </w:tcBorders>
            <w:shd w:val="clear" w:color="000000" w:fill="CCFFFF"/>
            <w:noWrap/>
            <w:vAlign w:val="bottom"/>
            <w:hideMark/>
          </w:tcPr>
          <w:p w14:paraId="391EB2E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494,83</w:t>
            </w:r>
          </w:p>
        </w:tc>
        <w:tc>
          <w:tcPr>
            <w:tcW w:w="820" w:type="dxa"/>
            <w:tcBorders>
              <w:top w:val="nil"/>
              <w:left w:val="nil"/>
              <w:bottom w:val="single" w:sz="4" w:space="0" w:color="auto"/>
              <w:right w:val="single" w:sz="4" w:space="0" w:color="auto"/>
            </w:tcBorders>
            <w:shd w:val="clear" w:color="000000" w:fill="CCFFFF"/>
            <w:noWrap/>
            <w:vAlign w:val="bottom"/>
            <w:hideMark/>
          </w:tcPr>
          <w:p w14:paraId="69C2CD1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8,92</w:t>
            </w:r>
          </w:p>
        </w:tc>
        <w:tc>
          <w:tcPr>
            <w:tcW w:w="820" w:type="dxa"/>
            <w:tcBorders>
              <w:top w:val="nil"/>
              <w:left w:val="nil"/>
              <w:bottom w:val="single" w:sz="4" w:space="0" w:color="auto"/>
              <w:right w:val="single" w:sz="4" w:space="0" w:color="auto"/>
            </w:tcBorders>
            <w:shd w:val="clear" w:color="000000" w:fill="CCFFFF"/>
            <w:noWrap/>
            <w:vAlign w:val="bottom"/>
            <w:hideMark/>
          </w:tcPr>
          <w:p w14:paraId="7143D96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0,73</w:t>
            </w:r>
          </w:p>
        </w:tc>
        <w:tc>
          <w:tcPr>
            <w:tcW w:w="820" w:type="dxa"/>
            <w:tcBorders>
              <w:top w:val="nil"/>
              <w:left w:val="nil"/>
              <w:bottom w:val="single" w:sz="4" w:space="0" w:color="auto"/>
              <w:right w:val="single" w:sz="4" w:space="0" w:color="auto"/>
            </w:tcBorders>
            <w:shd w:val="clear" w:color="000000" w:fill="969696"/>
            <w:noWrap/>
            <w:vAlign w:val="bottom"/>
            <w:hideMark/>
          </w:tcPr>
          <w:p w14:paraId="52F7442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2FDF41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8AF0F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44B64C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B66552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FDE773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504,48</w:t>
            </w:r>
          </w:p>
        </w:tc>
      </w:tr>
      <w:tr w:rsidR="00C430E9" w:rsidRPr="0098629B" w14:paraId="5211B004"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2A64246"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 xml:space="preserve">E. Settlements </w:t>
            </w:r>
          </w:p>
        </w:tc>
        <w:tc>
          <w:tcPr>
            <w:tcW w:w="914" w:type="dxa"/>
            <w:tcBorders>
              <w:top w:val="nil"/>
              <w:left w:val="nil"/>
              <w:bottom w:val="single" w:sz="4" w:space="0" w:color="auto"/>
              <w:right w:val="single" w:sz="4" w:space="0" w:color="auto"/>
            </w:tcBorders>
            <w:shd w:val="clear" w:color="000000" w:fill="CCFFFF"/>
            <w:noWrap/>
            <w:vAlign w:val="bottom"/>
            <w:hideMark/>
          </w:tcPr>
          <w:p w14:paraId="6F495E2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10743,98</w:t>
            </w:r>
          </w:p>
        </w:tc>
        <w:tc>
          <w:tcPr>
            <w:tcW w:w="820" w:type="dxa"/>
            <w:tcBorders>
              <w:top w:val="nil"/>
              <w:left w:val="nil"/>
              <w:bottom w:val="single" w:sz="4" w:space="0" w:color="auto"/>
              <w:right w:val="single" w:sz="4" w:space="0" w:color="auto"/>
            </w:tcBorders>
            <w:shd w:val="clear" w:color="000000" w:fill="CCFFFF"/>
            <w:noWrap/>
            <w:vAlign w:val="bottom"/>
            <w:hideMark/>
          </w:tcPr>
          <w:p w14:paraId="6CADFF9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58,41</w:t>
            </w:r>
          </w:p>
        </w:tc>
        <w:tc>
          <w:tcPr>
            <w:tcW w:w="820" w:type="dxa"/>
            <w:tcBorders>
              <w:top w:val="nil"/>
              <w:left w:val="nil"/>
              <w:bottom w:val="single" w:sz="4" w:space="0" w:color="auto"/>
              <w:right w:val="single" w:sz="4" w:space="0" w:color="auto"/>
            </w:tcBorders>
            <w:shd w:val="clear" w:color="000000" w:fill="CCFFFF"/>
            <w:noWrap/>
            <w:vAlign w:val="bottom"/>
            <w:hideMark/>
          </w:tcPr>
          <w:p w14:paraId="6A32523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592,19</w:t>
            </w:r>
          </w:p>
        </w:tc>
        <w:tc>
          <w:tcPr>
            <w:tcW w:w="820" w:type="dxa"/>
            <w:tcBorders>
              <w:top w:val="nil"/>
              <w:left w:val="nil"/>
              <w:bottom w:val="single" w:sz="4" w:space="0" w:color="auto"/>
              <w:right w:val="single" w:sz="4" w:space="0" w:color="auto"/>
            </w:tcBorders>
            <w:shd w:val="clear" w:color="000000" w:fill="969696"/>
            <w:noWrap/>
            <w:vAlign w:val="bottom"/>
            <w:hideMark/>
          </w:tcPr>
          <w:p w14:paraId="2787E6A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3A8B87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AB9634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5218D0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32C2C4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0AB2E0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11394,58</w:t>
            </w:r>
          </w:p>
        </w:tc>
      </w:tr>
      <w:tr w:rsidR="00C430E9" w:rsidRPr="0098629B" w14:paraId="7397B84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B9A6266"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F. Other land</w:t>
            </w:r>
          </w:p>
        </w:tc>
        <w:tc>
          <w:tcPr>
            <w:tcW w:w="914" w:type="dxa"/>
            <w:tcBorders>
              <w:top w:val="nil"/>
              <w:left w:val="nil"/>
              <w:bottom w:val="single" w:sz="4" w:space="0" w:color="auto"/>
              <w:right w:val="single" w:sz="4" w:space="0" w:color="auto"/>
            </w:tcBorders>
            <w:shd w:val="clear" w:color="000000" w:fill="CCFFFF"/>
            <w:noWrap/>
            <w:vAlign w:val="bottom"/>
            <w:hideMark/>
          </w:tcPr>
          <w:p w14:paraId="3CBD877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4E02EB1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10101A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7EA8737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63D29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391A8D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6081C3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02F8CC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B3962F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NO,NE,NA</w:t>
            </w:r>
          </w:p>
        </w:tc>
      </w:tr>
      <w:tr w:rsidR="00C430E9" w:rsidRPr="0098629B" w14:paraId="1C10FA9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E84C433"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G. Harvested wood products</w:t>
            </w:r>
          </w:p>
        </w:tc>
        <w:tc>
          <w:tcPr>
            <w:tcW w:w="914" w:type="dxa"/>
            <w:tcBorders>
              <w:top w:val="nil"/>
              <w:left w:val="nil"/>
              <w:bottom w:val="single" w:sz="4" w:space="0" w:color="auto"/>
              <w:right w:val="single" w:sz="4" w:space="0" w:color="auto"/>
            </w:tcBorders>
            <w:shd w:val="clear" w:color="000000" w:fill="CCFFFF"/>
            <w:noWrap/>
            <w:vAlign w:val="bottom"/>
            <w:hideMark/>
          </w:tcPr>
          <w:p w14:paraId="666794B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-814,43</w:t>
            </w:r>
          </w:p>
        </w:tc>
        <w:tc>
          <w:tcPr>
            <w:tcW w:w="820" w:type="dxa"/>
            <w:tcBorders>
              <w:top w:val="nil"/>
              <w:left w:val="nil"/>
              <w:bottom w:val="single" w:sz="4" w:space="0" w:color="auto"/>
              <w:right w:val="single" w:sz="4" w:space="0" w:color="auto"/>
            </w:tcBorders>
            <w:shd w:val="clear" w:color="000000" w:fill="969696"/>
            <w:noWrap/>
            <w:vAlign w:val="bottom"/>
            <w:hideMark/>
          </w:tcPr>
          <w:p w14:paraId="2EC0450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12531F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AFB172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DB3995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E0D9F1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B9C966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43136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54B7D4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-814,43</w:t>
            </w:r>
          </w:p>
        </w:tc>
      </w:tr>
      <w:tr w:rsidR="00C430E9" w:rsidRPr="0098629B" w14:paraId="0F4B136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26AFDE6"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H. Other</w:t>
            </w:r>
            <w:r w:rsidRPr="0098629B">
              <w:rPr>
                <w:rFonts w:ascii="Times New Roman" w:hAnsi="Times New Roman"/>
                <w:i/>
                <w:iCs/>
                <w:sz w:val="14"/>
                <w:szCs w:val="16"/>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6D9B487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39,82</w:t>
            </w:r>
          </w:p>
        </w:tc>
        <w:tc>
          <w:tcPr>
            <w:tcW w:w="820" w:type="dxa"/>
            <w:tcBorders>
              <w:top w:val="nil"/>
              <w:left w:val="nil"/>
              <w:bottom w:val="single" w:sz="4" w:space="0" w:color="auto"/>
              <w:right w:val="single" w:sz="4" w:space="0" w:color="auto"/>
            </w:tcBorders>
            <w:shd w:val="clear" w:color="000000" w:fill="CCFFFF"/>
            <w:noWrap/>
            <w:vAlign w:val="bottom"/>
            <w:hideMark/>
          </w:tcPr>
          <w:p w14:paraId="79386E0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218,17</w:t>
            </w:r>
          </w:p>
        </w:tc>
        <w:tc>
          <w:tcPr>
            <w:tcW w:w="820" w:type="dxa"/>
            <w:tcBorders>
              <w:top w:val="nil"/>
              <w:left w:val="nil"/>
              <w:bottom w:val="single" w:sz="4" w:space="0" w:color="auto"/>
              <w:right w:val="single" w:sz="4" w:space="0" w:color="auto"/>
            </w:tcBorders>
            <w:shd w:val="clear" w:color="000000" w:fill="CCFFFF"/>
            <w:noWrap/>
            <w:vAlign w:val="bottom"/>
            <w:hideMark/>
          </w:tcPr>
          <w:p w14:paraId="04E2BAC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NA</w:t>
            </w:r>
          </w:p>
        </w:tc>
        <w:tc>
          <w:tcPr>
            <w:tcW w:w="820" w:type="dxa"/>
            <w:tcBorders>
              <w:top w:val="nil"/>
              <w:left w:val="nil"/>
              <w:bottom w:val="single" w:sz="4" w:space="0" w:color="auto"/>
              <w:right w:val="single" w:sz="4" w:space="0" w:color="auto"/>
            </w:tcBorders>
            <w:shd w:val="clear" w:color="000000" w:fill="969696"/>
            <w:noWrap/>
            <w:vAlign w:val="bottom"/>
            <w:hideMark/>
          </w:tcPr>
          <w:p w14:paraId="0923ED8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25B7B2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A915D3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5B1E81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5217D6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0D53B2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257,99</w:t>
            </w:r>
          </w:p>
        </w:tc>
      </w:tr>
      <w:tr w:rsidR="00C430E9" w:rsidRPr="0098629B" w14:paraId="1D11DCC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E32F2F0" w14:textId="77777777" w:rsidR="00C430E9" w:rsidRPr="0098629B" w:rsidRDefault="00C430E9" w:rsidP="00C430E9">
            <w:pPr>
              <w:jc w:val="left"/>
              <w:rPr>
                <w:rFonts w:ascii="Times New Roman" w:hAnsi="Times New Roman"/>
                <w:b/>
                <w:bCs/>
                <w:sz w:val="14"/>
                <w:szCs w:val="16"/>
              </w:rPr>
            </w:pPr>
            <w:r w:rsidRPr="0098629B">
              <w:rPr>
                <w:rFonts w:ascii="Times New Roman" w:hAnsi="Times New Roman"/>
                <w:b/>
                <w:bCs/>
                <w:sz w:val="14"/>
                <w:szCs w:val="16"/>
              </w:rPr>
              <w:t>5.  Waste</w:t>
            </w:r>
          </w:p>
        </w:tc>
        <w:tc>
          <w:tcPr>
            <w:tcW w:w="914" w:type="dxa"/>
            <w:tcBorders>
              <w:top w:val="nil"/>
              <w:left w:val="nil"/>
              <w:bottom w:val="single" w:sz="4" w:space="0" w:color="auto"/>
              <w:right w:val="single" w:sz="4" w:space="0" w:color="auto"/>
            </w:tcBorders>
            <w:shd w:val="clear" w:color="000000" w:fill="CCFFFF"/>
            <w:noWrap/>
            <w:vAlign w:val="bottom"/>
            <w:hideMark/>
          </w:tcPr>
          <w:p w14:paraId="139EB4D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4A8CA7E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15762,03</w:t>
            </w:r>
          </w:p>
        </w:tc>
        <w:tc>
          <w:tcPr>
            <w:tcW w:w="820" w:type="dxa"/>
            <w:tcBorders>
              <w:top w:val="nil"/>
              <w:left w:val="nil"/>
              <w:bottom w:val="single" w:sz="4" w:space="0" w:color="auto"/>
              <w:right w:val="single" w:sz="4" w:space="0" w:color="auto"/>
            </w:tcBorders>
            <w:shd w:val="clear" w:color="000000" w:fill="CCFFFF"/>
            <w:noWrap/>
            <w:vAlign w:val="bottom"/>
            <w:hideMark/>
          </w:tcPr>
          <w:p w14:paraId="1112E05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606,76</w:t>
            </w:r>
          </w:p>
        </w:tc>
        <w:tc>
          <w:tcPr>
            <w:tcW w:w="820" w:type="dxa"/>
            <w:tcBorders>
              <w:top w:val="nil"/>
              <w:left w:val="nil"/>
              <w:bottom w:val="single" w:sz="4" w:space="0" w:color="auto"/>
              <w:right w:val="single" w:sz="4" w:space="0" w:color="auto"/>
            </w:tcBorders>
            <w:shd w:val="clear" w:color="000000" w:fill="969696"/>
            <w:noWrap/>
            <w:vAlign w:val="bottom"/>
            <w:hideMark/>
          </w:tcPr>
          <w:p w14:paraId="1C34B6F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D5B909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C61A6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6EF30A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29D3E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CB313F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17971,72</w:t>
            </w:r>
          </w:p>
        </w:tc>
      </w:tr>
      <w:tr w:rsidR="00C430E9" w:rsidRPr="0098629B" w14:paraId="3881B89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14F5CF0"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A.  Solid waste disposal</w:t>
            </w:r>
            <w:r w:rsidRPr="0098629B">
              <w:rPr>
                <w:rFonts w:ascii="Times New Roman" w:hAnsi="Times New Roman"/>
                <w:b/>
                <w:bCs/>
                <w:sz w:val="14"/>
                <w:szCs w:val="16"/>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6CAD483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NA</w:t>
            </w:r>
          </w:p>
        </w:tc>
        <w:tc>
          <w:tcPr>
            <w:tcW w:w="820" w:type="dxa"/>
            <w:tcBorders>
              <w:top w:val="nil"/>
              <w:left w:val="nil"/>
              <w:bottom w:val="single" w:sz="4" w:space="0" w:color="auto"/>
              <w:right w:val="single" w:sz="4" w:space="0" w:color="auto"/>
            </w:tcBorders>
            <w:shd w:val="clear" w:color="000000" w:fill="CCFFFF"/>
            <w:noWrap/>
            <w:vAlign w:val="bottom"/>
            <w:hideMark/>
          </w:tcPr>
          <w:p w14:paraId="4EB753F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12212,19</w:t>
            </w:r>
          </w:p>
        </w:tc>
        <w:tc>
          <w:tcPr>
            <w:tcW w:w="820" w:type="dxa"/>
            <w:tcBorders>
              <w:top w:val="nil"/>
              <w:left w:val="nil"/>
              <w:bottom w:val="single" w:sz="4" w:space="0" w:color="auto"/>
              <w:right w:val="single" w:sz="4" w:space="0" w:color="auto"/>
            </w:tcBorders>
            <w:shd w:val="clear" w:color="000000" w:fill="969696"/>
            <w:noWrap/>
            <w:vAlign w:val="bottom"/>
            <w:hideMark/>
          </w:tcPr>
          <w:p w14:paraId="6A1C442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96F72D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394B64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B21D9C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CAB5C4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501406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C118E0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12212,19</w:t>
            </w:r>
          </w:p>
        </w:tc>
      </w:tr>
      <w:tr w:rsidR="00C430E9" w:rsidRPr="0098629B" w14:paraId="34F090C7"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3937F33"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B.  Biological treatment of solid waste</w:t>
            </w:r>
          </w:p>
        </w:tc>
        <w:tc>
          <w:tcPr>
            <w:tcW w:w="914" w:type="dxa"/>
            <w:tcBorders>
              <w:top w:val="nil"/>
              <w:left w:val="nil"/>
              <w:bottom w:val="single" w:sz="4" w:space="0" w:color="auto"/>
              <w:right w:val="single" w:sz="4" w:space="0" w:color="auto"/>
            </w:tcBorders>
            <w:shd w:val="clear" w:color="000000" w:fill="969696"/>
            <w:noWrap/>
            <w:vAlign w:val="bottom"/>
            <w:hideMark/>
          </w:tcPr>
          <w:p w14:paraId="2C83BB85" w14:textId="77777777" w:rsidR="00C430E9" w:rsidRPr="0098629B" w:rsidRDefault="00C430E9" w:rsidP="00C430E9">
            <w:pPr>
              <w:jc w:val="righ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4BD97A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1125,28</w:t>
            </w:r>
          </w:p>
        </w:tc>
        <w:tc>
          <w:tcPr>
            <w:tcW w:w="820" w:type="dxa"/>
            <w:tcBorders>
              <w:top w:val="nil"/>
              <w:left w:val="nil"/>
              <w:bottom w:val="single" w:sz="4" w:space="0" w:color="auto"/>
              <w:right w:val="single" w:sz="4" w:space="0" w:color="auto"/>
            </w:tcBorders>
            <w:shd w:val="clear" w:color="000000" w:fill="CCFFFF"/>
            <w:noWrap/>
            <w:vAlign w:val="bottom"/>
            <w:hideMark/>
          </w:tcPr>
          <w:p w14:paraId="0871018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215,09</w:t>
            </w:r>
          </w:p>
        </w:tc>
        <w:tc>
          <w:tcPr>
            <w:tcW w:w="820" w:type="dxa"/>
            <w:tcBorders>
              <w:top w:val="nil"/>
              <w:left w:val="nil"/>
              <w:bottom w:val="single" w:sz="4" w:space="0" w:color="auto"/>
              <w:right w:val="single" w:sz="4" w:space="0" w:color="auto"/>
            </w:tcBorders>
            <w:shd w:val="clear" w:color="000000" w:fill="969696"/>
            <w:noWrap/>
            <w:vAlign w:val="bottom"/>
            <w:hideMark/>
          </w:tcPr>
          <w:p w14:paraId="7254293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BD7A3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D06975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0EA205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0E72A6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F5397B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1340,37</w:t>
            </w:r>
          </w:p>
        </w:tc>
      </w:tr>
      <w:tr w:rsidR="00C430E9" w:rsidRPr="0098629B" w14:paraId="09E3E61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0BEEE818"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C.  Incineration and open burning of waste</w:t>
            </w:r>
          </w:p>
        </w:tc>
        <w:tc>
          <w:tcPr>
            <w:tcW w:w="914" w:type="dxa"/>
            <w:tcBorders>
              <w:top w:val="nil"/>
              <w:left w:val="nil"/>
              <w:bottom w:val="single" w:sz="4" w:space="0" w:color="auto"/>
              <w:right w:val="single" w:sz="4" w:space="0" w:color="auto"/>
            </w:tcBorders>
            <w:shd w:val="clear" w:color="000000" w:fill="CCFFFF"/>
            <w:noWrap/>
            <w:vAlign w:val="bottom"/>
            <w:hideMark/>
          </w:tcPr>
          <w:p w14:paraId="674A889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3167F7D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37,98</w:t>
            </w:r>
          </w:p>
        </w:tc>
        <w:tc>
          <w:tcPr>
            <w:tcW w:w="820" w:type="dxa"/>
            <w:tcBorders>
              <w:top w:val="nil"/>
              <w:left w:val="nil"/>
              <w:bottom w:val="single" w:sz="4" w:space="0" w:color="auto"/>
              <w:right w:val="single" w:sz="4" w:space="0" w:color="auto"/>
            </w:tcBorders>
            <w:shd w:val="clear" w:color="000000" w:fill="CCFFFF"/>
            <w:noWrap/>
            <w:vAlign w:val="bottom"/>
            <w:hideMark/>
          </w:tcPr>
          <w:p w14:paraId="7C9AE9F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62,83</w:t>
            </w:r>
          </w:p>
        </w:tc>
        <w:tc>
          <w:tcPr>
            <w:tcW w:w="820" w:type="dxa"/>
            <w:tcBorders>
              <w:top w:val="nil"/>
              <w:left w:val="nil"/>
              <w:bottom w:val="single" w:sz="4" w:space="0" w:color="auto"/>
              <w:right w:val="single" w:sz="4" w:space="0" w:color="auto"/>
            </w:tcBorders>
            <w:shd w:val="clear" w:color="000000" w:fill="969696"/>
            <w:noWrap/>
            <w:vAlign w:val="bottom"/>
            <w:hideMark/>
          </w:tcPr>
          <w:p w14:paraId="5E0F595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DE23A2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ADD360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36E277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3ED15A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963EF6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1703,74</w:t>
            </w:r>
          </w:p>
        </w:tc>
      </w:tr>
      <w:tr w:rsidR="00C430E9" w:rsidRPr="0098629B" w14:paraId="10F9F36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6FE9F28" w14:textId="77777777" w:rsidR="00C430E9" w:rsidRPr="0098629B" w:rsidRDefault="00C430E9" w:rsidP="0046409B">
            <w:pPr>
              <w:jc w:val="left"/>
              <w:rPr>
                <w:rFonts w:ascii="Times New Roman" w:hAnsi="Times New Roman"/>
                <w:sz w:val="14"/>
                <w:szCs w:val="16"/>
                <w:lang w:val="en-GB"/>
              </w:rPr>
            </w:pPr>
            <w:r w:rsidRPr="0098629B">
              <w:rPr>
                <w:rFonts w:ascii="Times New Roman" w:hAnsi="Times New Roman"/>
                <w:sz w:val="14"/>
                <w:szCs w:val="16"/>
                <w:lang w:val="en-GB"/>
              </w:rPr>
              <w:t>D.  Waste water treatment and discharge</w:t>
            </w:r>
          </w:p>
        </w:tc>
        <w:tc>
          <w:tcPr>
            <w:tcW w:w="914" w:type="dxa"/>
            <w:tcBorders>
              <w:top w:val="nil"/>
              <w:left w:val="nil"/>
              <w:bottom w:val="single" w:sz="4" w:space="0" w:color="auto"/>
              <w:right w:val="single" w:sz="4" w:space="0" w:color="auto"/>
            </w:tcBorders>
            <w:shd w:val="clear" w:color="000000" w:fill="969696"/>
            <w:noWrap/>
            <w:vAlign w:val="bottom"/>
            <w:hideMark/>
          </w:tcPr>
          <w:p w14:paraId="712C67BE" w14:textId="77777777" w:rsidR="00C430E9" w:rsidRPr="0098629B" w:rsidRDefault="00C430E9" w:rsidP="00C430E9">
            <w:pPr>
              <w:jc w:val="righ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F94D64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2386,59</w:t>
            </w:r>
          </w:p>
        </w:tc>
        <w:tc>
          <w:tcPr>
            <w:tcW w:w="820" w:type="dxa"/>
            <w:tcBorders>
              <w:top w:val="nil"/>
              <w:left w:val="nil"/>
              <w:bottom w:val="single" w:sz="4" w:space="0" w:color="auto"/>
              <w:right w:val="single" w:sz="4" w:space="0" w:color="auto"/>
            </w:tcBorders>
            <w:shd w:val="clear" w:color="000000" w:fill="CCFFFF"/>
            <w:noWrap/>
            <w:vAlign w:val="bottom"/>
            <w:hideMark/>
          </w:tcPr>
          <w:p w14:paraId="1BEDAEE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328,84</w:t>
            </w:r>
          </w:p>
        </w:tc>
        <w:tc>
          <w:tcPr>
            <w:tcW w:w="820" w:type="dxa"/>
            <w:tcBorders>
              <w:top w:val="nil"/>
              <w:left w:val="nil"/>
              <w:bottom w:val="single" w:sz="4" w:space="0" w:color="auto"/>
              <w:right w:val="single" w:sz="4" w:space="0" w:color="auto"/>
            </w:tcBorders>
            <w:shd w:val="clear" w:color="000000" w:fill="969696"/>
            <w:noWrap/>
            <w:vAlign w:val="bottom"/>
            <w:hideMark/>
          </w:tcPr>
          <w:p w14:paraId="085A80A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0524E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65CD9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78E117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1041181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C45E89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2715,42</w:t>
            </w:r>
          </w:p>
        </w:tc>
      </w:tr>
      <w:tr w:rsidR="00C430E9" w:rsidRPr="0098629B" w14:paraId="4F272EB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FFC8A5E" w14:textId="77777777" w:rsidR="00C430E9" w:rsidRPr="0098629B" w:rsidRDefault="00C430E9" w:rsidP="0046409B">
            <w:pPr>
              <w:jc w:val="left"/>
              <w:rPr>
                <w:rFonts w:ascii="Times New Roman" w:hAnsi="Times New Roman"/>
                <w:sz w:val="14"/>
                <w:szCs w:val="16"/>
              </w:rPr>
            </w:pPr>
            <w:r w:rsidRPr="0098629B">
              <w:rPr>
                <w:rFonts w:ascii="Times New Roman" w:hAnsi="Times New Roman"/>
                <w:sz w:val="14"/>
                <w:szCs w:val="16"/>
              </w:rPr>
              <w:t>E.  Other</w:t>
            </w:r>
            <w:r w:rsidRPr="0098629B">
              <w:rPr>
                <w:rFonts w:ascii="Times New Roman" w:hAnsi="Times New Roman"/>
                <w:b/>
                <w:bCs/>
                <w:i/>
                <w:iCs/>
                <w:sz w:val="14"/>
                <w:szCs w:val="16"/>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765515F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393841B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3E3E61C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7A3AB82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B7C9B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AC1928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F1FD96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13E333E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E4A302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r>
      <w:tr w:rsidR="00C430E9" w:rsidRPr="0098629B" w14:paraId="268A1785"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D3768A3" w14:textId="77777777" w:rsidR="00C430E9" w:rsidRPr="0098629B" w:rsidRDefault="00C430E9" w:rsidP="00C430E9">
            <w:pPr>
              <w:jc w:val="left"/>
              <w:rPr>
                <w:rFonts w:ascii="Times New Roman" w:hAnsi="Times New Roman"/>
                <w:b/>
                <w:bCs/>
                <w:sz w:val="14"/>
                <w:szCs w:val="16"/>
                <w:lang w:val="en-GB"/>
              </w:rPr>
            </w:pPr>
            <w:r w:rsidRPr="0098629B">
              <w:rPr>
                <w:rFonts w:ascii="Times New Roman" w:hAnsi="Times New Roman"/>
                <w:b/>
                <w:bCs/>
                <w:sz w:val="14"/>
                <w:szCs w:val="16"/>
                <w:lang w:val="en-GB"/>
              </w:rPr>
              <w:t xml:space="preserve">6.  Other </w:t>
            </w:r>
            <w:r w:rsidRPr="0098629B">
              <w:rPr>
                <w:rFonts w:ascii="Times New Roman" w:hAnsi="Times New Roman"/>
                <w:b/>
                <w:bCs/>
                <w:i/>
                <w:iCs/>
                <w:sz w:val="14"/>
                <w:szCs w:val="16"/>
                <w:lang w:val="en-GB"/>
              </w:rPr>
              <w:t>(as specified in summary 1.A)</w:t>
            </w:r>
          </w:p>
        </w:tc>
        <w:tc>
          <w:tcPr>
            <w:tcW w:w="914" w:type="dxa"/>
            <w:tcBorders>
              <w:top w:val="nil"/>
              <w:left w:val="nil"/>
              <w:bottom w:val="single" w:sz="4" w:space="0" w:color="auto"/>
              <w:right w:val="single" w:sz="4" w:space="0" w:color="auto"/>
            </w:tcBorders>
            <w:shd w:val="clear" w:color="000000" w:fill="CCFFFF"/>
            <w:noWrap/>
            <w:vAlign w:val="bottom"/>
            <w:hideMark/>
          </w:tcPr>
          <w:p w14:paraId="41B6065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F1EECC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06DB98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C741F6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3DE6843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4F6A45B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1276" w:type="dxa"/>
            <w:tcBorders>
              <w:top w:val="nil"/>
              <w:left w:val="nil"/>
              <w:bottom w:val="single" w:sz="4" w:space="0" w:color="auto"/>
              <w:right w:val="single" w:sz="4" w:space="0" w:color="auto"/>
            </w:tcBorders>
            <w:shd w:val="clear" w:color="000000" w:fill="CCFFFF"/>
            <w:noWrap/>
            <w:vAlign w:val="bottom"/>
            <w:hideMark/>
          </w:tcPr>
          <w:p w14:paraId="3B011EE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487" w:type="dxa"/>
            <w:tcBorders>
              <w:top w:val="nil"/>
              <w:left w:val="nil"/>
              <w:bottom w:val="single" w:sz="4" w:space="0" w:color="auto"/>
              <w:right w:val="single" w:sz="4" w:space="0" w:color="auto"/>
            </w:tcBorders>
            <w:shd w:val="clear" w:color="000000" w:fill="CCFFFF"/>
            <w:noWrap/>
            <w:vAlign w:val="bottom"/>
            <w:hideMark/>
          </w:tcPr>
          <w:p w14:paraId="350B37D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A6A2E9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w:t>
            </w:r>
          </w:p>
        </w:tc>
      </w:tr>
      <w:tr w:rsidR="00C430E9" w:rsidRPr="0098629B" w14:paraId="78643BC6" w14:textId="77777777" w:rsidTr="00D8302C">
        <w:trPr>
          <w:gridAfter w:val="1"/>
          <w:wAfter w:w="152" w:type="dxa"/>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7FEBBAE" w14:textId="711242A4" w:rsidR="00C430E9" w:rsidRPr="0098629B" w:rsidRDefault="00C430E9" w:rsidP="00C430E9">
            <w:pPr>
              <w:jc w:val="left"/>
              <w:rPr>
                <w:rFonts w:ascii="Times New Roman" w:hAnsi="Times New Roman"/>
                <w:b/>
                <w:bCs/>
                <w:sz w:val="14"/>
                <w:szCs w:val="16"/>
              </w:rPr>
            </w:pPr>
            <w:bookmarkStart w:id="303" w:name="RANGE!A56:J64"/>
            <w:r w:rsidRPr="0098629B">
              <w:rPr>
                <w:rFonts w:ascii="Times New Roman" w:hAnsi="Times New Roman"/>
                <w:b/>
                <w:bCs/>
                <w:sz w:val="14"/>
                <w:szCs w:val="16"/>
              </w:rPr>
              <w:t>Memo items:</w:t>
            </w:r>
            <w:r w:rsidRPr="0098629B">
              <w:rPr>
                <w:rFonts w:ascii="Times New Roman" w:hAnsi="Times New Roman"/>
                <w:b/>
                <w:bCs/>
                <w:sz w:val="14"/>
                <w:szCs w:val="16"/>
                <w:vertAlign w:val="superscript"/>
              </w:rPr>
              <w:t>(2)</w:t>
            </w:r>
            <w:bookmarkEnd w:id="303"/>
          </w:p>
        </w:tc>
        <w:tc>
          <w:tcPr>
            <w:tcW w:w="914" w:type="dxa"/>
            <w:tcBorders>
              <w:top w:val="single" w:sz="4" w:space="0" w:color="auto"/>
              <w:left w:val="nil"/>
              <w:bottom w:val="single" w:sz="4" w:space="0" w:color="auto"/>
              <w:right w:val="single" w:sz="4" w:space="0" w:color="auto"/>
            </w:tcBorders>
            <w:shd w:val="clear" w:color="000000" w:fill="969696"/>
            <w:noWrap/>
            <w:vAlign w:val="bottom"/>
            <w:hideMark/>
          </w:tcPr>
          <w:p w14:paraId="5272B94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163B036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70FE1B1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5F626D0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5DFD11A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509C619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single" w:sz="4" w:space="0" w:color="auto"/>
              <w:left w:val="nil"/>
              <w:bottom w:val="single" w:sz="4" w:space="0" w:color="auto"/>
              <w:right w:val="single" w:sz="4" w:space="0" w:color="auto"/>
            </w:tcBorders>
            <w:shd w:val="clear" w:color="000000" w:fill="969696"/>
            <w:noWrap/>
            <w:vAlign w:val="bottom"/>
            <w:hideMark/>
          </w:tcPr>
          <w:p w14:paraId="1A595AE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single" w:sz="4" w:space="0" w:color="auto"/>
              <w:left w:val="nil"/>
              <w:bottom w:val="single" w:sz="4" w:space="0" w:color="auto"/>
              <w:right w:val="single" w:sz="4" w:space="0" w:color="auto"/>
            </w:tcBorders>
            <w:shd w:val="clear" w:color="000000" w:fill="969696"/>
            <w:noWrap/>
            <w:vAlign w:val="bottom"/>
            <w:hideMark/>
          </w:tcPr>
          <w:p w14:paraId="71009FA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single" w:sz="4" w:space="0" w:color="auto"/>
              <w:left w:val="nil"/>
              <w:bottom w:val="single" w:sz="4" w:space="0" w:color="auto"/>
              <w:right w:val="single" w:sz="4" w:space="0" w:color="auto"/>
            </w:tcBorders>
            <w:shd w:val="clear" w:color="000000" w:fill="969696"/>
            <w:noWrap/>
            <w:vAlign w:val="bottom"/>
            <w:hideMark/>
          </w:tcPr>
          <w:p w14:paraId="3FFA177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r>
      <w:tr w:rsidR="00C430E9" w:rsidRPr="0098629B" w14:paraId="0E61155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8561690" w14:textId="77777777" w:rsidR="00C430E9" w:rsidRPr="0098629B" w:rsidRDefault="00C430E9" w:rsidP="00C430E9">
            <w:pPr>
              <w:jc w:val="left"/>
              <w:rPr>
                <w:rFonts w:ascii="Times New Roman" w:hAnsi="Times New Roman"/>
                <w:b/>
                <w:bCs/>
                <w:sz w:val="14"/>
                <w:szCs w:val="16"/>
              </w:rPr>
            </w:pPr>
            <w:r w:rsidRPr="0098629B">
              <w:rPr>
                <w:rFonts w:ascii="Times New Roman" w:hAnsi="Times New Roman"/>
                <w:b/>
                <w:bCs/>
                <w:sz w:val="14"/>
                <w:szCs w:val="16"/>
              </w:rPr>
              <w:t>International bunkers</w:t>
            </w:r>
          </w:p>
        </w:tc>
        <w:tc>
          <w:tcPr>
            <w:tcW w:w="914" w:type="dxa"/>
            <w:tcBorders>
              <w:top w:val="nil"/>
              <w:left w:val="nil"/>
              <w:bottom w:val="single" w:sz="4" w:space="0" w:color="auto"/>
              <w:right w:val="single" w:sz="4" w:space="0" w:color="auto"/>
            </w:tcBorders>
            <w:shd w:val="clear" w:color="000000" w:fill="CCFFFF"/>
            <w:noWrap/>
            <w:vAlign w:val="bottom"/>
            <w:hideMark/>
          </w:tcPr>
          <w:p w14:paraId="59AC611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11437,54</w:t>
            </w:r>
          </w:p>
        </w:tc>
        <w:tc>
          <w:tcPr>
            <w:tcW w:w="820" w:type="dxa"/>
            <w:tcBorders>
              <w:top w:val="nil"/>
              <w:left w:val="nil"/>
              <w:bottom w:val="single" w:sz="4" w:space="0" w:color="auto"/>
              <w:right w:val="single" w:sz="4" w:space="0" w:color="auto"/>
            </w:tcBorders>
            <w:shd w:val="clear" w:color="000000" w:fill="CCFFFF"/>
            <w:noWrap/>
            <w:vAlign w:val="bottom"/>
            <w:hideMark/>
          </w:tcPr>
          <w:p w14:paraId="451478F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8,51</w:t>
            </w:r>
          </w:p>
        </w:tc>
        <w:tc>
          <w:tcPr>
            <w:tcW w:w="820" w:type="dxa"/>
            <w:tcBorders>
              <w:top w:val="nil"/>
              <w:left w:val="nil"/>
              <w:bottom w:val="single" w:sz="4" w:space="0" w:color="auto"/>
              <w:right w:val="single" w:sz="4" w:space="0" w:color="auto"/>
            </w:tcBorders>
            <w:shd w:val="clear" w:color="000000" w:fill="CCFFFF"/>
            <w:noWrap/>
            <w:vAlign w:val="bottom"/>
            <w:hideMark/>
          </w:tcPr>
          <w:p w14:paraId="3D720AA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91,23</w:t>
            </w:r>
          </w:p>
        </w:tc>
        <w:tc>
          <w:tcPr>
            <w:tcW w:w="820" w:type="dxa"/>
            <w:tcBorders>
              <w:top w:val="nil"/>
              <w:left w:val="nil"/>
              <w:bottom w:val="single" w:sz="4" w:space="0" w:color="auto"/>
              <w:right w:val="single" w:sz="4" w:space="0" w:color="auto"/>
            </w:tcBorders>
            <w:shd w:val="clear" w:color="000000" w:fill="969696"/>
            <w:noWrap/>
            <w:vAlign w:val="bottom"/>
            <w:hideMark/>
          </w:tcPr>
          <w:p w14:paraId="5B10725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FFC8E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FCC0AF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1CD313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7E51CF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B95D6E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11537,28</w:t>
            </w:r>
          </w:p>
        </w:tc>
      </w:tr>
      <w:tr w:rsidR="00C430E9" w:rsidRPr="0098629B" w14:paraId="1AC64695"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D7D36ED" w14:textId="77777777" w:rsidR="00C430E9" w:rsidRPr="0098629B" w:rsidRDefault="00C430E9" w:rsidP="00C430E9">
            <w:pPr>
              <w:jc w:val="left"/>
              <w:rPr>
                <w:rFonts w:ascii="Times New Roman" w:hAnsi="Times New Roman"/>
                <w:sz w:val="14"/>
                <w:szCs w:val="16"/>
              </w:rPr>
            </w:pPr>
            <w:r w:rsidRPr="0098629B">
              <w:rPr>
                <w:rFonts w:ascii="Times New Roman" w:hAnsi="Times New Roman"/>
                <w:sz w:val="14"/>
                <w:szCs w:val="16"/>
              </w:rPr>
              <w:t>Aviation</w:t>
            </w:r>
          </w:p>
        </w:tc>
        <w:tc>
          <w:tcPr>
            <w:tcW w:w="914" w:type="dxa"/>
            <w:tcBorders>
              <w:top w:val="nil"/>
              <w:left w:val="nil"/>
              <w:bottom w:val="single" w:sz="4" w:space="0" w:color="auto"/>
              <w:right w:val="single" w:sz="4" w:space="0" w:color="auto"/>
            </w:tcBorders>
            <w:shd w:val="clear" w:color="000000" w:fill="CCFFFF"/>
            <w:noWrap/>
            <w:vAlign w:val="bottom"/>
            <w:hideMark/>
          </w:tcPr>
          <w:p w14:paraId="07B0E70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8183,82</w:t>
            </w:r>
          </w:p>
        </w:tc>
        <w:tc>
          <w:tcPr>
            <w:tcW w:w="820" w:type="dxa"/>
            <w:tcBorders>
              <w:top w:val="nil"/>
              <w:left w:val="nil"/>
              <w:bottom w:val="single" w:sz="4" w:space="0" w:color="auto"/>
              <w:right w:val="single" w:sz="4" w:space="0" w:color="auto"/>
            </w:tcBorders>
            <w:shd w:val="clear" w:color="000000" w:fill="CCFFFF"/>
            <w:noWrap/>
            <w:vAlign w:val="bottom"/>
            <w:hideMark/>
          </w:tcPr>
          <w:p w14:paraId="289BFBF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0,70</w:t>
            </w:r>
          </w:p>
        </w:tc>
        <w:tc>
          <w:tcPr>
            <w:tcW w:w="820" w:type="dxa"/>
            <w:tcBorders>
              <w:top w:val="nil"/>
              <w:left w:val="nil"/>
              <w:bottom w:val="single" w:sz="4" w:space="0" w:color="auto"/>
              <w:right w:val="single" w:sz="4" w:space="0" w:color="auto"/>
            </w:tcBorders>
            <w:shd w:val="clear" w:color="000000" w:fill="CCFFFF"/>
            <w:noWrap/>
            <w:vAlign w:val="bottom"/>
            <w:hideMark/>
          </w:tcPr>
          <w:p w14:paraId="031D24D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66,37</w:t>
            </w:r>
          </w:p>
        </w:tc>
        <w:tc>
          <w:tcPr>
            <w:tcW w:w="820" w:type="dxa"/>
            <w:tcBorders>
              <w:top w:val="nil"/>
              <w:left w:val="nil"/>
              <w:bottom w:val="single" w:sz="4" w:space="0" w:color="auto"/>
              <w:right w:val="single" w:sz="4" w:space="0" w:color="auto"/>
            </w:tcBorders>
            <w:shd w:val="clear" w:color="000000" w:fill="969696"/>
            <w:noWrap/>
            <w:vAlign w:val="bottom"/>
            <w:hideMark/>
          </w:tcPr>
          <w:p w14:paraId="101A3EB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9E4D5B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AE69E4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C53AFE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18F6EF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6A1730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8250,89</w:t>
            </w:r>
          </w:p>
        </w:tc>
      </w:tr>
      <w:tr w:rsidR="00C430E9" w:rsidRPr="0098629B" w14:paraId="17FA28E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38E8BB5" w14:textId="77777777" w:rsidR="00C430E9" w:rsidRPr="0098629B" w:rsidRDefault="00C430E9" w:rsidP="00C430E9">
            <w:pPr>
              <w:jc w:val="left"/>
              <w:rPr>
                <w:rFonts w:ascii="Times New Roman" w:hAnsi="Times New Roman"/>
                <w:sz w:val="14"/>
                <w:szCs w:val="16"/>
              </w:rPr>
            </w:pPr>
            <w:r w:rsidRPr="0098629B">
              <w:rPr>
                <w:rFonts w:ascii="Times New Roman" w:hAnsi="Times New Roman"/>
                <w:sz w:val="14"/>
                <w:szCs w:val="16"/>
              </w:rPr>
              <w:t>Navigation</w:t>
            </w:r>
          </w:p>
        </w:tc>
        <w:tc>
          <w:tcPr>
            <w:tcW w:w="914" w:type="dxa"/>
            <w:tcBorders>
              <w:top w:val="nil"/>
              <w:left w:val="nil"/>
              <w:bottom w:val="single" w:sz="4" w:space="0" w:color="auto"/>
              <w:right w:val="single" w:sz="4" w:space="0" w:color="auto"/>
            </w:tcBorders>
            <w:shd w:val="clear" w:color="000000" w:fill="CCFFFF"/>
            <w:noWrap/>
            <w:vAlign w:val="bottom"/>
            <w:hideMark/>
          </w:tcPr>
          <w:p w14:paraId="4E9286D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3253,71</w:t>
            </w:r>
          </w:p>
        </w:tc>
        <w:tc>
          <w:tcPr>
            <w:tcW w:w="820" w:type="dxa"/>
            <w:tcBorders>
              <w:top w:val="nil"/>
              <w:left w:val="nil"/>
              <w:bottom w:val="single" w:sz="4" w:space="0" w:color="auto"/>
              <w:right w:val="single" w:sz="4" w:space="0" w:color="auto"/>
            </w:tcBorders>
            <w:shd w:val="clear" w:color="000000" w:fill="CCFFFF"/>
            <w:noWrap/>
            <w:vAlign w:val="bottom"/>
            <w:hideMark/>
          </w:tcPr>
          <w:p w14:paraId="664B585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7,81</w:t>
            </w:r>
          </w:p>
        </w:tc>
        <w:tc>
          <w:tcPr>
            <w:tcW w:w="820" w:type="dxa"/>
            <w:tcBorders>
              <w:top w:val="nil"/>
              <w:left w:val="nil"/>
              <w:bottom w:val="single" w:sz="4" w:space="0" w:color="auto"/>
              <w:right w:val="single" w:sz="4" w:space="0" w:color="auto"/>
            </w:tcBorders>
            <w:shd w:val="clear" w:color="000000" w:fill="CCFFFF"/>
            <w:noWrap/>
            <w:vAlign w:val="bottom"/>
            <w:hideMark/>
          </w:tcPr>
          <w:p w14:paraId="73880B7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24,86</w:t>
            </w:r>
          </w:p>
        </w:tc>
        <w:tc>
          <w:tcPr>
            <w:tcW w:w="820" w:type="dxa"/>
            <w:tcBorders>
              <w:top w:val="nil"/>
              <w:left w:val="nil"/>
              <w:bottom w:val="single" w:sz="4" w:space="0" w:color="auto"/>
              <w:right w:val="single" w:sz="4" w:space="0" w:color="auto"/>
            </w:tcBorders>
            <w:shd w:val="clear" w:color="000000" w:fill="969696"/>
            <w:noWrap/>
            <w:vAlign w:val="bottom"/>
            <w:hideMark/>
          </w:tcPr>
          <w:p w14:paraId="452BDD1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ECDC30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6C0A1A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707C03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F65F1BE"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4F7F83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3286,39</w:t>
            </w:r>
          </w:p>
        </w:tc>
      </w:tr>
      <w:tr w:rsidR="00C430E9" w:rsidRPr="0098629B" w14:paraId="09F3DF51"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300E8DB" w14:textId="77777777" w:rsidR="00C430E9" w:rsidRPr="0098629B" w:rsidRDefault="00C430E9" w:rsidP="00C430E9">
            <w:pPr>
              <w:jc w:val="left"/>
              <w:rPr>
                <w:rFonts w:ascii="Times New Roman" w:hAnsi="Times New Roman"/>
                <w:b/>
                <w:bCs/>
                <w:sz w:val="14"/>
                <w:szCs w:val="16"/>
              </w:rPr>
            </w:pPr>
            <w:r w:rsidRPr="0098629B">
              <w:rPr>
                <w:rFonts w:ascii="Times New Roman" w:hAnsi="Times New Roman"/>
                <w:b/>
                <w:bCs/>
                <w:sz w:val="14"/>
                <w:szCs w:val="16"/>
              </w:rPr>
              <w:t>Multilateral operations</w:t>
            </w:r>
          </w:p>
        </w:tc>
        <w:tc>
          <w:tcPr>
            <w:tcW w:w="914" w:type="dxa"/>
            <w:tcBorders>
              <w:top w:val="nil"/>
              <w:left w:val="nil"/>
              <w:bottom w:val="single" w:sz="4" w:space="0" w:color="auto"/>
              <w:right w:val="single" w:sz="4" w:space="0" w:color="auto"/>
            </w:tcBorders>
            <w:shd w:val="clear" w:color="000000" w:fill="CCFFFF"/>
            <w:noWrap/>
            <w:vAlign w:val="bottom"/>
            <w:hideMark/>
          </w:tcPr>
          <w:p w14:paraId="04F214D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1,42</w:t>
            </w:r>
          </w:p>
        </w:tc>
        <w:tc>
          <w:tcPr>
            <w:tcW w:w="820" w:type="dxa"/>
            <w:tcBorders>
              <w:top w:val="nil"/>
              <w:left w:val="nil"/>
              <w:bottom w:val="single" w:sz="4" w:space="0" w:color="auto"/>
              <w:right w:val="single" w:sz="4" w:space="0" w:color="auto"/>
            </w:tcBorders>
            <w:shd w:val="clear" w:color="000000" w:fill="CCFFFF"/>
            <w:noWrap/>
            <w:vAlign w:val="bottom"/>
            <w:hideMark/>
          </w:tcPr>
          <w:p w14:paraId="5615681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NE</w:t>
            </w:r>
          </w:p>
        </w:tc>
        <w:tc>
          <w:tcPr>
            <w:tcW w:w="820" w:type="dxa"/>
            <w:tcBorders>
              <w:top w:val="nil"/>
              <w:left w:val="nil"/>
              <w:bottom w:val="single" w:sz="4" w:space="0" w:color="auto"/>
              <w:right w:val="single" w:sz="4" w:space="0" w:color="auto"/>
            </w:tcBorders>
            <w:shd w:val="clear" w:color="000000" w:fill="CCFFFF"/>
            <w:noWrap/>
            <w:vAlign w:val="bottom"/>
            <w:hideMark/>
          </w:tcPr>
          <w:p w14:paraId="0E48511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075AD0E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20D95B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369A1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FC1B50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549A2A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4F0EE5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1,42</w:t>
            </w:r>
          </w:p>
        </w:tc>
      </w:tr>
      <w:tr w:rsidR="00C430E9" w:rsidRPr="0098629B" w14:paraId="79B7F4F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BCACEE2" w14:textId="360BB0E2" w:rsidR="00C430E9" w:rsidRPr="0098629B" w:rsidRDefault="00811B0F" w:rsidP="00C430E9">
            <w:pPr>
              <w:jc w:val="left"/>
              <w:rPr>
                <w:rFonts w:ascii="Times New Roman" w:hAnsi="Times New Roman"/>
                <w:b/>
                <w:bCs/>
                <w:sz w:val="14"/>
                <w:szCs w:val="16"/>
              </w:rPr>
            </w:pPr>
            <w:r w:rsidRPr="0098629B">
              <w:rPr>
                <w:sz w:val="14"/>
                <w:szCs w:val="16"/>
              </w:rPr>
              <w:t>CO</w:t>
            </w:r>
            <w:r w:rsidRPr="0098629B">
              <w:rPr>
                <w:sz w:val="14"/>
                <w:szCs w:val="16"/>
                <w:vertAlign w:val="subscript"/>
              </w:rPr>
              <w:t>2</w:t>
            </w:r>
            <w:r w:rsidR="00C430E9" w:rsidRPr="0098629B">
              <w:rPr>
                <w:rFonts w:ascii="Times New Roman" w:hAnsi="Times New Roman"/>
                <w:b/>
                <w:bCs/>
                <w:sz w:val="14"/>
                <w:szCs w:val="16"/>
              </w:rPr>
              <w:t xml:space="preserve"> emissions from biomass</w:t>
            </w:r>
          </w:p>
        </w:tc>
        <w:tc>
          <w:tcPr>
            <w:tcW w:w="914" w:type="dxa"/>
            <w:tcBorders>
              <w:top w:val="nil"/>
              <w:left w:val="nil"/>
              <w:bottom w:val="single" w:sz="4" w:space="0" w:color="auto"/>
              <w:right w:val="single" w:sz="4" w:space="0" w:color="auto"/>
            </w:tcBorders>
            <w:shd w:val="clear" w:color="000000" w:fill="CCFFFF"/>
            <w:noWrap/>
            <w:vAlign w:val="bottom"/>
            <w:hideMark/>
          </w:tcPr>
          <w:p w14:paraId="5E6FB79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59133,68</w:t>
            </w:r>
          </w:p>
        </w:tc>
        <w:tc>
          <w:tcPr>
            <w:tcW w:w="820" w:type="dxa"/>
            <w:tcBorders>
              <w:top w:val="nil"/>
              <w:left w:val="nil"/>
              <w:bottom w:val="single" w:sz="4" w:space="0" w:color="auto"/>
              <w:right w:val="single" w:sz="4" w:space="0" w:color="auto"/>
            </w:tcBorders>
            <w:shd w:val="clear" w:color="000000" w:fill="969696"/>
            <w:noWrap/>
            <w:vAlign w:val="bottom"/>
            <w:hideMark/>
          </w:tcPr>
          <w:p w14:paraId="7EE36064"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3F5C72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6E6E41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2C8F8A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2F73420"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09757D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912818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5FF99B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59133,68</w:t>
            </w:r>
          </w:p>
        </w:tc>
      </w:tr>
      <w:tr w:rsidR="00C430E9" w:rsidRPr="0098629B" w14:paraId="665CE4C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13E7803" w14:textId="4AB876FD" w:rsidR="00C430E9" w:rsidRPr="0098629B" w:rsidRDefault="00811B0F" w:rsidP="00C430E9">
            <w:pPr>
              <w:jc w:val="left"/>
              <w:rPr>
                <w:rFonts w:ascii="Times New Roman" w:hAnsi="Times New Roman"/>
                <w:b/>
                <w:bCs/>
                <w:sz w:val="14"/>
                <w:szCs w:val="16"/>
              </w:rPr>
            </w:pPr>
            <w:r w:rsidRPr="0098629B">
              <w:rPr>
                <w:sz w:val="14"/>
                <w:szCs w:val="16"/>
              </w:rPr>
              <w:t>CO</w:t>
            </w:r>
            <w:r w:rsidRPr="0098629B">
              <w:rPr>
                <w:sz w:val="14"/>
                <w:szCs w:val="16"/>
                <w:vertAlign w:val="subscript"/>
              </w:rPr>
              <w:t>2</w:t>
            </w:r>
            <w:r w:rsidR="00C430E9" w:rsidRPr="0098629B">
              <w:rPr>
                <w:rFonts w:ascii="Times New Roman" w:hAnsi="Times New Roman"/>
                <w:b/>
                <w:bCs/>
                <w:sz w:val="14"/>
                <w:szCs w:val="16"/>
              </w:rPr>
              <w:t xml:space="preserve"> captured</w:t>
            </w:r>
          </w:p>
        </w:tc>
        <w:tc>
          <w:tcPr>
            <w:tcW w:w="914" w:type="dxa"/>
            <w:tcBorders>
              <w:top w:val="nil"/>
              <w:left w:val="nil"/>
              <w:bottom w:val="single" w:sz="4" w:space="0" w:color="auto"/>
              <w:right w:val="single" w:sz="4" w:space="0" w:color="auto"/>
            </w:tcBorders>
            <w:shd w:val="clear" w:color="000000" w:fill="CCFFFF"/>
            <w:noWrap/>
            <w:vAlign w:val="bottom"/>
            <w:hideMark/>
          </w:tcPr>
          <w:p w14:paraId="748EC65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245C84E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C633E8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661914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80E8C3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126ABEB"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39E333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71F541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7EAD0E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NO,NA</w:t>
            </w:r>
          </w:p>
        </w:tc>
      </w:tr>
      <w:tr w:rsidR="00C430E9" w:rsidRPr="0098629B" w14:paraId="2AB8213A" w14:textId="77777777" w:rsidTr="00D8302C">
        <w:trPr>
          <w:gridAfter w:val="1"/>
          <w:wAfter w:w="152" w:type="dxa"/>
          <w:trHeight w:val="68"/>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14C10B8C" w14:textId="77777777" w:rsidR="00C430E9" w:rsidRPr="0098629B" w:rsidRDefault="00C430E9" w:rsidP="00C430E9">
            <w:pPr>
              <w:jc w:val="left"/>
              <w:rPr>
                <w:rFonts w:ascii="Times New Roman" w:hAnsi="Times New Roman"/>
                <w:b/>
                <w:bCs/>
                <w:sz w:val="14"/>
                <w:szCs w:val="16"/>
                <w:lang w:val="en-GB"/>
              </w:rPr>
            </w:pPr>
            <w:r w:rsidRPr="0098629B">
              <w:rPr>
                <w:rFonts w:ascii="Times New Roman" w:hAnsi="Times New Roman"/>
                <w:b/>
                <w:bCs/>
                <w:sz w:val="14"/>
                <w:szCs w:val="16"/>
                <w:lang w:val="en-GB"/>
              </w:rPr>
              <w:t>Long-term storage of C in waste disposal sites</w:t>
            </w:r>
          </w:p>
        </w:tc>
        <w:tc>
          <w:tcPr>
            <w:tcW w:w="914" w:type="dxa"/>
            <w:tcBorders>
              <w:top w:val="nil"/>
              <w:left w:val="single" w:sz="4" w:space="0" w:color="auto"/>
              <w:bottom w:val="single" w:sz="4" w:space="0" w:color="auto"/>
              <w:right w:val="single" w:sz="4" w:space="0" w:color="auto"/>
            </w:tcBorders>
            <w:shd w:val="clear" w:color="000000" w:fill="CCFFFF"/>
            <w:noWrap/>
            <w:vAlign w:val="bottom"/>
            <w:hideMark/>
          </w:tcPr>
          <w:p w14:paraId="4CE4B34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7CBDA3B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23DD0C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87E8E4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A25E20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A5E3B3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C1321D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5064C6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DAD4189"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NE</w:t>
            </w:r>
          </w:p>
        </w:tc>
      </w:tr>
      <w:tr w:rsidR="00C430E9" w:rsidRPr="0098629B" w14:paraId="39BF8DCB" w14:textId="77777777" w:rsidTr="00D8302C">
        <w:trPr>
          <w:gridAfter w:val="1"/>
          <w:wAfter w:w="152" w:type="dxa"/>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74DF7CAB" w14:textId="29277CF2" w:rsidR="00C430E9" w:rsidRPr="0098629B" w:rsidRDefault="00C430E9" w:rsidP="00C430E9">
            <w:pPr>
              <w:jc w:val="left"/>
              <w:rPr>
                <w:rFonts w:ascii="Times New Roman" w:hAnsi="Times New Roman"/>
                <w:b/>
                <w:bCs/>
                <w:sz w:val="14"/>
                <w:szCs w:val="16"/>
              </w:rPr>
            </w:pPr>
            <w:r w:rsidRPr="0098629B">
              <w:rPr>
                <w:rFonts w:ascii="Times New Roman" w:hAnsi="Times New Roman"/>
                <w:b/>
                <w:bCs/>
                <w:sz w:val="14"/>
                <w:szCs w:val="16"/>
              </w:rPr>
              <w:t xml:space="preserve">Indirect </w:t>
            </w:r>
            <w:r w:rsidR="00891B49" w:rsidRPr="0098629B">
              <w:rPr>
                <w:sz w:val="14"/>
                <w:szCs w:val="16"/>
              </w:rPr>
              <w:t>N</w:t>
            </w:r>
            <w:r w:rsidR="00891B49" w:rsidRPr="0098629B">
              <w:rPr>
                <w:sz w:val="14"/>
                <w:szCs w:val="16"/>
                <w:vertAlign w:val="subscript"/>
              </w:rPr>
              <w:t>2</w:t>
            </w:r>
            <w:r w:rsidR="00891B49" w:rsidRPr="0098629B">
              <w:rPr>
                <w:sz w:val="14"/>
                <w:szCs w:val="16"/>
              </w:rPr>
              <w:t>O</w:t>
            </w:r>
          </w:p>
        </w:tc>
        <w:tc>
          <w:tcPr>
            <w:tcW w:w="914" w:type="dxa"/>
            <w:tcBorders>
              <w:top w:val="nil"/>
              <w:left w:val="nil"/>
              <w:bottom w:val="single" w:sz="4" w:space="0" w:color="auto"/>
              <w:right w:val="single" w:sz="4" w:space="0" w:color="auto"/>
            </w:tcBorders>
            <w:shd w:val="clear" w:color="000000" w:fill="969696"/>
            <w:noWrap/>
            <w:vAlign w:val="bottom"/>
            <w:hideMark/>
          </w:tcPr>
          <w:p w14:paraId="3CBE9AB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7423C3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30CECB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61E2D1B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5946F7C"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A85DA9D"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C20887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71FDF0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969696"/>
            <w:noWrap/>
            <w:vAlign w:val="bottom"/>
            <w:hideMark/>
          </w:tcPr>
          <w:p w14:paraId="2CBBBFF3"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r>
      <w:tr w:rsidR="00C430E9" w:rsidRPr="0098629B" w14:paraId="79170B6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4AF6749" w14:textId="6B3F803F" w:rsidR="00C430E9" w:rsidRPr="0098629B" w:rsidRDefault="00C430E9" w:rsidP="00C430E9">
            <w:pPr>
              <w:jc w:val="left"/>
              <w:rPr>
                <w:rFonts w:ascii="Times New Roman" w:hAnsi="Times New Roman"/>
                <w:b/>
                <w:bCs/>
                <w:sz w:val="14"/>
                <w:szCs w:val="16"/>
              </w:rPr>
            </w:pPr>
            <w:bookmarkStart w:id="304" w:name="RANGE!A65:J65"/>
            <w:r w:rsidRPr="0098629B">
              <w:rPr>
                <w:rFonts w:ascii="Times New Roman" w:hAnsi="Times New Roman"/>
                <w:b/>
                <w:bCs/>
                <w:sz w:val="14"/>
                <w:szCs w:val="16"/>
              </w:rPr>
              <w:t xml:space="preserve">Indirect </w:t>
            </w:r>
            <w:r w:rsidR="00811B0F" w:rsidRPr="0098629B">
              <w:rPr>
                <w:sz w:val="14"/>
                <w:szCs w:val="16"/>
              </w:rPr>
              <w:t>CO</w:t>
            </w:r>
            <w:r w:rsidR="00811B0F" w:rsidRPr="0098629B">
              <w:rPr>
                <w:sz w:val="14"/>
                <w:szCs w:val="16"/>
                <w:vertAlign w:val="subscript"/>
              </w:rPr>
              <w:t>2</w:t>
            </w:r>
            <w:r w:rsidRPr="0098629B">
              <w:rPr>
                <w:rFonts w:ascii="Times New Roman" w:hAnsi="Times New Roman"/>
                <w:b/>
                <w:bCs/>
                <w:sz w:val="14"/>
                <w:szCs w:val="16"/>
                <w:vertAlign w:val="subscript"/>
              </w:rPr>
              <w:t xml:space="preserve"> </w:t>
            </w:r>
            <w:r w:rsidRPr="0098629B">
              <w:rPr>
                <w:rFonts w:ascii="Times New Roman" w:hAnsi="Times New Roman"/>
                <w:b/>
                <w:bCs/>
                <w:sz w:val="14"/>
                <w:szCs w:val="16"/>
                <w:vertAlign w:val="superscript"/>
              </w:rPr>
              <w:t>(3)</w:t>
            </w:r>
            <w:bookmarkEnd w:id="304"/>
          </w:p>
        </w:tc>
        <w:tc>
          <w:tcPr>
            <w:tcW w:w="914" w:type="dxa"/>
            <w:tcBorders>
              <w:top w:val="nil"/>
              <w:left w:val="nil"/>
              <w:bottom w:val="single" w:sz="4" w:space="0" w:color="auto"/>
              <w:right w:val="single" w:sz="4" w:space="0" w:color="auto"/>
            </w:tcBorders>
            <w:shd w:val="clear" w:color="000000" w:fill="CCFFFF"/>
            <w:noWrap/>
            <w:vAlign w:val="bottom"/>
            <w:hideMark/>
          </w:tcPr>
          <w:p w14:paraId="581A1A62"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NO,IE,NA</w:t>
            </w:r>
          </w:p>
        </w:tc>
        <w:tc>
          <w:tcPr>
            <w:tcW w:w="820" w:type="dxa"/>
            <w:tcBorders>
              <w:top w:val="nil"/>
              <w:left w:val="nil"/>
              <w:bottom w:val="single" w:sz="4" w:space="0" w:color="auto"/>
              <w:right w:val="single" w:sz="4" w:space="0" w:color="auto"/>
            </w:tcBorders>
            <w:shd w:val="clear" w:color="000000" w:fill="969696"/>
            <w:noWrap/>
            <w:vAlign w:val="bottom"/>
            <w:hideMark/>
          </w:tcPr>
          <w:p w14:paraId="7C730AA6"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46C757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FE35D7A"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085E5D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BCF3EB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8A716D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D239D28"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c>
          <w:tcPr>
            <w:tcW w:w="976" w:type="dxa"/>
            <w:gridSpan w:val="2"/>
            <w:tcBorders>
              <w:top w:val="nil"/>
              <w:left w:val="nil"/>
              <w:bottom w:val="single" w:sz="4" w:space="0" w:color="auto"/>
              <w:right w:val="single" w:sz="4" w:space="0" w:color="auto"/>
            </w:tcBorders>
            <w:shd w:val="clear" w:color="000000" w:fill="969696"/>
            <w:noWrap/>
            <w:vAlign w:val="bottom"/>
            <w:hideMark/>
          </w:tcPr>
          <w:p w14:paraId="2A50CEB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 </w:t>
            </w:r>
          </w:p>
        </w:tc>
      </w:tr>
      <w:tr w:rsidR="00C430E9" w:rsidRPr="0098629B" w14:paraId="07F80B61"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41CA4B1" w14:textId="637AADB3" w:rsidR="00C430E9" w:rsidRPr="0098629B" w:rsidRDefault="00C430E9" w:rsidP="00C430E9">
            <w:pPr>
              <w:jc w:val="right"/>
              <w:rPr>
                <w:rFonts w:ascii="Times New Roman" w:hAnsi="Times New Roman"/>
                <w:b/>
                <w:bCs/>
                <w:sz w:val="14"/>
                <w:szCs w:val="16"/>
                <w:lang w:val="en-GB"/>
              </w:rPr>
            </w:pPr>
            <w:bookmarkStart w:id="305" w:name="RANGE!A66:J69"/>
            <w:r w:rsidRPr="0098629B">
              <w:rPr>
                <w:rFonts w:ascii="Times New Roman" w:hAnsi="Times New Roman"/>
                <w:b/>
                <w:bCs/>
                <w:sz w:val="14"/>
                <w:szCs w:val="16"/>
                <w:lang w:val="en-GB"/>
              </w:rPr>
              <w:t xml:space="preserve">Total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b/>
                <w:bCs/>
                <w:sz w:val="14"/>
                <w:szCs w:val="16"/>
                <w:lang w:val="en-GB"/>
              </w:rPr>
              <w:t xml:space="preserve"> equivalent emissions without land use, land-use change and forestry</w:t>
            </w:r>
            <w:bookmarkEnd w:id="305"/>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59E6D7F7"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399412,67</w:t>
            </w:r>
          </w:p>
        </w:tc>
      </w:tr>
      <w:tr w:rsidR="00C430E9" w:rsidRPr="0098629B" w14:paraId="2C5FC959"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1D94A40" w14:textId="5220DA39" w:rsidR="00C430E9" w:rsidRPr="0098629B" w:rsidRDefault="00C430E9" w:rsidP="00C430E9">
            <w:pPr>
              <w:jc w:val="right"/>
              <w:rPr>
                <w:rFonts w:ascii="Times New Roman" w:hAnsi="Times New Roman"/>
                <w:b/>
                <w:bCs/>
                <w:sz w:val="14"/>
                <w:szCs w:val="16"/>
                <w:lang w:val="en-GB"/>
              </w:rPr>
            </w:pPr>
            <w:r w:rsidRPr="0098629B">
              <w:rPr>
                <w:rFonts w:ascii="Times New Roman" w:hAnsi="Times New Roman"/>
                <w:b/>
                <w:bCs/>
                <w:sz w:val="14"/>
                <w:szCs w:val="16"/>
                <w:lang w:val="en-GB"/>
              </w:rPr>
              <w:t xml:space="preserve">Total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b/>
                <w:bCs/>
                <w:sz w:val="14"/>
                <w:szCs w:val="16"/>
                <w:lang w:val="en-GB"/>
              </w:rPr>
              <w:t xml:space="preserve"> equivalent emissions with land use, land-use change and forestry</w:t>
            </w:r>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18025411"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384791,52</w:t>
            </w:r>
          </w:p>
        </w:tc>
      </w:tr>
      <w:tr w:rsidR="00C430E9" w:rsidRPr="0098629B" w14:paraId="1633555A"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vAlign w:val="center"/>
            <w:hideMark/>
          </w:tcPr>
          <w:p w14:paraId="71BC2582" w14:textId="1542CD26" w:rsidR="00C430E9" w:rsidRPr="0098629B" w:rsidRDefault="00C430E9" w:rsidP="00C430E9">
            <w:pPr>
              <w:jc w:val="right"/>
              <w:rPr>
                <w:rFonts w:ascii="Times New Roman" w:hAnsi="Times New Roman"/>
                <w:b/>
                <w:bCs/>
                <w:sz w:val="14"/>
                <w:szCs w:val="16"/>
                <w:lang w:val="en-GB"/>
              </w:rPr>
            </w:pPr>
            <w:r w:rsidRPr="0098629B">
              <w:rPr>
                <w:rFonts w:ascii="Times New Roman" w:hAnsi="Times New Roman"/>
                <w:b/>
                <w:bCs/>
                <w:sz w:val="14"/>
                <w:szCs w:val="16"/>
                <w:lang w:val="en-GB"/>
              </w:rPr>
              <w:t xml:space="preserve">Total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b/>
                <w:bCs/>
                <w:sz w:val="14"/>
                <w:szCs w:val="16"/>
                <w:lang w:val="en-GB"/>
              </w:rPr>
              <w:t xml:space="preserve"> equivalent emissions, including indirect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b/>
                <w:bCs/>
                <w:sz w:val="14"/>
                <w:szCs w:val="16"/>
                <w:lang w:val="en-GB"/>
              </w:rPr>
              <w:t>,  without land use, land-use change and forestry</w:t>
            </w:r>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59F7E5AF"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NA</w:t>
            </w:r>
          </w:p>
        </w:tc>
      </w:tr>
      <w:tr w:rsidR="00C430E9" w:rsidRPr="0098629B" w14:paraId="175D2F80"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4A5E0AF4" w14:textId="2C2C5D9B" w:rsidR="00C430E9" w:rsidRPr="0098629B" w:rsidRDefault="00C430E9" w:rsidP="00C430E9">
            <w:pPr>
              <w:jc w:val="right"/>
              <w:rPr>
                <w:rFonts w:ascii="Times New Roman" w:hAnsi="Times New Roman"/>
                <w:b/>
                <w:bCs/>
                <w:sz w:val="14"/>
                <w:szCs w:val="16"/>
                <w:lang w:val="en-GB"/>
              </w:rPr>
            </w:pPr>
            <w:r w:rsidRPr="0098629B">
              <w:rPr>
                <w:rFonts w:ascii="Times New Roman" w:hAnsi="Times New Roman"/>
                <w:b/>
                <w:bCs/>
                <w:sz w:val="14"/>
                <w:szCs w:val="16"/>
                <w:lang w:val="en-GB"/>
              </w:rPr>
              <w:t xml:space="preserve">Total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b/>
                <w:bCs/>
                <w:sz w:val="14"/>
                <w:szCs w:val="16"/>
                <w:lang w:val="en-GB"/>
              </w:rPr>
              <w:t xml:space="preserve"> equivalent emissions, including indirect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b/>
                <w:bCs/>
                <w:sz w:val="14"/>
                <w:szCs w:val="16"/>
                <w:lang w:val="en-GB"/>
              </w:rPr>
              <w:t>,  with land use, land-use change and forestry</w:t>
            </w:r>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14D70165" w14:textId="77777777" w:rsidR="00C430E9" w:rsidRPr="0098629B" w:rsidRDefault="00C430E9" w:rsidP="00C430E9">
            <w:pPr>
              <w:jc w:val="right"/>
              <w:rPr>
                <w:rFonts w:ascii="Times New Roman" w:hAnsi="Times New Roman"/>
                <w:sz w:val="14"/>
                <w:szCs w:val="16"/>
              </w:rPr>
            </w:pPr>
            <w:r w:rsidRPr="0098629B">
              <w:rPr>
                <w:rFonts w:ascii="Times New Roman" w:hAnsi="Times New Roman"/>
                <w:sz w:val="14"/>
                <w:szCs w:val="16"/>
              </w:rPr>
              <w:t>NA</w:t>
            </w:r>
          </w:p>
        </w:tc>
      </w:tr>
      <w:tr w:rsidR="00C430E9" w:rsidRPr="00757301" w14:paraId="4D6CD457" w14:textId="77777777" w:rsidTr="0046409B">
        <w:trPr>
          <w:trHeight w:val="68"/>
          <w:jc w:val="center"/>
        </w:trPr>
        <w:tc>
          <w:tcPr>
            <w:tcW w:w="11108" w:type="dxa"/>
            <w:gridSpan w:val="12"/>
            <w:tcBorders>
              <w:top w:val="nil"/>
              <w:left w:val="nil"/>
              <w:bottom w:val="nil"/>
              <w:right w:val="nil"/>
            </w:tcBorders>
            <w:shd w:val="clear" w:color="000000" w:fill="FFFFFF"/>
            <w:hideMark/>
          </w:tcPr>
          <w:p w14:paraId="7D51FD3C" w14:textId="253C25A0"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vertAlign w:val="superscript"/>
                <w:lang w:val="en-GB"/>
              </w:rPr>
              <w:t xml:space="preserve">(1)     </w:t>
            </w:r>
            <w:r w:rsidRPr="0098629B">
              <w:rPr>
                <w:rFonts w:ascii="Times New Roman" w:hAnsi="Times New Roman"/>
                <w:sz w:val="14"/>
                <w:szCs w:val="16"/>
                <w:lang w:val="en-GB"/>
              </w:rPr>
              <w:t>For carbon dioxide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sz w:val="14"/>
                <w:szCs w:val="16"/>
                <w:lang w:val="en-GB"/>
              </w:rPr>
              <w:t xml:space="preserve">) from land use, land-use change and forestry the net emissions/removals are to be reported.  For the purposes of reporting, the signs for removals are always negative (-) and for emissions positive (+). </w:t>
            </w:r>
          </w:p>
        </w:tc>
      </w:tr>
      <w:tr w:rsidR="00C430E9" w:rsidRPr="00757301" w14:paraId="0FD1905E" w14:textId="77777777" w:rsidTr="00D8302C">
        <w:trPr>
          <w:gridAfter w:val="1"/>
          <w:wAfter w:w="152" w:type="dxa"/>
          <w:trHeight w:val="68"/>
          <w:jc w:val="center"/>
        </w:trPr>
        <w:tc>
          <w:tcPr>
            <w:tcW w:w="3397" w:type="dxa"/>
            <w:tcBorders>
              <w:top w:val="nil"/>
              <w:left w:val="nil"/>
              <w:bottom w:val="nil"/>
              <w:right w:val="nil"/>
            </w:tcBorders>
            <w:shd w:val="clear" w:color="000000" w:fill="FFFFFF"/>
            <w:noWrap/>
            <w:hideMark/>
          </w:tcPr>
          <w:p w14:paraId="631AFD06"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vertAlign w:val="superscript"/>
                <w:lang w:val="en-GB"/>
              </w:rPr>
              <w:t xml:space="preserve">(2)     </w:t>
            </w:r>
            <w:r w:rsidRPr="0098629B">
              <w:rPr>
                <w:rFonts w:ascii="Times New Roman" w:hAnsi="Times New Roman"/>
                <w:sz w:val="14"/>
                <w:szCs w:val="16"/>
                <w:lang w:val="en-GB"/>
              </w:rPr>
              <w:t>See footnote 7 to table Summary 1.A.</w:t>
            </w:r>
          </w:p>
        </w:tc>
        <w:tc>
          <w:tcPr>
            <w:tcW w:w="914" w:type="dxa"/>
            <w:tcBorders>
              <w:top w:val="nil"/>
              <w:left w:val="nil"/>
              <w:bottom w:val="nil"/>
              <w:right w:val="nil"/>
            </w:tcBorders>
            <w:shd w:val="clear" w:color="000000" w:fill="FFFFFF"/>
            <w:noWrap/>
            <w:hideMark/>
          </w:tcPr>
          <w:p w14:paraId="1D69ACD8"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nil"/>
              <w:right w:val="nil"/>
            </w:tcBorders>
            <w:shd w:val="clear" w:color="000000" w:fill="FFFFFF"/>
            <w:noWrap/>
            <w:hideMark/>
          </w:tcPr>
          <w:p w14:paraId="7A188FE4"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nil"/>
              <w:right w:val="nil"/>
            </w:tcBorders>
            <w:shd w:val="clear" w:color="000000" w:fill="FFFFFF"/>
            <w:noWrap/>
            <w:hideMark/>
          </w:tcPr>
          <w:p w14:paraId="1B550B3A"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820" w:type="dxa"/>
            <w:tcBorders>
              <w:top w:val="nil"/>
              <w:left w:val="nil"/>
              <w:bottom w:val="nil"/>
              <w:right w:val="nil"/>
            </w:tcBorders>
            <w:shd w:val="clear" w:color="000000" w:fill="FFFFFF"/>
            <w:noWrap/>
            <w:hideMark/>
          </w:tcPr>
          <w:p w14:paraId="289C6B0A"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723" w:type="dxa"/>
            <w:tcBorders>
              <w:top w:val="nil"/>
              <w:left w:val="nil"/>
              <w:bottom w:val="nil"/>
              <w:right w:val="nil"/>
            </w:tcBorders>
            <w:shd w:val="clear" w:color="000000" w:fill="FFFFFF"/>
            <w:noWrap/>
            <w:hideMark/>
          </w:tcPr>
          <w:p w14:paraId="13C3369A"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723" w:type="dxa"/>
            <w:tcBorders>
              <w:top w:val="nil"/>
              <w:left w:val="nil"/>
              <w:bottom w:val="nil"/>
              <w:right w:val="nil"/>
            </w:tcBorders>
            <w:shd w:val="clear" w:color="000000" w:fill="FFFFFF"/>
            <w:noWrap/>
            <w:hideMark/>
          </w:tcPr>
          <w:p w14:paraId="43126EDD"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1276" w:type="dxa"/>
            <w:tcBorders>
              <w:top w:val="nil"/>
              <w:left w:val="nil"/>
              <w:bottom w:val="nil"/>
              <w:right w:val="nil"/>
            </w:tcBorders>
            <w:shd w:val="clear" w:color="000000" w:fill="FFFFFF"/>
            <w:noWrap/>
            <w:hideMark/>
          </w:tcPr>
          <w:p w14:paraId="3533E19D"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487" w:type="dxa"/>
            <w:tcBorders>
              <w:top w:val="nil"/>
              <w:left w:val="nil"/>
              <w:bottom w:val="nil"/>
              <w:right w:val="nil"/>
            </w:tcBorders>
            <w:shd w:val="clear" w:color="000000" w:fill="FFFFFF"/>
            <w:noWrap/>
            <w:hideMark/>
          </w:tcPr>
          <w:p w14:paraId="226308E5"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c>
          <w:tcPr>
            <w:tcW w:w="976" w:type="dxa"/>
            <w:gridSpan w:val="2"/>
            <w:tcBorders>
              <w:top w:val="nil"/>
              <w:left w:val="nil"/>
              <w:bottom w:val="nil"/>
              <w:right w:val="nil"/>
            </w:tcBorders>
            <w:shd w:val="clear" w:color="000000" w:fill="FFFFFF"/>
            <w:noWrap/>
            <w:hideMark/>
          </w:tcPr>
          <w:p w14:paraId="4C591042" w14:textId="77777777"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lang w:val="en-GB"/>
              </w:rPr>
              <w:t> </w:t>
            </w:r>
          </w:p>
        </w:tc>
      </w:tr>
      <w:tr w:rsidR="00C430E9" w:rsidRPr="00757301" w14:paraId="00594342" w14:textId="77777777" w:rsidTr="0046409B">
        <w:trPr>
          <w:trHeight w:val="68"/>
          <w:jc w:val="center"/>
        </w:trPr>
        <w:tc>
          <w:tcPr>
            <w:tcW w:w="11108" w:type="dxa"/>
            <w:gridSpan w:val="12"/>
            <w:tcBorders>
              <w:top w:val="nil"/>
              <w:left w:val="nil"/>
              <w:bottom w:val="nil"/>
              <w:right w:val="nil"/>
            </w:tcBorders>
            <w:shd w:val="clear" w:color="000000" w:fill="FFFFFF"/>
            <w:hideMark/>
          </w:tcPr>
          <w:p w14:paraId="759C1833" w14:textId="7E737339" w:rsidR="00C430E9" w:rsidRPr="0098629B" w:rsidRDefault="00C430E9" w:rsidP="00C430E9">
            <w:pPr>
              <w:jc w:val="left"/>
              <w:rPr>
                <w:rFonts w:ascii="Times New Roman" w:hAnsi="Times New Roman"/>
                <w:sz w:val="14"/>
                <w:szCs w:val="16"/>
                <w:lang w:val="en-GB"/>
              </w:rPr>
            </w:pPr>
            <w:r w:rsidRPr="0098629B">
              <w:rPr>
                <w:rFonts w:ascii="Times New Roman" w:hAnsi="Times New Roman"/>
                <w:sz w:val="14"/>
                <w:szCs w:val="16"/>
                <w:vertAlign w:val="superscript"/>
                <w:lang w:val="en-GB"/>
              </w:rPr>
              <w:t xml:space="preserve">(3)    </w:t>
            </w:r>
            <w:r w:rsidRPr="0098629B">
              <w:rPr>
                <w:rFonts w:ascii="Times New Roman" w:hAnsi="Times New Roman"/>
                <w:sz w:val="14"/>
                <w:szCs w:val="16"/>
                <w:lang w:val="en-GB"/>
              </w:rPr>
              <w:t xml:space="preserve">In accordance with the UNFCCC Annex I inventory reporting guidelines, for Parties that decide to report indirect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sz w:val="14"/>
                <w:szCs w:val="16"/>
                <w:vertAlign w:val="subscript"/>
                <w:lang w:val="en-GB"/>
              </w:rPr>
              <w:t>,</w:t>
            </w:r>
            <w:r w:rsidRPr="0098629B">
              <w:rPr>
                <w:rFonts w:ascii="Times New Roman" w:hAnsi="Times New Roman"/>
                <w:sz w:val="14"/>
                <w:szCs w:val="16"/>
                <w:lang w:val="en-GB"/>
              </w:rPr>
              <w:t xml:space="preserve"> the national totals shall be provided with and  without indirect </w:t>
            </w:r>
            <w:r w:rsidR="00811B0F" w:rsidRPr="0098629B">
              <w:rPr>
                <w:sz w:val="14"/>
                <w:szCs w:val="16"/>
                <w:lang w:val="en-GB"/>
              </w:rPr>
              <w:t>CO</w:t>
            </w:r>
            <w:r w:rsidR="00811B0F" w:rsidRPr="0098629B">
              <w:rPr>
                <w:sz w:val="14"/>
                <w:szCs w:val="16"/>
                <w:vertAlign w:val="subscript"/>
                <w:lang w:val="en-GB"/>
              </w:rPr>
              <w:t>2</w:t>
            </w:r>
            <w:r w:rsidRPr="0098629B">
              <w:rPr>
                <w:rFonts w:ascii="Times New Roman" w:hAnsi="Times New Roman"/>
                <w:sz w:val="14"/>
                <w:szCs w:val="16"/>
                <w:lang w:val="en-GB"/>
              </w:rPr>
              <w:t>.</w:t>
            </w:r>
          </w:p>
        </w:tc>
      </w:tr>
    </w:tbl>
    <w:p w14:paraId="6C27DC1B" w14:textId="331A3F7F" w:rsidR="0046409B" w:rsidRPr="0098629B" w:rsidRDefault="00C430E9" w:rsidP="00C430E9">
      <w:pPr>
        <w:pStyle w:val="Caption"/>
      </w:pPr>
      <w:bookmarkStart w:id="306" w:name="_Toc123916668"/>
      <w:r w:rsidRPr="0098629B">
        <w:t xml:space="preserve">Tableau </w:t>
      </w:r>
      <w:fldSimple w:instr=" SEQ Tableau \* ARABIC ">
        <w:r w:rsidR="00677B3C">
          <w:rPr>
            <w:noProof/>
          </w:rPr>
          <w:t>33</w:t>
        </w:r>
      </w:fldSimple>
      <w:r w:rsidRPr="0098629B">
        <w:t> : Emissions par secteur en 2020 pour le périmètre Convention (Table Summary 2)</w:t>
      </w:r>
      <w:bookmarkEnd w:id="306"/>
    </w:p>
    <w:p w14:paraId="7AA36DA9" w14:textId="54897C1D" w:rsidR="007C589E" w:rsidRPr="0098629B" w:rsidRDefault="00C430E9" w:rsidP="00C430E9">
      <w:pPr>
        <w:pStyle w:val="Caption"/>
      </w:pPr>
      <w:r w:rsidRPr="0098629B">
        <w:t>Source : inventaire Citepa/MTE, soumission CCNUCC avril 2022, au périmètre Convention</w:t>
      </w:r>
    </w:p>
    <w:p w14:paraId="396B39BB" w14:textId="77777777" w:rsidR="007C589E" w:rsidRPr="0098629B" w:rsidRDefault="007C589E">
      <w:pPr>
        <w:spacing w:line="240" w:lineRule="atLeast"/>
        <w:jc w:val="left"/>
        <w:rPr>
          <w:i/>
          <w:iCs/>
          <w:color w:val="1F497D" w:themeColor="text2"/>
          <w:sz w:val="18"/>
          <w:szCs w:val="18"/>
        </w:rPr>
      </w:pPr>
      <w:r w:rsidRPr="0098629B">
        <w:br w:type="page"/>
      </w:r>
    </w:p>
    <w:p w14:paraId="6296F6DE" w14:textId="77777777" w:rsidR="00C430E9" w:rsidRPr="0098629B" w:rsidRDefault="00C430E9" w:rsidP="00C430E9">
      <w:pPr>
        <w:pStyle w:val="Caption"/>
      </w:pPr>
    </w:p>
    <w:tbl>
      <w:tblPr>
        <w:tblW w:w="11049" w:type="dxa"/>
        <w:jc w:val="center"/>
        <w:tblCellMar>
          <w:left w:w="70" w:type="dxa"/>
          <w:right w:w="70" w:type="dxa"/>
        </w:tblCellMar>
        <w:tblLook w:val="04A0" w:firstRow="1" w:lastRow="0" w:firstColumn="1" w:lastColumn="0" w:noHBand="0" w:noVBand="1"/>
      </w:tblPr>
      <w:tblGrid>
        <w:gridCol w:w="3397"/>
        <w:gridCol w:w="914"/>
        <w:gridCol w:w="820"/>
        <w:gridCol w:w="820"/>
        <w:gridCol w:w="820"/>
        <w:gridCol w:w="723"/>
        <w:gridCol w:w="723"/>
        <w:gridCol w:w="1276"/>
        <w:gridCol w:w="580"/>
        <w:gridCol w:w="976"/>
      </w:tblGrid>
      <w:tr w:rsidR="00D8302C" w:rsidRPr="0098629B" w14:paraId="4D984F5A" w14:textId="77777777" w:rsidTr="00D8302C">
        <w:trPr>
          <w:trHeight w:val="429"/>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12419F33" w14:textId="77777777" w:rsidR="00D8302C" w:rsidRPr="0098629B" w:rsidRDefault="00D8302C" w:rsidP="00891B49">
            <w:pPr>
              <w:jc w:val="left"/>
              <w:rPr>
                <w:rFonts w:ascii="Times New Roman" w:hAnsi="Times New Roman"/>
                <w:b/>
                <w:bCs/>
                <w:sz w:val="14"/>
                <w:szCs w:val="18"/>
                <w:lang w:val="en-GB"/>
              </w:rPr>
            </w:pPr>
            <w:r w:rsidRPr="0098629B">
              <w:rPr>
                <w:rFonts w:ascii="Times New Roman" w:hAnsi="Times New Roman"/>
                <w:b/>
                <w:bCs/>
                <w:sz w:val="14"/>
                <w:szCs w:val="18"/>
                <w:lang w:val="en-GB"/>
              </w:rPr>
              <w:t>GREENHOUSE GAS SOURCE AND SINK CATEGORIES</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7A8526D7" w14:textId="74BAEF86" w:rsidR="00D8302C" w:rsidRPr="0098629B" w:rsidRDefault="00811B0F" w:rsidP="00891B49">
            <w:pPr>
              <w:jc w:val="center"/>
              <w:rPr>
                <w:rFonts w:ascii="Times New Roman" w:hAnsi="Times New Roman"/>
                <w:b/>
                <w:bCs/>
                <w:sz w:val="14"/>
                <w:szCs w:val="18"/>
              </w:rPr>
            </w:pPr>
            <w:r w:rsidRPr="0098629B">
              <w:t>CO</w:t>
            </w:r>
            <w:r w:rsidRPr="0098629B">
              <w:rPr>
                <w:vertAlign w:val="subscript"/>
              </w:rPr>
              <w:t>2</w:t>
            </w:r>
            <w:r w:rsidR="00D8302C" w:rsidRPr="0098629B">
              <w:rPr>
                <w:rFonts w:ascii="Times New Roman" w:hAnsi="Times New Roman"/>
                <w:b/>
                <w:bCs/>
                <w:sz w:val="14"/>
                <w:szCs w:val="18"/>
                <w:vertAlign w:val="superscript"/>
              </w:rPr>
              <w:t>(1)</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612FF29A" w14:textId="2024C3DB" w:rsidR="00D8302C" w:rsidRPr="0098629B" w:rsidRDefault="00891B49" w:rsidP="00891B49">
            <w:pPr>
              <w:jc w:val="center"/>
              <w:rPr>
                <w:rFonts w:ascii="Times New Roman" w:hAnsi="Times New Roman"/>
                <w:b/>
                <w:bCs/>
                <w:sz w:val="14"/>
                <w:szCs w:val="18"/>
              </w:rPr>
            </w:pPr>
            <w:r w:rsidRPr="0098629B">
              <w:t>CH</w:t>
            </w:r>
            <w:r w:rsidRPr="0098629B">
              <w:rPr>
                <w:vertAlign w:val="subscript"/>
              </w:rPr>
              <w:t>4</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077AD863" w14:textId="3D2FAD13" w:rsidR="00D8302C" w:rsidRPr="0098629B" w:rsidRDefault="00891B49" w:rsidP="00891B49">
            <w:pPr>
              <w:jc w:val="center"/>
              <w:rPr>
                <w:rFonts w:ascii="Times New Roman" w:hAnsi="Times New Roman"/>
                <w:b/>
                <w:bCs/>
                <w:sz w:val="14"/>
                <w:szCs w:val="18"/>
              </w:rPr>
            </w:pPr>
            <w:r w:rsidRPr="0098629B">
              <w:t>N</w:t>
            </w:r>
            <w:r w:rsidRPr="0098629B">
              <w:rPr>
                <w:vertAlign w:val="subscript"/>
              </w:rPr>
              <w:t>2</w:t>
            </w:r>
            <w:r w:rsidRPr="0098629B">
              <w:t>O</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0ECC0AA9" w14:textId="77777777" w:rsidR="00D8302C" w:rsidRPr="0098629B" w:rsidRDefault="00D8302C" w:rsidP="00891B49">
            <w:pPr>
              <w:jc w:val="center"/>
              <w:rPr>
                <w:rFonts w:ascii="Times New Roman" w:hAnsi="Times New Roman"/>
                <w:b/>
                <w:bCs/>
                <w:sz w:val="14"/>
                <w:szCs w:val="18"/>
              </w:rPr>
            </w:pPr>
            <w:r w:rsidRPr="0098629B">
              <w:rPr>
                <w:rFonts w:ascii="Times New Roman" w:hAnsi="Times New Roman"/>
                <w:b/>
                <w:bCs/>
                <w:sz w:val="14"/>
                <w:szCs w:val="18"/>
              </w:rPr>
              <w:t xml:space="preserve">HFCs </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44C1ADD1" w14:textId="77777777" w:rsidR="00D8302C" w:rsidRPr="0098629B" w:rsidRDefault="00D8302C" w:rsidP="00891B49">
            <w:pPr>
              <w:jc w:val="center"/>
              <w:rPr>
                <w:rFonts w:ascii="Times New Roman" w:hAnsi="Times New Roman"/>
                <w:b/>
                <w:bCs/>
                <w:sz w:val="14"/>
                <w:szCs w:val="18"/>
              </w:rPr>
            </w:pPr>
            <w:r w:rsidRPr="0098629B">
              <w:rPr>
                <w:rFonts w:ascii="Times New Roman" w:hAnsi="Times New Roman"/>
                <w:b/>
                <w:bCs/>
                <w:sz w:val="14"/>
                <w:szCs w:val="18"/>
              </w:rPr>
              <w:t>PFCs</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5535FC26" w14:textId="74A35181" w:rsidR="00D8302C" w:rsidRPr="0098629B" w:rsidRDefault="002F2FFD" w:rsidP="00891B49">
            <w:pPr>
              <w:jc w:val="center"/>
              <w:rPr>
                <w:rFonts w:ascii="Times New Roman" w:hAnsi="Times New Roman"/>
                <w:b/>
                <w:bCs/>
                <w:sz w:val="14"/>
                <w:szCs w:val="18"/>
              </w:rPr>
            </w:pPr>
            <w:r w:rsidRPr="0098629B">
              <w:t>SF</w:t>
            </w:r>
            <w:r w:rsidRPr="0098629B">
              <w:rPr>
                <w:vertAlign w:val="subscript"/>
              </w:rPr>
              <w:t>6</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14:paraId="131713C0" w14:textId="77777777" w:rsidR="00D8302C" w:rsidRPr="0098629B" w:rsidRDefault="00D8302C" w:rsidP="00891B49">
            <w:pPr>
              <w:jc w:val="center"/>
              <w:rPr>
                <w:rFonts w:ascii="Times New Roman" w:hAnsi="Times New Roman"/>
                <w:b/>
                <w:bCs/>
                <w:sz w:val="14"/>
                <w:szCs w:val="18"/>
                <w:lang w:val="en-GB"/>
              </w:rPr>
            </w:pPr>
            <w:r w:rsidRPr="0098629B">
              <w:rPr>
                <w:rFonts w:ascii="Times New Roman" w:hAnsi="Times New Roman"/>
                <w:b/>
                <w:bCs/>
                <w:sz w:val="14"/>
                <w:szCs w:val="18"/>
                <w:lang w:val="en-GB"/>
              </w:rPr>
              <w:t>Unspecified mix of HFCs and PFCs</w:t>
            </w:r>
          </w:p>
        </w:tc>
        <w:tc>
          <w:tcPr>
            <w:tcW w:w="580" w:type="dxa"/>
            <w:tcBorders>
              <w:top w:val="single" w:sz="4" w:space="0" w:color="auto"/>
              <w:left w:val="nil"/>
              <w:bottom w:val="single" w:sz="4" w:space="0" w:color="auto"/>
              <w:right w:val="single" w:sz="4" w:space="0" w:color="auto"/>
            </w:tcBorders>
            <w:shd w:val="clear" w:color="000000" w:fill="CCFFFF"/>
            <w:noWrap/>
            <w:vAlign w:val="center"/>
            <w:hideMark/>
          </w:tcPr>
          <w:p w14:paraId="775D6D56" w14:textId="0A1B2CC2" w:rsidR="00D8302C" w:rsidRPr="0098629B" w:rsidRDefault="002F2FFD" w:rsidP="00891B49">
            <w:pPr>
              <w:jc w:val="center"/>
              <w:rPr>
                <w:rFonts w:ascii="Times New Roman" w:hAnsi="Times New Roman"/>
                <w:b/>
                <w:bCs/>
                <w:sz w:val="14"/>
                <w:szCs w:val="18"/>
              </w:rPr>
            </w:pPr>
            <w:r w:rsidRPr="0098629B">
              <w:t>NF</w:t>
            </w:r>
            <w:r w:rsidRPr="0098629B">
              <w:rPr>
                <w:vertAlign w:val="subscript"/>
              </w:rPr>
              <w:t>3</w:t>
            </w:r>
          </w:p>
        </w:tc>
        <w:tc>
          <w:tcPr>
            <w:tcW w:w="976" w:type="dxa"/>
            <w:tcBorders>
              <w:top w:val="single" w:sz="4" w:space="0" w:color="auto"/>
              <w:left w:val="nil"/>
              <w:bottom w:val="single" w:sz="4" w:space="0" w:color="auto"/>
              <w:right w:val="single" w:sz="4" w:space="0" w:color="auto"/>
            </w:tcBorders>
            <w:shd w:val="clear" w:color="000000" w:fill="CCFFFF"/>
            <w:noWrap/>
            <w:vAlign w:val="center"/>
            <w:hideMark/>
          </w:tcPr>
          <w:p w14:paraId="56386C1C" w14:textId="77777777" w:rsidR="00D8302C" w:rsidRPr="0098629B" w:rsidRDefault="00D8302C" w:rsidP="00891B49">
            <w:pPr>
              <w:jc w:val="center"/>
              <w:rPr>
                <w:rFonts w:ascii="Times New Roman" w:hAnsi="Times New Roman"/>
                <w:b/>
                <w:bCs/>
                <w:sz w:val="14"/>
                <w:szCs w:val="18"/>
              </w:rPr>
            </w:pPr>
            <w:r w:rsidRPr="0098629B">
              <w:rPr>
                <w:rFonts w:ascii="Times New Roman" w:hAnsi="Times New Roman"/>
                <w:b/>
                <w:bCs/>
                <w:sz w:val="14"/>
                <w:szCs w:val="18"/>
              </w:rPr>
              <w:t xml:space="preserve">Total </w:t>
            </w:r>
          </w:p>
        </w:tc>
      </w:tr>
      <w:tr w:rsidR="00D8302C" w:rsidRPr="0098629B" w14:paraId="336D70E6" w14:textId="77777777" w:rsidTr="00D8302C">
        <w:trPr>
          <w:trHeight w:val="68"/>
          <w:jc w:val="center"/>
        </w:trPr>
        <w:tc>
          <w:tcPr>
            <w:tcW w:w="3397" w:type="dxa"/>
            <w:tcBorders>
              <w:top w:val="nil"/>
              <w:left w:val="single" w:sz="4" w:space="0" w:color="auto"/>
              <w:bottom w:val="nil"/>
              <w:right w:val="single" w:sz="4" w:space="0" w:color="auto"/>
            </w:tcBorders>
            <w:shd w:val="clear" w:color="000000" w:fill="CCFFFF"/>
            <w:noWrap/>
            <w:vAlign w:val="center"/>
            <w:hideMark/>
          </w:tcPr>
          <w:p w14:paraId="67292016" w14:textId="56869BC0" w:rsidR="00D8302C" w:rsidRPr="0098629B" w:rsidRDefault="00D8302C" w:rsidP="00D8302C">
            <w:pPr>
              <w:jc w:val="left"/>
              <w:rPr>
                <w:rFonts w:ascii="Times New Roman" w:hAnsi="Times New Roman"/>
                <w:b/>
                <w:bCs/>
                <w:sz w:val="14"/>
                <w:szCs w:val="18"/>
              </w:rPr>
            </w:pPr>
            <w:r w:rsidRPr="0098629B">
              <w:rPr>
                <w:rFonts w:ascii="Times New Roman" w:hAnsi="Times New Roman"/>
                <w:b/>
                <w:bCs/>
                <w:sz w:val="14"/>
                <w:szCs w:val="18"/>
              </w:rPr>
              <w:t>Total (net emissions)</w:t>
            </w:r>
            <w:r w:rsidRPr="0098629B">
              <w:rPr>
                <w:rFonts w:ascii="Times New Roman" w:hAnsi="Times New Roman"/>
                <w:b/>
                <w:bCs/>
                <w:sz w:val="14"/>
                <w:szCs w:val="18"/>
                <w:vertAlign w:val="superscript"/>
              </w:rPr>
              <w:t>(1)</w:t>
            </w:r>
            <w:r w:rsidRPr="0098629B">
              <w:rPr>
                <w:rFonts w:ascii="Times New Roman" w:hAnsi="Times New Roman"/>
                <w:b/>
                <w:bCs/>
                <w:sz w:val="14"/>
                <w:szCs w:val="18"/>
                <w:vertAlign w:val="subscript"/>
              </w:rPr>
              <w:t xml:space="preserve"> </w:t>
            </w:r>
            <w:r w:rsidRPr="0098629B">
              <w:rPr>
                <w:rFonts w:ascii="Times New Roman" w:hAnsi="Times New Roman"/>
                <w:b/>
                <w:bCs/>
                <w:sz w:val="14"/>
                <w:szCs w:val="18"/>
              </w:rPr>
              <w:t>kt</w:t>
            </w:r>
            <w:r w:rsidR="00811B0F" w:rsidRPr="0098629B">
              <w:t>CO</w:t>
            </w:r>
            <w:r w:rsidR="00811B0F" w:rsidRPr="0098629B">
              <w:rPr>
                <w:vertAlign w:val="subscript"/>
              </w:rPr>
              <w:t>2</w:t>
            </w:r>
            <w:r w:rsidR="00891B49" w:rsidRPr="0098629B">
              <w:rPr>
                <w:vertAlign w:val="subscript"/>
              </w:rPr>
              <w:t>e</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2FC0D784" w14:textId="2752091E" w:rsidR="00D8302C" w:rsidRPr="0098629B" w:rsidRDefault="00D8302C" w:rsidP="00D8302C">
            <w:pPr>
              <w:jc w:val="right"/>
              <w:rPr>
                <w:rFonts w:ascii="Times New Roman" w:hAnsi="Times New Roman"/>
                <w:sz w:val="14"/>
                <w:szCs w:val="18"/>
              </w:rPr>
            </w:pPr>
            <w:r w:rsidRPr="0098629B">
              <w:rPr>
                <w:sz w:val="14"/>
                <w:szCs w:val="18"/>
              </w:rPr>
              <w:t>271428,23</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1418AF88" w14:textId="25EB5A02" w:rsidR="00D8302C" w:rsidRPr="0098629B" w:rsidRDefault="00D8302C" w:rsidP="00D8302C">
            <w:pPr>
              <w:jc w:val="right"/>
              <w:rPr>
                <w:rFonts w:ascii="Times New Roman" w:hAnsi="Times New Roman"/>
                <w:sz w:val="14"/>
                <w:szCs w:val="18"/>
              </w:rPr>
            </w:pPr>
            <w:r w:rsidRPr="0098629B">
              <w:rPr>
                <w:sz w:val="14"/>
                <w:szCs w:val="18"/>
              </w:rPr>
              <w:t>55747,40</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1212C050" w14:textId="0BF1F095" w:rsidR="00D8302C" w:rsidRPr="0098629B" w:rsidRDefault="00D8302C" w:rsidP="00D8302C">
            <w:pPr>
              <w:jc w:val="right"/>
              <w:rPr>
                <w:rFonts w:ascii="Times New Roman" w:hAnsi="Times New Roman"/>
                <w:sz w:val="14"/>
                <w:szCs w:val="18"/>
              </w:rPr>
            </w:pPr>
            <w:r w:rsidRPr="0098629B">
              <w:rPr>
                <w:sz w:val="14"/>
                <w:szCs w:val="18"/>
              </w:rPr>
              <w:t>39147,49</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7468709C" w14:textId="377A9916" w:rsidR="00D8302C" w:rsidRPr="0098629B" w:rsidRDefault="00D8302C" w:rsidP="00D8302C">
            <w:pPr>
              <w:jc w:val="right"/>
              <w:rPr>
                <w:rFonts w:ascii="Times New Roman" w:hAnsi="Times New Roman"/>
                <w:sz w:val="14"/>
                <w:szCs w:val="18"/>
              </w:rPr>
            </w:pPr>
            <w:r w:rsidRPr="0098629B">
              <w:rPr>
                <w:sz w:val="14"/>
                <w:szCs w:val="18"/>
              </w:rPr>
              <w:t>11735,32</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65B50FAC" w14:textId="0EE78D3E" w:rsidR="00D8302C" w:rsidRPr="0098629B" w:rsidRDefault="00D8302C" w:rsidP="00D8302C">
            <w:pPr>
              <w:jc w:val="right"/>
              <w:rPr>
                <w:rFonts w:ascii="Times New Roman" w:hAnsi="Times New Roman"/>
                <w:sz w:val="14"/>
                <w:szCs w:val="18"/>
              </w:rPr>
            </w:pPr>
            <w:r w:rsidRPr="0098629B">
              <w:rPr>
                <w:sz w:val="14"/>
                <w:szCs w:val="18"/>
              </w:rPr>
              <w:t>543,49</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6E273530" w14:textId="126DAC9A" w:rsidR="00D8302C" w:rsidRPr="0098629B" w:rsidRDefault="00D8302C" w:rsidP="00D8302C">
            <w:pPr>
              <w:jc w:val="right"/>
              <w:rPr>
                <w:rFonts w:ascii="Times New Roman" w:hAnsi="Times New Roman"/>
                <w:sz w:val="14"/>
                <w:szCs w:val="18"/>
              </w:rPr>
            </w:pPr>
            <w:r w:rsidRPr="0098629B">
              <w:rPr>
                <w:sz w:val="14"/>
                <w:szCs w:val="18"/>
              </w:rPr>
              <w:t>346,60</w:t>
            </w:r>
          </w:p>
        </w:tc>
        <w:tc>
          <w:tcPr>
            <w:tcW w:w="1276" w:type="dxa"/>
            <w:tcBorders>
              <w:top w:val="single" w:sz="4" w:space="0" w:color="auto"/>
              <w:left w:val="nil"/>
              <w:bottom w:val="single" w:sz="4" w:space="0" w:color="auto"/>
              <w:right w:val="single" w:sz="4" w:space="0" w:color="auto"/>
            </w:tcBorders>
            <w:shd w:val="clear" w:color="000000" w:fill="CCFFFF"/>
            <w:noWrap/>
            <w:vAlign w:val="bottom"/>
            <w:hideMark/>
          </w:tcPr>
          <w:p w14:paraId="71306E5E" w14:textId="0CBE00E4" w:rsidR="00D8302C" w:rsidRPr="0098629B" w:rsidRDefault="00D8302C" w:rsidP="00D8302C">
            <w:pPr>
              <w:jc w:val="right"/>
              <w:rPr>
                <w:rFonts w:ascii="Times New Roman" w:hAnsi="Times New Roman"/>
                <w:sz w:val="14"/>
                <w:szCs w:val="18"/>
              </w:rPr>
            </w:pPr>
            <w:r w:rsidRPr="0098629B">
              <w:rPr>
                <w:sz w:val="14"/>
                <w:szCs w:val="18"/>
              </w:rPr>
              <w:t>NO,NA</w:t>
            </w:r>
          </w:p>
        </w:tc>
        <w:tc>
          <w:tcPr>
            <w:tcW w:w="580" w:type="dxa"/>
            <w:tcBorders>
              <w:top w:val="single" w:sz="4" w:space="0" w:color="auto"/>
              <w:left w:val="nil"/>
              <w:bottom w:val="single" w:sz="4" w:space="0" w:color="auto"/>
              <w:right w:val="single" w:sz="4" w:space="0" w:color="auto"/>
            </w:tcBorders>
            <w:shd w:val="clear" w:color="000000" w:fill="CCFFFF"/>
            <w:noWrap/>
            <w:vAlign w:val="bottom"/>
            <w:hideMark/>
          </w:tcPr>
          <w:p w14:paraId="6A06F6C5" w14:textId="367DB0CE" w:rsidR="00D8302C" w:rsidRPr="0098629B" w:rsidRDefault="00D8302C" w:rsidP="00D8302C">
            <w:pPr>
              <w:jc w:val="right"/>
              <w:rPr>
                <w:rFonts w:ascii="Times New Roman" w:hAnsi="Times New Roman"/>
                <w:sz w:val="14"/>
                <w:szCs w:val="18"/>
              </w:rPr>
            </w:pPr>
            <w:r w:rsidRPr="0098629B">
              <w:rPr>
                <w:sz w:val="14"/>
                <w:szCs w:val="18"/>
              </w:rPr>
              <w:t>8,54</w:t>
            </w:r>
          </w:p>
        </w:tc>
        <w:tc>
          <w:tcPr>
            <w:tcW w:w="976" w:type="dxa"/>
            <w:tcBorders>
              <w:top w:val="single" w:sz="4" w:space="0" w:color="auto"/>
              <w:left w:val="nil"/>
              <w:bottom w:val="single" w:sz="4" w:space="0" w:color="auto"/>
              <w:right w:val="single" w:sz="4" w:space="0" w:color="auto"/>
            </w:tcBorders>
            <w:shd w:val="clear" w:color="000000" w:fill="CCFFFF"/>
            <w:noWrap/>
            <w:vAlign w:val="bottom"/>
            <w:hideMark/>
          </w:tcPr>
          <w:p w14:paraId="2835CFB1" w14:textId="56ECF513" w:rsidR="00D8302C" w:rsidRPr="0098629B" w:rsidRDefault="00D8302C" w:rsidP="00D8302C">
            <w:pPr>
              <w:jc w:val="right"/>
              <w:rPr>
                <w:rFonts w:ascii="Times New Roman" w:hAnsi="Times New Roman"/>
                <w:sz w:val="14"/>
                <w:szCs w:val="18"/>
              </w:rPr>
            </w:pPr>
            <w:r w:rsidRPr="0098629B">
              <w:rPr>
                <w:sz w:val="14"/>
                <w:szCs w:val="18"/>
              </w:rPr>
              <w:t>378957,08</w:t>
            </w:r>
          </w:p>
        </w:tc>
      </w:tr>
      <w:tr w:rsidR="00D8302C" w:rsidRPr="0098629B" w14:paraId="168A1991" w14:textId="77777777" w:rsidTr="00D8302C">
        <w:trPr>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890F8DB" w14:textId="77777777" w:rsidR="00D8302C" w:rsidRPr="0098629B" w:rsidRDefault="00D8302C" w:rsidP="00D8302C">
            <w:pPr>
              <w:jc w:val="left"/>
              <w:rPr>
                <w:rFonts w:ascii="Times New Roman" w:hAnsi="Times New Roman"/>
                <w:b/>
                <w:bCs/>
                <w:sz w:val="14"/>
                <w:szCs w:val="18"/>
              </w:rPr>
            </w:pPr>
            <w:r w:rsidRPr="0098629B">
              <w:rPr>
                <w:rFonts w:ascii="Times New Roman" w:hAnsi="Times New Roman"/>
                <w:b/>
                <w:bCs/>
                <w:sz w:val="14"/>
                <w:szCs w:val="18"/>
              </w:rPr>
              <w:t>1. Energy</w:t>
            </w:r>
          </w:p>
        </w:tc>
        <w:tc>
          <w:tcPr>
            <w:tcW w:w="914" w:type="dxa"/>
            <w:tcBorders>
              <w:top w:val="nil"/>
              <w:left w:val="nil"/>
              <w:bottom w:val="single" w:sz="4" w:space="0" w:color="auto"/>
              <w:right w:val="single" w:sz="4" w:space="0" w:color="auto"/>
            </w:tcBorders>
            <w:shd w:val="clear" w:color="000000" w:fill="CCFFFF"/>
            <w:noWrap/>
            <w:vAlign w:val="bottom"/>
            <w:hideMark/>
          </w:tcPr>
          <w:p w14:paraId="3CA7A01B" w14:textId="4401E5FC" w:rsidR="00D8302C" w:rsidRPr="0098629B" w:rsidRDefault="00D8302C" w:rsidP="00D8302C">
            <w:pPr>
              <w:jc w:val="right"/>
              <w:rPr>
                <w:rFonts w:ascii="Times New Roman" w:hAnsi="Times New Roman"/>
                <w:sz w:val="14"/>
                <w:szCs w:val="18"/>
              </w:rPr>
            </w:pPr>
            <w:r w:rsidRPr="0098629B">
              <w:rPr>
                <w:sz w:val="14"/>
                <w:szCs w:val="18"/>
              </w:rPr>
              <w:t>259171,93</w:t>
            </w:r>
          </w:p>
        </w:tc>
        <w:tc>
          <w:tcPr>
            <w:tcW w:w="820" w:type="dxa"/>
            <w:tcBorders>
              <w:top w:val="nil"/>
              <w:left w:val="nil"/>
              <w:bottom w:val="single" w:sz="4" w:space="0" w:color="auto"/>
              <w:right w:val="single" w:sz="4" w:space="0" w:color="auto"/>
            </w:tcBorders>
            <w:shd w:val="clear" w:color="000000" w:fill="CCFFFF"/>
            <w:noWrap/>
            <w:vAlign w:val="bottom"/>
            <w:hideMark/>
          </w:tcPr>
          <w:p w14:paraId="05B60EA5" w14:textId="248312D9" w:rsidR="00D8302C" w:rsidRPr="0098629B" w:rsidRDefault="00D8302C" w:rsidP="00D8302C">
            <w:pPr>
              <w:jc w:val="right"/>
              <w:rPr>
                <w:rFonts w:ascii="Times New Roman" w:hAnsi="Times New Roman"/>
                <w:sz w:val="14"/>
                <w:szCs w:val="18"/>
              </w:rPr>
            </w:pPr>
            <w:r w:rsidRPr="0098629B">
              <w:rPr>
                <w:sz w:val="14"/>
                <w:szCs w:val="18"/>
              </w:rPr>
              <w:t>2127,58</w:t>
            </w:r>
          </w:p>
        </w:tc>
        <w:tc>
          <w:tcPr>
            <w:tcW w:w="820" w:type="dxa"/>
            <w:tcBorders>
              <w:top w:val="nil"/>
              <w:left w:val="nil"/>
              <w:bottom w:val="single" w:sz="4" w:space="0" w:color="auto"/>
              <w:right w:val="single" w:sz="4" w:space="0" w:color="auto"/>
            </w:tcBorders>
            <w:shd w:val="clear" w:color="000000" w:fill="CCFFFF"/>
            <w:noWrap/>
            <w:vAlign w:val="bottom"/>
            <w:hideMark/>
          </w:tcPr>
          <w:p w14:paraId="345C7375" w14:textId="11843A48" w:rsidR="00D8302C" w:rsidRPr="0098629B" w:rsidRDefault="00D8302C" w:rsidP="00D8302C">
            <w:pPr>
              <w:jc w:val="right"/>
              <w:rPr>
                <w:rFonts w:ascii="Times New Roman" w:hAnsi="Times New Roman"/>
                <w:sz w:val="14"/>
                <w:szCs w:val="18"/>
              </w:rPr>
            </w:pPr>
            <w:r w:rsidRPr="0098629B">
              <w:rPr>
                <w:sz w:val="14"/>
                <w:szCs w:val="18"/>
              </w:rPr>
              <w:t>3430,11</w:t>
            </w:r>
          </w:p>
        </w:tc>
        <w:tc>
          <w:tcPr>
            <w:tcW w:w="820" w:type="dxa"/>
            <w:tcBorders>
              <w:top w:val="nil"/>
              <w:left w:val="nil"/>
              <w:bottom w:val="single" w:sz="4" w:space="0" w:color="auto"/>
              <w:right w:val="single" w:sz="4" w:space="0" w:color="auto"/>
            </w:tcBorders>
            <w:shd w:val="clear" w:color="000000" w:fill="969696"/>
            <w:noWrap/>
            <w:vAlign w:val="bottom"/>
            <w:hideMark/>
          </w:tcPr>
          <w:p w14:paraId="59C62D17" w14:textId="18D2DE01"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2BCA02D" w14:textId="2586E124"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59A980" w14:textId="0C1FE50D"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FC87475" w14:textId="0A48B8A2"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82887FF" w14:textId="7D27CE1E"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5F5ECCC" w14:textId="63B64B84" w:rsidR="00D8302C" w:rsidRPr="0098629B" w:rsidRDefault="00D8302C" w:rsidP="00D8302C">
            <w:pPr>
              <w:jc w:val="right"/>
              <w:rPr>
                <w:rFonts w:ascii="Times New Roman" w:hAnsi="Times New Roman"/>
                <w:sz w:val="14"/>
                <w:szCs w:val="18"/>
              </w:rPr>
            </w:pPr>
            <w:r w:rsidRPr="0098629B">
              <w:rPr>
                <w:sz w:val="14"/>
                <w:szCs w:val="18"/>
              </w:rPr>
              <w:t>264729,61</w:t>
            </w:r>
          </w:p>
        </w:tc>
      </w:tr>
      <w:tr w:rsidR="00D8302C" w:rsidRPr="0098629B" w14:paraId="40F9DF7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B037FC8"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A. Fuel combustion (sectoral approach)</w:t>
            </w:r>
          </w:p>
        </w:tc>
        <w:tc>
          <w:tcPr>
            <w:tcW w:w="914" w:type="dxa"/>
            <w:tcBorders>
              <w:top w:val="nil"/>
              <w:left w:val="nil"/>
              <w:bottom w:val="single" w:sz="4" w:space="0" w:color="auto"/>
              <w:right w:val="single" w:sz="4" w:space="0" w:color="auto"/>
            </w:tcBorders>
            <w:shd w:val="clear" w:color="000000" w:fill="CCFFFF"/>
            <w:noWrap/>
            <w:vAlign w:val="bottom"/>
            <w:hideMark/>
          </w:tcPr>
          <w:p w14:paraId="6049E6A8" w14:textId="262032BE" w:rsidR="00D8302C" w:rsidRPr="0098629B" w:rsidRDefault="00D8302C" w:rsidP="00D8302C">
            <w:pPr>
              <w:jc w:val="right"/>
              <w:rPr>
                <w:rFonts w:ascii="Times New Roman" w:hAnsi="Times New Roman"/>
                <w:sz w:val="14"/>
                <w:szCs w:val="18"/>
              </w:rPr>
            </w:pPr>
            <w:r w:rsidRPr="0098629B">
              <w:rPr>
                <w:sz w:val="14"/>
                <w:szCs w:val="18"/>
              </w:rPr>
              <w:t>256968,82</w:t>
            </w:r>
          </w:p>
        </w:tc>
        <w:tc>
          <w:tcPr>
            <w:tcW w:w="820" w:type="dxa"/>
            <w:tcBorders>
              <w:top w:val="nil"/>
              <w:left w:val="nil"/>
              <w:bottom w:val="single" w:sz="4" w:space="0" w:color="auto"/>
              <w:right w:val="single" w:sz="4" w:space="0" w:color="auto"/>
            </w:tcBorders>
            <w:shd w:val="clear" w:color="000000" w:fill="CCFFFF"/>
            <w:noWrap/>
            <w:vAlign w:val="bottom"/>
            <w:hideMark/>
          </w:tcPr>
          <w:p w14:paraId="0E22B46B" w14:textId="1AE79A7B" w:rsidR="00D8302C" w:rsidRPr="0098629B" w:rsidRDefault="00D8302C" w:rsidP="00D8302C">
            <w:pPr>
              <w:jc w:val="right"/>
              <w:rPr>
                <w:rFonts w:ascii="Times New Roman" w:hAnsi="Times New Roman"/>
                <w:sz w:val="14"/>
                <w:szCs w:val="18"/>
              </w:rPr>
            </w:pPr>
            <w:r w:rsidRPr="0098629B">
              <w:rPr>
                <w:sz w:val="14"/>
                <w:szCs w:val="18"/>
              </w:rPr>
              <w:t>1276,37</w:t>
            </w:r>
          </w:p>
        </w:tc>
        <w:tc>
          <w:tcPr>
            <w:tcW w:w="820" w:type="dxa"/>
            <w:tcBorders>
              <w:top w:val="nil"/>
              <w:left w:val="nil"/>
              <w:bottom w:val="single" w:sz="4" w:space="0" w:color="auto"/>
              <w:right w:val="single" w:sz="4" w:space="0" w:color="auto"/>
            </w:tcBorders>
            <w:shd w:val="clear" w:color="000000" w:fill="CCFFFF"/>
            <w:noWrap/>
            <w:vAlign w:val="bottom"/>
            <w:hideMark/>
          </w:tcPr>
          <w:p w14:paraId="64702A3C" w14:textId="18EC6411" w:rsidR="00D8302C" w:rsidRPr="0098629B" w:rsidRDefault="00D8302C" w:rsidP="00D8302C">
            <w:pPr>
              <w:jc w:val="right"/>
              <w:rPr>
                <w:rFonts w:ascii="Times New Roman" w:hAnsi="Times New Roman"/>
                <w:sz w:val="14"/>
                <w:szCs w:val="18"/>
              </w:rPr>
            </w:pPr>
            <w:r w:rsidRPr="0098629B">
              <w:rPr>
                <w:sz w:val="14"/>
                <w:szCs w:val="18"/>
              </w:rPr>
              <w:t>3279,09</w:t>
            </w:r>
          </w:p>
        </w:tc>
        <w:tc>
          <w:tcPr>
            <w:tcW w:w="820" w:type="dxa"/>
            <w:tcBorders>
              <w:top w:val="nil"/>
              <w:left w:val="nil"/>
              <w:bottom w:val="single" w:sz="4" w:space="0" w:color="auto"/>
              <w:right w:val="single" w:sz="4" w:space="0" w:color="auto"/>
            </w:tcBorders>
            <w:shd w:val="clear" w:color="000000" w:fill="969696"/>
            <w:noWrap/>
            <w:vAlign w:val="bottom"/>
            <w:hideMark/>
          </w:tcPr>
          <w:p w14:paraId="3E1136EF" w14:textId="682D2BAE"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5754152" w14:textId="7C6234AE"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E57C01A" w14:textId="38C80477"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7719311" w14:textId="3DF4E94F"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B23C320" w14:textId="67CEB4B8"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6017532" w14:textId="641B7811" w:rsidR="00D8302C" w:rsidRPr="0098629B" w:rsidRDefault="00D8302C" w:rsidP="00D8302C">
            <w:pPr>
              <w:jc w:val="right"/>
              <w:rPr>
                <w:rFonts w:ascii="Times New Roman" w:hAnsi="Times New Roman"/>
                <w:sz w:val="14"/>
                <w:szCs w:val="18"/>
              </w:rPr>
            </w:pPr>
            <w:r w:rsidRPr="0098629B">
              <w:rPr>
                <w:sz w:val="14"/>
                <w:szCs w:val="18"/>
              </w:rPr>
              <w:t>261524,28</w:t>
            </w:r>
          </w:p>
        </w:tc>
      </w:tr>
      <w:tr w:rsidR="00D8302C" w:rsidRPr="0098629B" w14:paraId="4C4304C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CFE01EA"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1.  Energy industries</w:t>
            </w:r>
          </w:p>
        </w:tc>
        <w:tc>
          <w:tcPr>
            <w:tcW w:w="914" w:type="dxa"/>
            <w:tcBorders>
              <w:top w:val="nil"/>
              <w:left w:val="nil"/>
              <w:bottom w:val="single" w:sz="4" w:space="0" w:color="auto"/>
              <w:right w:val="single" w:sz="4" w:space="0" w:color="auto"/>
            </w:tcBorders>
            <w:shd w:val="clear" w:color="000000" w:fill="CCFFFF"/>
            <w:noWrap/>
            <w:vAlign w:val="bottom"/>
            <w:hideMark/>
          </w:tcPr>
          <w:p w14:paraId="479C3E42" w14:textId="2664FDEA" w:rsidR="00D8302C" w:rsidRPr="0098629B" w:rsidRDefault="00D8302C" w:rsidP="00D8302C">
            <w:pPr>
              <w:jc w:val="right"/>
              <w:rPr>
                <w:rFonts w:ascii="Times New Roman" w:hAnsi="Times New Roman"/>
                <w:sz w:val="14"/>
                <w:szCs w:val="18"/>
              </w:rPr>
            </w:pPr>
            <w:r w:rsidRPr="0098629B">
              <w:rPr>
                <w:sz w:val="14"/>
                <w:szCs w:val="18"/>
              </w:rPr>
              <w:t>36821,76</w:t>
            </w:r>
          </w:p>
        </w:tc>
        <w:tc>
          <w:tcPr>
            <w:tcW w:w="820" w:type="dxa"/>
            <w:tcBorders>
              <w:top w:val="nil"/>
              <w:left w:val="nil"/>
              <w:bottom w:val="single" w:sz="4" w:space="0" w:color="auto"/>
              <w:right w:val="single" w:sz="4" w:space="0" w:color="auto"/>
            </w:tcBorders>
            <w:shd w:val="clear" w:color="000000" w:fill="CCFFFF"/>
            <w:noWrap/>
            <w:vAlign w:val="bottom"/>
            <w:hideMark/>
          </w:tcPr>
          <w:p w14:paraId="500D320F" w14:textId="0C3A61FA" w:rsidR="00D8302C" w:rsidRPr="0098629B" w:rsidRDefault="00D8302C" w:rsidP="00D8302C">
            <w:pPr>
              <w:jc w:val="right"/>
              <w:rPr>
                <w:rFonts w:ascii="Times New Roman" w:hAnsi="Times New Roman"/>
                <w:sz w:val="14"/>
                <w:szCs w:val="18"/>
              </w:rPr>
            </w:pPr>
            <w:r w:rsidRPr="0098629B">
              <w:rPr>
                <w:sz w:val="14"/>
                <w:szCs w:val="18"/>
              </w:rPr>
              <w:t>45,11</w:t>
            </w:r>
          </w:p>
        </w:tc>
        <w:tc>
          <w:tcPr>
            <w:tcW w:w="820" w:type="dxa"/>
            <w:tcBorders>
              <w:top w:val="nil"/>
              <w:left w:val="nil"/>
              <w:bottom w:val="single" w:sz="4" w:space="0" w:color="auto"/>
              <w:right w:val="single" w:sz="4" w:space="0" w:color="auto"/>
            </w:tcBorders>
            <w:shd w:val="clear" w:color="000000" w:fill="CCFFFF"/>
            <w:noWrap/>
            <w:vAlign w:val="bottom"/>
            <w:hideMark/>
          </w:tcPr>
          <w:p w14:paraId="25463940" w14:textId="029E8DAA" w:rsidR="00D8302C" w:rsidRPr="0098629B" w:rsidRDefault="00D8302C" w:rsidP="00D8302C">
            <w:pPr>
              <w:jc w:val="right"/>
              <w:rPr>
                <w:rFonts w:ascii="Times New Roman" w:hAnsi="Times New Roman"/>
                <w:sz w:val="14"/>
                <w:szCs w:val="18"/>
              </w:rPr>
            </w:pPr>
            <w:r w:rsidRPr="0098629B">
              <w:rPr>
                <w:sz w:val="14"/>
                <w:szCs w:val="18"/>
              </w:rPr>
              <w:t>248,42</w:t>
            </w:r>
          </w:p>
        </w:tc>
        <w:tc>
          <w:tcPr>
            <w:tcW w:w="820" w:type="dxa"/>
            <w:tcBorders>
              <w:top w:val="nil"/>
              <w:left w:val="nil"/>
              <w:bottom w:val="single" w:sz="4" w:space="0" w:color="auto"/>
              <w:right w:val="single" w:sz="4" w:space="0" w:color="auto"/>
            </w:tcBorders>
            <w:shd w:val="clear" w:color="000000" w:fill="969696"/>
            <w:noWrap/>
            <w:vAlign w:val="bottom"/>
            <w:hideMark/>
          </w:tcPr>
          <w:p w14:paraId="120F10E3" w14:textId="6F74BD4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70796A0" w14:textId="3000815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92A60E0" w14:textId="178F4179"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9D348AA" w14:textId="49D62476"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997930D" w14:textId="6D3685A1"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6F125C6" w14:textId="30EB5885" w:rsidR="00D8302C" w:rsidRPr="0098629B" w:rsidRDefault="00D8302C" w:rsidP="00D8302C">
            <w:pPr>
              <w:jc w:val="right"/>
              <w:rPr>
                <w:rFonts w:ascii="Times New Roman" w:hAnsi="Times New Roman"/>
                <w:sz w:val="14"/>
                <w:szCs w:val="18"/>
              </w:rPr>
            </w:pPr>
            <w:r w:rsidRPr="0098629B">
              <w:rPr>
                <w:sz w:val="14"/>
                <w:szCs w:val="18"/>
              </w:rPr>
              <w:t>37115,28</w:t>
            </w:r>
          </w:p>
        </w:tc>
      </w:tr>
      <w:tr w:rsidR="00D8302C" w:rsidRPr="0098629B" w14:paraId="36DFF327"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21B3D0E"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2.  Manufacturing industries and construction</w:t>
            </w:r>
          </w:p>
        </w:tc>
        <w:tc>
          <w:tcPr>
            <w:tcW w:w="914" w:type="dxa"/>
            <w:tcBorders>
              <w:top w:val="nil"/>
              <w:left w:val="nil"/>
              <w:bottom w:val="single" w:sz="4" w:space="0" w:color="auto"/>
              <w:right w:val="single" w:sz="4" w:space="0" w:color="auto"/>
            </w:tcBorders>
            <w:shd w:val="clear" w:color="000000" w:fill="CCFFFF"/>
            <w:noWrap/>
            <w:vAlign w:val="bottom"/>
            <w:hideMark/>
          </w:tcPr>
          <w:p w14:paraId="2A02181B" w14:textId="23FB7540" w:rsidR="00D8302C" w:rsidRPr="0098629B" w:rsidRDefault="00D8302C" w:rsidP="00D8302C">
            <w:pPr>
              <w:jc w:val="right"/>
              <w:rPr>
                <w:rFonts w:ascii="Times New Roman" w:hAnsi="Times New Roman"/>
                <w:sz w:val="14"/>
                <w:szCs w:val="18"/>
              </w:rPr>
            </w:pPr>
            <w:r w:rsidRPr="0098629B">
              <w:rPr>
                <w:sz w:val="14"/>
                <w:szCs w:val="18"/>
              </w:rPr>
              <w:t>41588,56</w:t>
            </w:r>
          </w:p>
        </w:tc>
        <w:tc>
          <w:tcPr>
            <w:tcW w:w="820" w:type="dxa"/>
            <w:tcBorders>
              <w:top w:val="nil"/>
              <w:left w:val="nil"/>
              <w:bottom w:val="single" w:sz="4" w:space="0" w:color="auto"/>
              <w:right w:val="single" w:sz="4" w:space="0" w:color="auto"/>
            </w:tcBorders>
            <w:shd w:val="clear" w:color="000000" w:fill="CCFFFF"/>
            <w:noWrap/>
            <w:vAlign w:val="bottom"/>
            <w:hideMark/>
          </w:tcPr>
          <w:p w14:paraId="2D638B5E" w14:textId="73130479" w:rsidR="00D8302C" w:rsidRPr="0098629B" w:rsidRDefault="00D8302C" w:rsidP="00D8302C">
            <w:pPr>
              <w:jc w:val="right"/>
              <w:rPr>
                <w:rFonts w:ascii="Times New Roman" w:hAnsi="Times New Roman"/>
                <w:sz w:val="14"/>
                <w:szCs w:val="18"/>
              </w:rPr>
            </w:pPr>
            <w:r w:rsidRPr="0098629B">
              <w:rPr>
                <w:sz w:val="14"/>
                <w:szCs w:val="18"/>
              </w:rPr>
              <w:t>95,64</w:t>
            </w:r>
          </w:p>
        </w:tc>
        <w:tc>
          <w:tcPr>
            <w:tcW w:w="820" w:type="dxa"/>
            <w:tcBorders>
              <w:top w:val="nil"/>
              <w:left w:val="nil"/>
              <w:bottom w:val="single" w:sz="4" w:space="0" w:color="auto"/>
              <w:right w:val="single" w:sz="4" w:space="0" w:color="auto"/>
            </w:tcBorders>
            <w:shd w:val="clear" w:color="000000" w:fill="CCFFFF"/>
            <w:noWrap/>
            <w:vAlign w:val="bottom"/>
            <w:hideMark/>
          </w:tcPr>
          <w:p w14:paraId="5EE65A88" w14:textId="6FCA1439" w:rsidR="00D8302C" w:rsidRPr="0098629B" w:rsidRDefault="00D8302C" w:rsidP="00D8302C">
            <w:pPr>
              <w:jc w:val="right"/>
              <w:rPr>
                <w:rFonts w:ascii="Times New Roman" w:hAnsi="Times New Roman"/>
                <w:sz w:val="14"/>
                <w:szCs w:val="18"/>
              </w:rPr>
            </w:pPr>
            <w:r w:rsidRPr="0098629B">
              <w:rPr>
                <w:sz w:val="14"/>
                <w:szCs w:val="18"/>
              </w:rPr>
              <w:t>502,47</w:t>
            </w:r>
          </w:p>
        </w:tc>
        <w:tc>
          <w:tcPr>
            <w:tcW w:w="820" w:type="dxa"/>
            <w:tcBorders>
              <w:top w:val="nil"/>
              <w:left w:val="nil"/>
              <w:bottom w:val="single" w:sz="4" w:space="0" w:color="auto"/>
              <w:right w:val="single" w:sz="4" w:space="0" w:color="auto"/>
            </w:tcBorders>
            <w:shd w:val="clear" w:color="000000" w:fill="969696"/>
            <w:noWrap/>
            <w:vAlign w:val="bottom"/>
            <w:hideMark/>
          </w:tcPr>
          <w:p w14:paraId="462BF4E3" w14:textId="029FA3DA"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5E8E5F" w14:textId="3F04507E"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9888731" w14:textId="071EFDD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5B70A83" w14:textId="69198638"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A1B27C4" w14:textId="718A06A3"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ED184CA" w14:textId="0B656CFC" w:rsidR="00D8302C" w:rsidRPr="0098629B" w:rsidRDefault="00D8302C" w:rsidP="00D8302C">
            <w:pPr>
              <w:jc w:val="right"/>
              <w:rPr>
                <w:rFonts w:ascii="Times New Roman" w:hAnsi="Times New Roman"/>
                <w:sz w:val="14"/>
                <w:szCs w:val="18"/>
              </w:rPr>
            </w:pPr>
            <w:r w:rsidRPr="0098629B">
              <w:rPr>
                <w:sz w:val="14"/>
                <w:szCs w:val="18"/>
              </w:rPr>
              <w:t>42186,67</w:t>
            </w:r>
          </w:p>
        </w:tc>
      </w:tr>
      <w:tr w:rsidR="00D8302C" w:rsidRPr="0098629B" w14:paraId="5A5F11F4"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87FFABB"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3.  Transport</w:t>
            </w:r>
          </w:p>
        </w:tc>
        <w:tc>
          <w:tcPr>
            <w:tcW w:w="914" w:type="dxa"/>
            <w:tcBorders>
              <w:top w:val="nil"/>
              <w:left w:val="nil"/>
              <w:bottom w:val="single" w:sz="4" w:space="0" w:color="auto"/>
              <w:right w:val="single" w:sz="4" w:space="0" w:color="auto"/>
            </w:tcBorders>
            <w:shd w:val="clear" w:color="000000" w:fill="CCFFFF"/>
            <w:noWrap/>
            <w:vAlign w:val="bottom"/>
            <w:hideMark/>
          </w:tcPr>
          <w:p w14:paraId="70C2B06C" w14:textId="6134214F" w:rsidR="00D8302C" w:rsidRPr="0098629B" w:rsidRDefault="00D8302C" w:rsidP="00D8302C">
            <w:pPr>
              <w:jc w:val="right"/>
              <w:rPr>
                <w:rFonts w:ascii="Times New Roman" w:hAnsi="Times New Roman"/>
                <w:sz w:val="14"/>
                <w:szCs w:val="18"/>
              </w:rPr>
            </w:pPr>
            <w:r w:rsidRPr="0098629B">
              <w:rPr>
                <w:sz w:val="14"/>
                <w:szCs w:val="18"/>
              </w:rPr>
              <w:t>108179,03</w:t>
            </w:r>
          </w:p>
        </w:tc>
        <w:tc>
          <w:tcPr>
            <w:tcW w:w="820" w:type="dxa"/>
            <w:tcBorders>
              <w:top w:val="nil"/>
              <w:left w:val="nil"/>
              <w:bottom w:val="single" w:sz="4" w:space="0" w:color="auto"/>
              <w:right w:val="single" w:sz="4" w:space="0" w:color="auto"/>
            </w:tcBorders>
            <w:shd w:val="clear" w:color="000000" w:fill="CCFFFF"/>
            <w:noWrap/>
            <w:vAlign w:val="bottom"/>
            <w:hideMark/>
          </w:tcPr>
          <w:p w14:paraId="77F70CED" w14:textId="0AAF76DE" w:rsidR="00D8302C" w:rsidRPr="0098629B" w:rsidRDefault="00D8302C" w:rsidP="00D8302C">
            <w:pPr>
              <w:jc w:val="right"/>
              <w:rPr>
                <w:rFonts w:ascii="Times New Roman" w:hAnsi="Times New Roman"/>
                <w:sz w:val="14"/>
                <w:szCs w:val="18"/>
              </w:rPr>
            </w:pPr>
            <w:r w:rsidRPr="0098629B">
              <w:rPr>
                <w:sz w:val="14"/>
                <w:szCs w:val="18"/>
              </w:rPr>
              <w:t>143,25</w:t>
            </w:r>
          </w:p>
        </w:tc>
        <w:tc>
          <w:tcPr>
            <w:tcW w:w="820" w:type="dxa"/>
            <w:tcBorders>
              <w:top w:val="nil"/>
              <w:left w:val="nil"/>
              <w:bottom w:val="single" w:sz="4" w:space="0" w:color="auto"/>
              <w:right w:val="single" w:sz="4" w:space="0" w:color="auto"/>
            </w:tcBorders>
            <w:shd w:val="clear" w:color="000000" w:fill="CCFFFF"/>
            <w:noWrap/>
            <w:vAlign w:val="bottom"/>
            <w:hideMark/>
          </w:tcPr>
          <w:p w14:paraId="5BB7DD4D" w14:textId="47A12256" w:rsidR="00D8302C" w:rsidRPr="0098629B" w:rsidRDefault="00D8302C" w:rsidP="00D8302C">
            <w:pPr>
              <w:jc w:val="right"/>
              <w:rPr>
                <w:rFonts w:ascii="Times New Roman" w:hAnsi="Times New Roman"/>
                <w:sz w:val="14"/>
                <w:szCs w:val="18"/>
              </w:rPr>
            </w:pPr>
            <w:r w:rsidRPr="0098629B">
              <w:rPr>
                <w:sz w:val="14"/>
                <w:szCs w:val="18"/>
              </w:rPr>
              <w:t>1147,00</w:t>
            </w:r>
          </w:p>
        </w:tc>
        <w:tc>
          <w:tcPr>
            <w:tcW w:w="820" w:type="dxa"/>
            <w:tcBorders>
              <w:top w:val="nil"/>
              <w:left w:val="nil"/>
              <w:bottom w:val="single" w:sz="4" w:space="0" w:color="auto"/>
              <w:right w:val="single" w:sz="4" w:space="0" w:color="auto"/>
            </w:tcBorders>
            <w:shd w:val="clear" w:color="000000" w:fill="969696"/>
            <w:noWrap/>
            <w:vAlign w:val="bottom"/>
            <w:hideMark/>
          </w:tcPr>
          <w:p w14:paraId="37B1C0E5" w14:textId="588DE15C"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41D693" w14:textId="0CFD2193"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DD1A6E3" w14:textId="5501FC30"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EFC1201" w14:textId="27F20A0F"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74B8B68" w14:textId="2C71B436"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82FBC7D" w14:textId="2D09C4F3" w:rsidR="00D8302C" w:rsidRPr="0098629B" w:rsidRDefault="00D8302C" w:rsidP="00D8302C">
            <w:pPr>
              <w:jc w:val="right"/>
              <w:rPr>
                <w:rFonts w:ascii="Times New Roman" w:hAnsi="Times New Roman"/>
                <w:sz w:val="14"/>
                <w:szCs w:val="18"/>
              </w:rPr>
            </w:pPr>
            <w:r w:rsidRPr="0098629B">
              <w:rPr>
                <w:sz w:val="14"/>
                <w:szCs w:val="18"/>
              </w:rPr>
              <w:t>109469,28</w:t>
            </w:r>
          </w:p>
        </w:tc>
      </w:tr>
      <w:tr w:rsidR="00D8302C" w:rsidRPr="0098629B" w14:paraId="18A8469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C4091F0"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4.  Other sectors</w:t>
            </w:r>
          </w:p>
        </w:tc>
        <w:tc>
          <w:tcPr>
            <w:tcW w:w="914" w:type="dxa"/>
            <w:tcBorders>
              <w:top w:val="nil"/>
              <w:left w:val="nil"/>
              <w:bottom w:val="single" w:sz="4" w:space="0" w:color="auto"/>
              <w:right w:val="single" w:sz="4" w:space="0" w:color="auto"/>
            </w:tcBorders>
            <w:shd w:val="clear" w:color="000000" w:fill="CCFFFF"/>
            <w:noWrap/>
            <w:vAlign w:val="bottom"/>
            <w:hideMark/>
          </w:tcPr>
          <w:p w14:paraId="242B64ED" w14:textId="189F1D65" w:rsidR="00D8302C" w:rsidRPr="0098629B" w:rsidRDefault="00D8302C" w:rsidP="00D8302C">
            <w:pPr>
              <w:jc w:val="right"/>
              <w:rPr>
                <w:rFonts w:ascii="Times New Roman" w:hAnsi="Times New Roman"/>
                <w:sz w:val="14"/>
                <w:szCs w:val="18"/>
              </w:rPr>
            </w:pPr>
            <w:r w:rsidRPr="0098629B">
              <w:rPr>
                <w:sz w:val="14"/>
                <w:szCs w:val="18"/>
              </w:rPr>
              <w:t>68903,09</w:t>
            </w:r>
          </w:p>
        </w:tc>
        <w:tc>
          <w:tcPr>
            <w:tcW w:w="820" w:type="dxa"/>
            <w:tcBorders>
              <w:top w:val="nil"/>
              <w:left w:val="nil"/>
              <w:bottom w:val="single" w:sz="4" w:space="0" w:color="auto"/>
              <w:right w:val="single" w:sz="4" w:space="0" w:color="auto"/>
            </w:tcBorders>
            <w:shd w:val="clear" w:color="000000" w:fill="CCFFFF"/>
            <w:noWrap/>
            <w:vAlign w:val="bottom"/>
            <w:hideMark/>
          </w:tcPr>
          <w:p w14:paraId="2FCBAF8A" w14:textId="07EE736A" w:rsidR="00D8302C" w:rsidRPr="0098629B" w:rsidRDefault="00D8302C" w:rsidP="00D8302C">
            <w:pPr>
              <w:jc w:val="right"/>
              <w:rPr>
                <w:rFonts w:ascii="Times New Roman" w:hAnsi="Times New Roman"/>
                <w:sz w:val="14"/>
                <w:szCs w:val="18"/>
              </w:rPr>
            </w:pPr>
            <w:r w:rsidRPr="0098629B">
              <w:rPr>
                <w:sz w:val="14"/>
                <w:szCs w:val="18"/>
              </w:rPr>
              <w:t>990,36</w:t>
            </w:r>
          </w:p>
        </w:tc>
        <w:tc>
          <w:tcPr>
            <w:tcW w:w="820" w:type="dxa"/>
            <w:tcBorders>
              <w:top w:val="nil"/>
              <w:left w:val="nil"/>
              <w:bottom w:val="single" w:sz="4" w:space="0" w:color="auto"/>
              <w:right w:val="single" w:sz="4" w:space="0" w:color="auto"/>
            </w:tcBorders>
            <w:shd w:val="clear" w:color="000000" w:fill="CCFFFF"/>
            <w:noWrap/>
            <w:vAlign w:val="bottom"/>
            <w:hideMark/>
          </w:tcPr>
          <w:p w14:paraId="341A1A00" w14:textId="46926D0B" w:rsidR="00D8302C" w:rsidRPr="0098629B" w:rsidRDefault="00D8302C" w:rsidP="00D8302C">
            <w:pPr>
              <w:jc w:val="right"/>
              <w:rPr>
                <w:rFonts w:ascii="Times New Roman" w:hAnsi="Times New Roman"/>
                <w:sz w:val="14"/>
                <w:szCs w:val="18"/>
              </w:rPr>
            </w:pPr>
            <w:r w:rsidRPr="0098629B">
              <w:rPr>
                <w:sz w:val="14"/>
                <w:szCs w:val="18"/>
              </w:rPr>
              <w:t>1373,08</w:t>
            </w:r>
          </w:p>
        </w:tc>
        <w:tc>
          <w:tcPr>
            <w:tcW w:w="820" w:type="dxa"/>
            <w:tcBorders>
              <w:top w:val="nil"/>
              <w:left w:val="nil"/>
              <w:bottom w:val="single" w:sz="4" w:space="0" w:color="auto"/>
              <w:right w:val="single" w:sz="4" w:space="0" w:color="auto"/>
            </w:tcBorders>
            <w:shd w:val="clear" w:color="000000" w:fill="969696"/>
            <w:noWrap/>
            <w:vAlign w:val="bottom"/>
            <w:hideMark/>
          </w:tcPr>
          <w:p w14:paraId="686435CF" w14:textId="6E0ECC2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7712ECC" w14:textId="4349DFC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C1D37D3" w14:textId="14635BFA"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7F39331" w14:textId="2F7CCD42"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66263E4" w14:textId="2EB6856C"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79EF84C" w14:textId="6AF8CD83" w:rsidR="00D8302C" w:rsidRPr="0098629B" w:rsidRDefault="00D8302C" w:rsidP="00D8302C">
            <w:pPr>
              <w:jc w:val="right"/>
              <w:rPr>
                <w:rFonts w:ascii="Times New Roman" w:hAnsi="Times New Roman"/>
                <w:sz w:val="14"/>
                <w:szCs w:val="18"/>
              </w:rPr>
            </w:pPr>
            <w:r w:rsidRPr="0098629B">
              <w:rPr>
                <w:sz w:val="14"/>
                <w:szCs w:val="18"/>
              </w:rPr>
              <w:t>71266,53</w:t>
            </w:r>
          </w:p>
        </w:tc>
      </w:tr>
      <w:tr w:rsidR="00D8302C" w:rsidRPr="0098629B" w14:paraId="7167212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AA9C80F"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5.  Other</w:t>
            </w:r>
          </w:p>
        </w:tc>
        <w:tc>
          <w:tcPr>
            <w:tcW w:w="914" w:type="dxa"/>
            <w:tcBorders>
              <w:top w:val="nil"/>
              <w:left w:val="nil"/>
              <w:bottom w:val="single" w:sz="4" w:space="0" w:color="auto"/>
              <w:right w:val="single" w:sz="4" w:space="0" w:color="auto"/>
            </w:tcBorders>
            <w:shd w:val="clear" w:color="000000" w:fill="CCFFFF"/>
            <w:noWrap/>
            <w:vAlign w:val="bottom"/>
            <w:hideMark/>
          </w:tcPr>
          <w:p w14:paraId="2E6CA4D1" w14:textId="6DF6CB8E" w:rsidR="00D8302C" w:rsidRPr="0098629B" w:rsidRDefault="00D8302C" w:rsidP="00D8302C">
            <w:pPr>
              <w:jc w:val="right"/>
              <w:rPr>
                <w:rFonts w:ascii="Times New Roman" w:hAnsi="Times New Roman"/>
                <w:sz w:val="14"/>
                <w:szCs w:val="18"/>
              </w:rPr>
            </w:pPr>
            <w:r w:rsidRPr="0098629B">
              <w:rPr>
                <w:sz w:val="14"/>
                <w:szCs w:val="18"/>
              </w:rPr>
              <w:t>1476,39</w:t>
            </w:r>
          </w:p>
        </w:tc>
        <w:tc>
          <w:tcPr>
            <w:tcW w:w="820" w:type="dxa"/>
            <w:tcBorders>
              <w:top w:val="nil"/>
              <w:left w:val="nil"/>
              <w:bottom w:val="single" w:sz="4" w:space="0" w:color="auto"/>
              <w:right w:val="single" w:sz="4" w:space="0" w:color="auto"/>
            </w:tcBorders>
            <w:shd w:val="clear" w:color="000000" w:fill="CCFFFF"/>
            <w:noWrap/>
            <w:vAlign w:val="bottom"/>
            <w:hideMark/>
          </w:tcPr>
          <w:p w14:paraId="18FBB6B4" w14:textId="0CECE3C9" w:rsidR="00D8302C" w:rsidRPr="0098629B" w:rsidRDefault="00D8302C" w:rsidP="00D8302C">
            <w:pPr>
              <w:jc w:val="right"/>
              <w:rPr>
                <w:rFonts w:ascii="Times New Roman" w:hAnsi="Times New Roman"/>
                <w:sz w:val="14"/>
                <w:szCs w:val="18"/>
              </w:rPr>
            </w:pPr>
            <w:r w:rsidRPr="0098629B">
              <w:rPr>
                <w:sz w:val="14"/>
                <w:szCs w:val="18"/>
              </w:rPr>
              <w:t>2,02</w:t>
            </w:r>
          </w:p>
        </w:tc>
        <w:tc>
          <w:tcPr>
            <w:tcW w:w="820" w:type="dxa"/>
            <w:tcBorders>
              <w:top w:val="nil"/>
              <w:left w:val="nil"/>
              <w:bottom w:val="single" w:sz="4" w:space="0" w:color="auto"/>
              <w:right w:val="single" w:sz="4" w:space="0" w:color="auto"/>
            </w:tcBorders>
            <w:shd w:val="clear" w:color="000000" w:fill="CCFFFF"/>
            <w:noWrap/>
            <w:vAlign w:val="bottom"/>
            <w:hideMark/>
          </w:tcPr>
          <w:p w14:paraId="0B9CC387" w14:textId="3C69738F" w:rsidR="00D8302C" w:rsidRPr="0098629B" w:rsidRDefault="00D8302C" w:rsidP="00D8302C">
            <w:pPr>
              <w:jc w:val="right"/>
              <w:rPr>
                <w:rFonts w:ascii="Times New Roman" w:hAnsi="Times New Roman"/>
                <w:sz w:val="14"/>
                <w:szCs w:val="18"/>
              </w:rPr>
            </w:pPr>
            <w:r w:rsidRPr="0098629B">
              <w:rPr>
                <w:sz w:val="14"/>
                <w:szCs w:val="18"/>
              </w:rPr>
              <w:t>8,13</w:t>
            </w:r>
          </w:p>
        </w:tc>
        <w:tc>
          <w:tcPr>
            <w:tcW w:w="820" w:type="dxa"/>
            <w:tcBorders>
              <w:top w:val="nil"/>
              <w:left w:val="nil"/>
              <w:bottom w:val="single" w:sz="4" w:space="0" w:color="auto"/>
              <w:right w:val="single" w:sz="4" w:space="0" w:color="auto"/>
            </w:tcBorders>
            <w:shd w:val="clear" w:color="000000" w:fill="969696"/>
            <w:noWrap/>
            <w:vAlign w:val="bottom"/>
            <w:hideMark/>
          </w:tcPr>
          <w:p w14:paraId="1805C4FF" w14:textId="20D0049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06331E5" w14:textId="108750A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87DEE10" w14:textId="18256D0B"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222CDC7" w14:textId="7C1BC9F8"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C3D2FB2" w14:textId="58D4DE99"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25BA8C9" w14:textId="53660F19" w:rsidR="00D8302C" w:rsidRPr="0098629B" w:rsidRDefault="00D8302C" w:rsidP="00D8302C">
            <w:pPr>
              <w:jc w:val="right"/>
              <w:rPr>
                <w:rFonts w:ascii="Times New Roman" w:hAnsi="Times New Roman"/>
                <w:sz w:val="14"/>
                <w:szCs w:val="18"/>
              </w:rPr>
            </w:pPr>
            <w:r w:rsidRPr="0098629B">
              <w:rPr>
                <w:sz w:val="14"/>
                <w:szCs w:val="18"/>
              </w:rPr>
              <w:t>1486,53</w:t>
            </w:r>
          </w:p>
        </w:tc>
      </w:tr>
      <w:tr w:rsidR="00D8302C" w:rsidRPr="0098629B" w14:paraId="563BFB5D"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C6FB1DB"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B. Fugitive emissions from fuels</w:t>
            </w:r>
          </w:p>
        </w:tc>
        <w:tc>
          <w:tcPr>
            <w:tcW w:w="914" w:type="dxa"/>
            <w:tcBorders>
              <w:top w:val="nil"/>
              <w:left w:val="nil"/>
              <w:bottom w:val="single" w:sz="4" w:space="0" w:color="auto"/>
              <w:right w:val="single" w:sz="4" w:space="0" w:color="auto"/>
            </w:tcBorders>
            <w:shd w:val="clear" w:color="000000" w:fill="CCFFFF"/>
            <w:noWrap/>
            <w:vAlign w:val="bottom"/>
            <w:hideMark/>
          </w:tcPr>
          <w:p w14:paraId="0406EC90" w14:textId="6E7A51B2" w:rsidR="00D8302C" w:rsidRPr="0098629B" w:rsidRDefault="00D8302C" w:rsidP="00D8302C">
            <w:pPr>
              <w:jc w:val="right"/>
              <w:rPr>
                <w:rFonts w:ascii="Times New Roman" w:hAnsi="Times New Roman"/>
                <w:sz w:val="14"/>
                <w:szCs w:val="18"/>
              </w:rPr>
            </w:pPr>
            <w:r w:rsidRPr="0098629B">
              <w:rPr>
                <w:sz w:val="14"/>
                <w:szCs w:val="18"/>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18AE072A" w14:textId="5205644C" w:rsidR="00D8302C" w:rsidRPr="0098629B" w:rsidRDefault="00D8302C" w:rsidP="00D8302C">
            <w:pPr>
              <w:jc w:val="right"/>
              <w:rPr>
                <w:rFonts w:ascii="Times New Roman" w:hAnsi="Times New Roman"/>
                <w:sz w:val="14"/>
                <w:szCs w:val="18"/>
              </w:rPr>
            </w:pPr>
            <w:r w:rsidRPr="0098629B">
              <w:rPr>
                <w:sz w:val="14"/>
                <w:szCs w:val="18"/>
              </w:rPr>
              <w:t>851,21</w:t>
            </w:r>
          </w:p>
        </w:tc>
        <w:tc>
          <w:tcPr>
            <w:tcW w:w="820" w:type="dxa"/>
            <w:tcBorders>
              <w:top w:val="nil"/>
              <w:left w:val="nil"/>
              <w:bottom w:val="single" w:sz="4" w:space="0" w:color="auto"/>
              <w:right w:val="single" w:sz="4" w:space="0" w:color="auto"/>
            </w:tcBorders>
            <w:shd w:val="clear" w:color="000000" w:fill="CCFFFF"/>
            <w:noWrap/>
            <w:vAlign w:val="bottom"/>
            <w:hideMark/>
          </w:tcPr>
          <w:p w14:paraId="6755883C" w14:textId="0B8ABD9D" w:rsidR="00D8302C" w:rsidRPr="0098629B" w:rsidRDefault="00D8302C" w:rsidP="00D8302C">
            <w:pPr>
              <w:jc w:val="right"/>
              <w:rPr>
                <w:rFonts w:ascii="Times New Roman" w:hAnsi="Times New Roman"/>
                <w:sz w:val="14"/>
                <w:szCs w:val="18"/>
              </w:rPr>
            </w:pPr>
            <w:r w:rsidRPr="0098629B">
              <w:rPr>
                <w:sz w:val="14"/>
                <w:szCs w:val="18"/>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5758458E" w14:textId="588DC810"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07137AB" w14:textId="1FF2589C"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2718838" w14:textId="7ACF3AB0"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8391CE" w14:textId="013AC000"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A7D4DED" w14:textId="65E47B60"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4233885" w14:textId="7450AFD4" w:rsidR="00D8302C" w:rsidRPr="0098629B" w:rsidRDefault="00D8302C" w:rsidP="00D8302C">
            <w:pPr>
              <w:jc w:val="right"/>
              <w:rPr>
                <w:rFonts w:ascii="Times New Roman" w:hAnsi="Times New Roman"/>
                <w:sz w:val="14"/>
                <w:szCs w:val="18"/>
              </w:rPr>
            </w:pPr>
            <w:r w:rsidRPr="0098629B">
              <w:rPr>
                <w:sz w:val="14"/>
                <w:szCs w:val="18"/>
              </w:rPr>
              <w:t>3205,33</w:t>
            </w:r>
          </w:p>
        </w:tc>
      </w:tr>
      <w:tr w:rsidR="00D8302C" w:rsidRPr="0098629B" w14:paraId="3C30D27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6270FB3"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1.  Solid fuels</w:t>
            </w:r>
          </w:p>
        </w:tc>
        <w:tc>
          <w:tcPr>
            <w:tcW w:w="914" w:type="dxa"/>
            <w:tcBorders>
              <w:top w:val="nil"/>
              <w:left w:val="nil"/>
              <w:bottom w:val="single" w:sz="4" w:space="0" w:color="auto"/>
              <w:right w:val="single" w:sz="4" w:space="0" w:color="auto"/>
            </w:tcBorders>
            <w:shd w:val="clear" w:color="000000" w:fill="CCFFFF"/>
            <w:noWrap/>
            <w:vAlign w:val="bottom"/>
            <w:hideMark/>
          </w:tcPr>
          <w:p w14:paraId="33923BF7" w14:textId="14B31310" w:rsidR="00D8302C" w:rsidRPr="0098629B" w:rsidRDefault="00D8302C" w:rsidP="00D8302C">
            <w:pPr>
              <w:jc w:val="right"/>
              <w:rPr>
                <w:rFonts w:ascii="Times New Roman" w:hAnsi="Times New Roman"/>
                <w:sz w:val="14"/>
                <w:szCs w:val="18"/>
              </w:rPr>
            </w:pPr>
            <w:r w:rsidRPr="0098629B">
              <w:rPr>
                <w:sz w:val="14"/>
                <w:szCs w:val="18"/>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0C1348D4" w14:textId="50F07CC9" w:rsidR="00D8302C" w:rsidRPr="0098629B" w:rsidRDefault="00D8302C" w:rsidP="00D8302C">
            <w:pPr>
              <w:jc w:val="right"/>
              <w:rPr>
                <w:rFonts w:ascii="Times New Roman" w:hAnsi="Times New Roman"/>
                <w:sz w:val="14"/>
                <w:szCs w:val="18"/>
              </w:rPr>
            </w:pPr>
            <w:r w:rsidRPr="0098629B">
              <w:rPr>
                <w:sz w:val="14"/>
                <w:szCs w:val="18"/>
              </w:rPr>
              <w:t>25,56</w:t>
            </w:r>
          </w:p>
        </w:tc>
        <w:tc>
          <w:tcPr>
            <w:tcW w:w="820" w:type="dxa"/>
            <w:tcBorders>
              <w:top w:val="nil"/>
              <w:left w:val="nil"/>
              <w:bottom w:val="single" w:sz="4" w:space="0" w:color="auto"/>
              <w:right w:val="single" w:sz="4" w:space="0" w:color="auto"/>
            </w:tcBorders>
            <w:shd w:val="clear" w:color="000000" w:fill="CCFFFF"/>
            <w:noWrap/>
            <w:vAlign w:val="bottom"/>
            <w:hideMark/>
          </w:tcPr>
          <w:p w14:paraId="5ADD952D" w14:textId="78308F7E" w:rsidR="00D8302C" w:rsidRPr="0098629B" w:rsidRDefault="00D8302C" w:rsidP="00D8302C">
            <w:pPr>
              <w:jc w:val="right"/>
              <w:rPr>
                <w:rFonts w:ascii="Times New Roman" w:hAnsi="Times New Roman"/>
                <w:sz w:val="14"/>
                <w:szCs w:val="18"/>
              </w:rPr>
            </w:pPr>
            <w:r w:rsidRPr="0098629B">
              <w:rPr>
                <w:sz w:val="14"/>
                <w:szCs w:val="18"/>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01B0C6FA" w14:textId="1B7B5A2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5CE204F" w14:textId="7CC43521"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FBA7F71" w14:textId="735B1715"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0B815DA" w14:textId="52139106"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12B1328" w14:textId="0BF34A9F"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C8A9989" w14:textId="1998F47F" w:rsidR="00D8302C" w:rsidRPr="0098629B" w:rsidRDefault="00D8302C" w:rsidP="00D8302C">
            <w:pPr>
              <w:jc w:val="right"/>
              <w:rPr>
                <w:rFonts w:ascii="Times New Roman" w:hAnsi="Times New Roman"/>
                <w:sz w:val="14"/>
                <w:szCs w:val="18"/>
              </w:rPr>
            </w:pPr>
            <w:r w:rsidRPr="0098629B">
              <w:rPr>
                <w:sz w:val="14"/>
                <w:szCs w:val="18"/>
              </w:rPr>
              <w:t>25,56</w:t>
            </w:r>
          </w:p>
        </w:tc>
      </w:tr>
      <w:tr w:rsidR="00D8302C" w:rsidRPr="0098629B" w14:paraId="135F885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8080EAE"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2.  Oil and natural gas</w:t>
            </w:r>
          </w:p>
        </w:tc>
        <w:tc>
          <w:tcPr>
            <w:tcW w:w="914" w:type="dxa"/>
            <w:tcBorders>
              <w:top w:val="nil"/>
              <w:left w:val="nil"/>
              <w:bottom w:val="single" w:sz="4" w:space="0" w:color="auto"/>
              <w:right w:val="single" w:sz="4" w:space="0" w:color="auto"/>
            </w:tcBorders>
            <w:shd w:val="clear" w:color="000000" w:fill="CCFFFF"/>
            <w:noWrap/>
            <w:vAlign w:val="bottom"/>
            <w:hideMark/>
          </w:tcPr>
          <w:p w14:paraId="2827FA0F" w14:textId="40D34BBA" w:rsidR="00D8302C" w:rsidRPr="0098629B" w:rsidRDefault="00D8302C" w:rsidP="00D8302C">
            <w:pPr>
              <w:jc w:val="right"/>
              <w:rPr>
                <w:rFonts w:ascii="Times New Roman" w:hAnsi="Times New Roman"/>
                <w:sz w:val="14"/>
                <w:szCs w:val="18"/>
              </w:rPr>
            </w:pPr>
            <w:r w:rsidRPr="0098629B">
              <w:rPr>
                <w:sz w:val="14"/>
                <w:szCs w:val="18"/>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20B0EAEA" w14:textId="5E68FCE4" w:rsidR="00D8302C" w:rsidRPr="0098629B" w:rsidRDefault="00D8302C" w:rsidP="00D8302C">
            <w:pPr>
              <w:jc w:val="right"/>
              <w:rPr>
                <w:rFonts w:ascii="Times New Roman" w:hAnsi="Times New Roman"/>
                <w:sz w:val="14"/>
                <w:szCs w:val="18"/>
              </w:rPr>
            </w:pPr>
            <w:r w:rsidRPr="0098629B">
              <w:rPr>
                <w:sz w:val="14"/>
                <w:szCs w:val="18"/>
              </w:rPr>
              <w:t>825,65</w:t>
            </w:r>
          </w:p>
        </w:tc>
        <w:tc>
          <w:tcPr>
            <w:tcW w:w="820" w:type="dxa"/>
            <w:tcBorders>
              <w:top w:val="nil"/>
              <w:left w:val="nil"/>
              <w:bottom w:val="single" w:sz="4" w:space="0" w:color="auto"/>
              <w:right w:val="single" w:sz="4" w:space="0" w:color="auto"/>
            </w:tcBorders>
            <w:shd w:val="clear" w:color="000000" w:fill="CCFFFF"/>
            <w:noWrap/>
            <w:vAlign w:val="bottom"/>
            <w:hideMark/>
          </w:tcPr>
          <w:p w14:paraId="3E30E834" w14:textId="1F9CBBA5" w:rsidR="00D8302C" w:rsidRPr="0098629B" w:rsidRDefault="00D8302C" w:rsidP="00D8302C">
            <w:pPr>
              <w:jc w:val="right"/>
              <w:rPr>
                <w:rFonts w:ascii="Times New Roman" w:hAnsi="Times New Roman"/>
                <w:sz w:val="14"/>
                <w:szCs w:val="18"/>
              </w:rPr>
            </w:pPr>
            <w:r w:rsidRPr="0098629B">
              <w:rPr>
                <w:sz w:val="14"/>
                <w:szCs w:val="18"/>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7548DA85" w14:textId="14BBF2A1"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6F41309" w14:textId="08AEE0EB"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C8AF757" w14:textId="27D957A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A3FB1DA" w14:textId="430DCD57"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896CB97" w14:textId="1637FE23"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C0D4011" w14:textId="685FDAAC" w:rsidR="00D8302C" w:rsidRPr="0098629B" w:rsidRDefault="00D8302C" w:rsidP="00D8302C">
            <w:pPr>
              <w:jc w:val="right"/>
              <w:rPr>
                <w:rFonts w:ascii="Times New Roman" w:hAnsi="Times New Roman"/>
                <w:sz w:val="14"/>
                <w:szCs w:val="18"/>
              </w:rPr>
            </w:pPr>
            <w:r w:rsidRPr="0098629B">
              <w:rPr>
                <w:sz w:val="14"/>
                <w:szCs w:val="18"/>
              </w:rPr>
              <w:t>3179,77</w:t>
            </w:r>
          </w:p>
        </w:tc>
      </w:tr>
      <w:tr w:rsidR="00D8302C" w:rsidRPr="0098629B" w14:paraId="39917E55"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2FE6C56" w14:textId="1E2B6F50"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 xml:space="preserve">C. </w:t>
            </w:r>
            <w:r w:rsidR="00811B0F" w:rsidRPr="0098629B">
              <w:rPr>
                <w:lang w:val="en-GB"/>
              </w:rPr>
              <w:t>CO</w:t>
            </w:r>
            <w:r w:rsidR="00811B0F" w:rsidRPr="0098629B">
              <w:rPr>
                <w:vertAlign w:val="subscript"/>
                <w:lang w:val="en-GB"/>
              </w:rPr>
              <w:t>2</w:t>
            </w:r>
            <w:r w:rsidRPr="0098629B">
              <w:rPr>
                <w:rFonts w:ascii="Times New Roman" w:hAnsi="Times New Roman"/>
                <w:sz w:val="14"/>
                <w:szCs w:val="18"/>
                <w:lang w:val="en-GB"/>
              </w:rPr>
              <w:t xml:space="preserve"> transport and storage</w:t>
            </w:r>
          </w:p>
        </w:tc>
        <w:tc>
          <w:tcPr>
            <w:tcW w:w="914" w:type="dxa"/>
            <w:tcBorders>
              <w:top w:val="nil"/>
              <w:left w:val="nil"/>
              <w:bottom w:val="single" w:sz="4" w:space="0" w:color="auto"/>
              <w:right w:val="single" w:sz="4" w:space="0" w:color="auto"/>
            </w:tcBorders>
            <w:shd w:val="clear" w:color="000000" w:fill="CCFFFF"/>
            <w:noWrap/>
            <w:vAlign w:val="bottom"/>
            <w:hideMark/>
          </w:tcPr>
          <w:p w14:paraId="058F0D51" w14:textId="157C5922" w:rsidR="00D8302C" w:rsidRPr="0098629B" w:rsidRDefault="00D8302C" w:rsidP="00D8302C">
            <w:pPr>
              <w:jc w:val="right"/>
              <w:rPr>
                <w:rFonts w:ascii="Times New Roman" w:hAnsi="Times New Roman"/>
                <w:sz w:val="14"/>
                <w:szCs w:val="18"/>
              </w:rPr>
            </w:pPr>
            <w:r w:rsidRPr="0098629B">
              <w:rPr>
                <w:sz w:val="14"/>
                <w:szCs w:val="18"/>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5BFE8962" w14:textId="2769FEB5"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EE94DD7" w14:textId="1A58132C"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75C17C1" w14:textId="324DD512"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3084178" w14:textId="1FCC6991"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EC48A2E" w14:textId="4D367675"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4F61500" w14:textId="57033C77"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F907870" w14:textId="7FFEC56D"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4695FEA" w14:textId="60B19ACE" w:rsidR="00D8302C" w:rsidRPr="0098629B" w:rsidRDefault="00D8302C" w:rsidP="00D8302C">
            <w:pPr>
              <w:jc w:val="right"/>
              <w:rPr>
                <w:rFonts w:ascii="Times New Roman" w:hAnsi="Times New Roman"/>
                <w:sz w:val="14"/>
                <w:szCs w:val="18"/>
              </w:rPr>
            </w:pPr>
            <w:r w:rsidRPr="0098629B">
              <w:rPr>
                <w:sz w:val="14"/>
                <w:szCs w:val="18"/>
              </w:rPr>
              <w:t>NO,NA</w:t>
            </w:r>
          </w:p>
        </w:tc>
      </w:tr>
      <w:tr w:rsidR="00D8302C" w:rsidRPr="0098629B" w14:paraId="31B4F7E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DA8530E" w14:textId="77777777" w:rsidR="00D8302C" w:rsidRPr="0098629B" w:rsidRDefault="00D8302C" w:rsidP="00D8302C">
            <w:pPr>
              <w:jc w:val="left"/>
              <w:rPr>
                <w:rFonts w:ascii="Times New Roman" w:hAnsi="Times New Roman"/>
                <w:b/>
                <w:bCs/>
                <w:sz w:val="14"/>
                <w:szCs w:val="18"/>
                <w:lang w:val="en-GB"/>
              </w:rPr>
            </w:pPr>
            <w:r w:rsidRPr="0098629B">
              <w:rPr>
                <w:rFonts w:ascii="Times New Roman" w:hAnsi="Times New Roman"/>
                <w:b/>
                <w:bCs/>
                <w:sz w:val="14"/>
                <w:szCs w:val="18"/>
                <w:lang w:val="en-GB"/>
              </w:rPr>
              <w:t>2.  Industrial processes and product use</w:t>
            </w:r>
          </w:p>
        </w:tc>
        <w:tc>
          <w:tcPr>
            <w:tcW w:w="914" w:type="dxa"/>
            <w:tcBorders>
              <w:top w:val="nil"/>
              <w:left w:val="nil"/>
              <w:bottom w:val="single" w:sz="4" w:space="0" w:color="auto"/>
              <w:right w:val="single" w:sz="4" w:space="0" w:color="auto"/>
            </w:tcBorders>
            <w:shd w:val="clear" w:color="000000" w:fill="CCFFFF"/>
            <w:noWrap/>
            <w:vAlign w:val="bottom"/>
            <w:hideMark/>
          </w:tcPr>
          <w:p w14:paraId="5D870132" w14:textId="6953EB4F" w:rsidR="00D8302C" w:rsidRPr="0098629B" w:rsidRDefault="00D8302C" w:rsidP="00D8302C">
            <w:pPr>
              <w:jc w:val="right"/>
              <w:rPr>
                <w:rFonts w:ascii="Times New Roman" w:hAnsi="Times New Roman"/>
                <w:sz w:val="14"/>
                <w:szCs w:val="18"/>
              </w:rPr>
            </w:pPr>
            <w:r w:rsidRPr="0098629B">
              <w:rPr>
                <w:sz w:val="14"/>
                <w:szCs w:val="18"/>
              </w:rPr>
              <w:t>26755,88</w:t>
            </w:r>
          </w:p>
        </w:tc>
        <w:tc>
          <w:tcPr>
            <w:tcW w:w="820" w:type="dxa"/>
            <w:tcBorders>
              <w:top w:val="nil"/>
              <w:left w:val="nil"/>
              <w:bottom w:val="single" w:sz="4" w:space="0" w:color="auto"/>
              <w:right w:val="single" w:sz="4" w:space="0" w:color="auto"/>
            </w:tcBorders>
            <w:shd w:val="clear" w:color="000000" w:fill="CCFFFF"/>
            <w:noWrap/>
            <w:vAlign w:val="bottom"/>
            <w:hideMark/>
          </w:tcPr>
          <w:p w14:paraId="1F45D573" w14:textId="1BBE1A3C" w:rsidR="00D8302C" w:rsidRPr="0098629B" w:rsidRDefault="00D8302C" w:rsidP="00D8302C">
            <w:pPr>
              <w:jc w:val="right"/>
              <w:rPr>
                <w:rFonts w:ascii="Times New Roman" w:hAnsi="Times New Roman"/>
                <w:sz w:val="14"/>
                <w:szCs w:val="18"/>
              </w:rPr>
            </w:pPr>
            <w:r w:rsidRPr="0098629B">
              <w:rPr>
                <w:sz w:val="14"/>
                <w:szCs w:val="18"/>
              </w:rPr>
              <w:t>57,12</w:t>
            </w:r>
          </w:p>
        </w:tc>
        <w:tc>
          <w:tcPr>
            <w:tcW w:w="820" w:type="dxa"/>
            <w:tcBorders>
              <w:top w:val="nil"/>
              <w:left w:val="nil"/>
              <w:bottom w:val="single" w:sz="4" w:space="0" w:color="auto"/>
              <w:right w:val="single" w:sz="4" w:space="0" w:color="auto"/>
            </w:tcBorders>
            <w:shd w:val="clear" w:color="000000" w:fill="CCFFFF"/>
            <w:noWrap/>
            <w:vAlign w:val="bottom"/>
            <w:hideMark/>
          </w:tcPr>
          <w:p w14:paraId="551A6109" w14:textId="3505DFD2" w:rsidR="00D8302C" w:rsidRPr="0098629B" w:rsidRDefault="00D8302C" w:rsidP="00D8302C">
            <w:pPr>
              <w:jc w:val="right"/>
              <w:rPr>
                <w:rFonts w:ascii="Times New Roman" w:hAnsi="Times New Roman"/>
                <w:sz w:val="14"/>
                <w:szCs w:val="18"/>
              </w:rPr>
            </w:pPr>
            <w:r w:rsidRPr="0098629B">
              <w:rPr>
                <w:sz w:val="14"/>
                <w:szCs w:val="18"/>
              </w:rPr>
              <w:t>741,71</w:t>
            </w:r>
          </w:p>
        </w:tc>
        <w:tc>
          <w:tcPr>
            <w:tcW w:w="820" w:type="dxa"/>
            <w:tcBorders>
              <w:top w:val="nil"/>
              <w:left w:val="nil"/>
              <w:bottom w:val="single" w:sz="4" w:space="0" w:color="auto"/>
              <w:right w:val="single" w:sz="4" w:space="0" w:color="auto"/>
            </w:tcBorders>
            <w:shd w:val="clear" w:color="000000" w:fill="CCFFFF"/>
            <w:noWrap/>
            <w:vAlign w:val="bottom"/>
            <w:hideMark/>
          </w:tcPr>
          <w:p w14:paraId="70098250" w14:textId="67B057FC" w:rsidR="00D8302C" w:rsidRPr="0098629B" w:rsidRDefault="00D8302C" w:rsidP="00D8302C">
            <w:pPr>
              <w:jc w:val="right"/>
              <w:rPr>
                <w:rFonts w:ascii="Times New Roman" w:hAnsi="Times New Roman"/>
                <w:sz w:val="14"/>
                <w:szCs w:val="18"/>
              </w:rPr>
            </w:pPr>
            <w:r w:rsidRPr="0098629B">
              <w:rPr>
                <w:sz w:val="14"/>
                <w:szCs w:val="18"/>
              </w:rPr>
              <w:t>11735,32</w:t>
            </w:r>
          </w:p>
        </w:tc>
        <w:tc>
          <w:tcPr>
            <w:tcW w:w="723" w:type="dxa"/>
            <w:tcBorders>
              <w:top w:val="nil"/>
              <w:left w:val="nil"/>
              <w:bottom w:val="single" w:sz="4" w:space="0" w:color="auto"/>
              <w:right w:val="single" w:sz="4" w:space="0" w:color="auto"/>
            </w:tcBorders>
            <w:shd w:val="clear" w:color="000000" w:fill="CCFFFF"/>
            <w:noWrap/>
            <w:vAlign w:val="bottom"/>
            <w:hideMark/>
          </w:tcPr>
          <w:p w14:paraId="37D9346B" w14:textId="0522611F" w:rsidR="00D8302C" w:rsidRPr="0098629B" w:rsidRDefault="00D8302C" w:rsidP="00D8302C">
            <w:pPr>
              <w:jc w:val="right"/>
              <w:rPr>
                <w:rFonts w:ascii="Times New Roman" w:hAnsi="Times New Roman"/>
                <w:sz w:val="14"/>
                <w:szCs w:val="18"/>
              </w:rPr>
            </w:pPr>
            <w:r w:rsidRPr="0098629B">
              <w:rPr>
                <w:sz w:val="14"/>
                <w:szCs w:val="18"/>
              </w:rPr>
              <w:t>543,49</w:t>
            </w:r>
          </w:p>
        </w:tc>
        <w:tc>
          <w:tcPr>
            <w:tcW w:w="723" w:type="dxa"/>
            <w:tcBorders>
              <w:top w:val="nil"/>
              <w:left w:val="nil"/>
              <w:bottom w:val="single" w:sz="4" w:space="0" w:color="auto"/>
              <w:right w:val="single" w:sz="4" w:space="0" w:color="auto"/>
            </w:tcBorders>
            <w:shd w:val="clear" w:color="000000" w:fill="CCFFFF"/>
            <w:noWrap/>
            <w:vAlign w:val="bottom"/>
            <w:hideMark/>
          </w:tcPr>
          <w:p w14:paraId="22BCC25E" w14:textId="4A105D21" w:rsidR="00D8302C" w:rsidRPr="0098629B" w:rsidRDefault="00D8302C" w:rsidP="00D8302C">
            <w:pPr>
              <w:jc w:val="right"/>
              <w:rPr>
                <w:rFonts w:ascii="Times New Roman" w:hAnsi="Times New Roman"/>
                <w:sz w:val="14"/>
                <w:szCs w:val="18"/>
              </w:rPr>
            </w:pPr>
            <w:r w:rsidRPr="0098629B">
              <w:rPr>
                <w:sz w:val="14"/>
                <w:szCs w:val="18"/>
              </w:rPr>
              <w:t>346,60</w:t>
            </w:r>
          </w:p>
        </w:tc>
        <w:tc>
          <w:tcPr>
            <w:tcW w:w="1276" w:type="dxa"/>
            <w:tcBorders>
              <w:top w:val="nil"/>
              <w:left w:val="nil"/>
              <w:bottom w:val="single" w:sz="4" w:space="0" w:color="auto"/>
              <w:right w:val="single" w:sz="4" w:space="0" w:color="auto"/>
            </w:tcBorders>
            <w:shd w:val="clear" w:color="000000" w:fill="CCFFFF"/>
            <w:noWrap/>
            <w:vAlign w:val="bottom"/>
            <w:hideMark/>
          </w:tcPr>
          <w:p w14:paraId="3E794D4A" w14:textId="31DD2AFC" w:rsidR="00D8302C" w:rsidRPr="0098629B" w:rsidRDefault="00D8302C" w:rsidP="00D8302C">
            <w:pPr>
              <w:jc w:val="right"/>
              <w:rPr>
                <w:rFonts w:ascii="Times New Roman" w:hAnsi="Times New Roman"/>
                <w:sz w:val="14"/>
                <w:szCs w:val="18"/>
              </w:rPr>
            </w:pPr>
            <w:r w:rsidRPr="0098629B">
              <w:rPr>
                <w:sz w:val="14"/>
                <w:szCs w:val="18"/>
              </w:rPr>
              <w:t>NO,NA</w:t>
            </w:r>
          </w:p>
        </w:tc>
        <w:tc>
          <w:tcPr>
            <w:tcW w:w="580" w:type="dxa"/>
            <w:tcBorders>
              <w:top w:val="nil"/>
              <w:left w:val="nil"/>
              <w:bottom w:val="single" w:sz="4" w:space="0" w:color="auto"/>
              <w:right w:val="single" w:sz="4" w:space="0" w:color="auto"/>
            </w:tcBorders>
            <w:shd w:val="clear" w:color="000000" w:fill="CCFFFF"/>
            <w:noWrap/>
            <w:vAlign w:val="bottom"/>
            <w:hideMark/>
          </w:tcPr>
          <w:p w14:paraId="4E96F21D" w14:textId="41B74A31" w:rsidR="00D8302C" w:rsidRPr="0098629B" w:rsidRDefault="00D8302C" w:rsidP="00D8302C">
            <w:pPr>
              <w:jc w:val="right"/>
              <w:rPr>
                <w:rFonts w:ascii="Times New Roman" w:hAnsi="Times New Roman"/>
                <w:sz w:val="14"/>
                <w:szCs w:val="18"/>
              </w:rPr>
            </w:pPr>
            <w:r w:rsidRPr="0098629B">
              <w:rPr>
                <w:sz w:val="14"/>
                <w:szCs w:val="18"/>
              </w:rPr>
              <w:t>8,54</w:t>
            </w:r>
          </w:p>
        </w:tc>
        <w:tc>
          <w:tcPr>
            <w:tcW w:w="976" w:type="dxa"/>
            <w:tcBorders>
              <w:top w:val="nil"/>
              <w:left w:val="nil"/>
              <w:bottom w:val="single" w:sz="4" w:space="0" w:color="auto"/>
              <w:right w:val="single" w:sz="4" w:space="0" w:color="auto"/>
            </w:tcBorders>
            <w:shd w:val="clear" w:color="000000" w:fill="CCFFFF"/>
            <w:noWrap/>
            <w:vAlign w:val="bottom"/>
            <w:hideMark/>
          </w:tcPr>
          <w:p w14:paraId="0FD32166" w14:textId="12717F10" w:rsidR="00D8302C" w:rsidRPr="0098629B" w:rsidRDefault="00D8302C" w:rsidP="00D8302C">
            <w:pPr>
              <w:jc w:val="right"/>
              <w:rPr>
                <w:rFonts w:ascii="Times New Roman" w:hAnsi="Times New Roman"/>
                <w:sz w:val="14"/>
                <w:szCs w:val="18"/>
              </w:rPr>
            </w:pPr>
            <w:r w:rsidRPr="0098629B">
              <w:rPr>
                <w:sz w:val="14"/>
                <w:szCs w:val="18"/>
              </w:rPr>
              <w:t>40188,67</w:t>
            </w:r>
          </w:p>
        </w:tc>
      </w:tr>
      <w:tr w:rsidR="00D8302C" w:rsidRPr="0098629B" w14:paraId="663F0874"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6966AED"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A.  Mineral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5390C70F" w14:textId="3457B27D" w:rsidR="00D8302C" w:rsidRPr="0098629B" w:rsidRDefault="00D8302C" w:rsidP="00D8302C">
            <w:pPr>
              <w:jc w:val="right"/>
              <w:rPr>
                <w:rFonts w:ascii="Times New Roman" w:hAnsi="Times New Roman"/>
                <w:sz w:val="14"/>
                <w:szCs w:val="18"/>
              </w:rPr>
            </w:pPr>
            <w:r w:rsidRPr="0098629B">
              <w:rPr>
                <w:sz w:val="14"/>
                <w:szCs w:val="18"/>
              </w:rPr>
              <w:t>9082,96</w:t>
            </w:r>
          </w:p>
        </w:tc>
        <w:tc>
          <w:tcPr>
            <w:tcW w:w="820" w:type="dxa"/>
            <w:tcBorders>
              <w:top w:val="nil"/>
              <w:left w:val="nil"/>
              <w:bottom w:val="single" w:sz="4" w:space="0" w:color="auto"/>
              <w:right w:val="single" w:sz="4" w:space="0" w:color="auto"/>
            </w:tcBorders>
            <w:shd w:val="clear" w:color="000000" w:fill="969696"/>
            <w:noWrap/>
            <w:vAlign w:val="bottom"/>
            <w:hideMark/>
          </w:tcPr>
          <w:p w14:paraId="743176CB" w14:textId="46BF3C4A"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8A73C9D" w14:textId="00DE4C05"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2CD180C" w14:textId="6E7EC43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1204301" w14:textId="56C12893"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DB72B25" w14:textId="33E8263D"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6FF039C" w14:textId="361781E7"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03A3C76" w14:textId="19FF99ED"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52E249A" w14:textId="6971E9B1" w:rsidR="00D8302C" w:rsidRPr="0098629B" w:rsidRDefault="00D8302C" w:rsidP="00D8302C">
            <w:pPr>
              <w:jc w:val="right"/>
              <w:rPr>
                <w:rFonts w:ascii="Times New Roman" w:hAnsi="Times New Roman"/>
                <w:sz w:val="14"/>
                <w:szCs w:val="18"/>
              </w:rPr>
            </w:pPr>
            <w:r w:rsidRPr="0098629B">
              <w:rPr>
                <w:sz w:val="14"/>
                <w:szCs w:val="18"/>
              </w:rPr>
              <w:t>9082,96</w:t>
            </w:r>
          </w:p>
        </w:tc>
      </w:tr>
      <w:tr w:rsidR="00D8302C" w:rsidRPr="0098629B" w14:paraId="06E7B6F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B343092"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B.  Chemical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3C381021" w14:textId="0E2E640F" w:rsidR="00D8302C" w:rsidRPr="0098629B" w:rsidRDefault="00D8302C" w:rsidP="00D8302C">
            <w:pPr>
              <w:jc w:val="right"/>
              <w:rPr>
                <w:rFonts w:ascii="Times New Roman" w:hAnsi="Times New Roman"/>
                <w:sz w:val="14"/>
                <w:szCs w:val="18"/>
              </w:rPr>
            </w:pPr>
            <w:r w:rsidRPr="0098629B">
              <w:rPr>
                <w:sz w:val="14"/>
                <w:szCs w:val="18"/>
              </w:rPr>
              <w:t>6282,91</w:t>
            </w:r>
          </w:p>
        </w:tc>
        <w:tc>
          <w:tcPr>
            <w:tcW w:w="820" w:type="dxa"/>
            <w:tcBorders>
              <w:top w:val="nil"/>
              <w:left w:val="nil"/>
              <w:bottom w:val="single" w:sz="4" w:space="0" w:color="auto"/>
              <w:right w:val="single" w:sz="4" w:space="0" w:color="auto"/>
            </w:tcBorders>
            <w:shd w:val="clear" w:color="000000" w:fill="CCFFFF"/>
            <w:noWrap/>
            <w:vAlign w:val="bottom"/>
            <w:hideMark/>
          </w:tcPr>
          <w:p w14:paraId="4DCF9994" w14:textId="27BEED45" w:rsidR="00D8302C" w:rsidRPr="0098629B" w:rsidRDefault="00D8302C" w:rsidP="00D8302C">
            <w:pPr>
              <w:jc w:val="right"/>
              <w:rPr>
                <w:rFonts w:ascii="Times New Roman" w:hAnsi="Times New Roman"/>
                <w:sz w:val="14"/>
                <w:szCs w:val="18"/>
              </w:rPr>
            </w:pPr>
            <w:r w:rsidRPr="0098629B">
              <w:rPr>
                <w:sz w:val="14"/>
                <w:szCs w:val="18"/>
              </w:rPr>
              <w:t>31,24</w:t>
            </w:r>
          </w:p>
        </w:tc>
        <w:tc>
          <w:tcPr>
            <w:tcW w:w="820" w:type="dxa"/>
            <w:tcBorders>
              <w:top w:val="nil"/>
              <w:left w:val="nil"/>
              <w:bottom w:val="single" w:sz="4" w:space="0" w:color="auto"/>
              <w:right w:val="single" w:sz="4" w:space="0" w:color="auto"/>
            </w:tcBorders>
            <w:shd w:val="clear" w:color="000000" w:fill="CCFFFF"/>
            <w:noWrap/>
            <w:vAlign w:val="bottom"/>
            <w:hideMark/>
          </w:tcPr>
          <w:p w14:paraId="3043A992" w14:textId="5C924982" w:rsidR="00D8302C" w:rsidRPr="0098629B" w:rsidRDefault="00D8302C" w:rsidP="00D8302C">
            <w:pPr>
              <w:jc w:val="right"/>
              <w:rPr>
                <w:rFonts w:ascii="Times New Roman" w:hAnsi="Times New Roman"/>
                <w:sz w:val="14"/>
                <w:szCs w:val="18"/>
              </w:rPr>
            </w:pPr>
            <w:r w:rsidRPr="0098629B">
              <w:rPr>
                <w:sz w:val="14"/>
                <w:szCs w:val="18"/>
              </w:rPr>
              <w:t>606,27</w:t>
            </w:r>
          </w:p>
        </w:tc>
        <w:tc>
          <w:tcPr>
            <w:tcW w:w="820" w:type="dxa"/>
            <w:tcBorders>
              <w:top w:val="nil"/>
              <w:left w:val="nil"/>
              <w:bottom w:val="single" w:sz="4" w:space="0" w:color="auto"/>
              <w:right w:val="single" w:sz="4" w:space="0" w:color="auto"/>
            </w:tcBorders>
            <w:shd w:val="clear" w:color="000000" w:fill="CCFFFF"/>
            <w:noWrap/>
            <w:vAlign w:val="bottom"/>
            <w:hideMark/>
          </w:tcPr>
          <w:p w14:paraId="2ECD019C" w14:textId="6BF82422" w:rsidR="00D8302C" w:rsidRPr="0098629B" w:rsidRDefault="00D8302C" w:rsidP="00D8302C">
            <w:pPr>
              <w:jc w:val="right"/>
              <w:rPr>
                <w:rFonts w:ascii="Times New Roman" w:hAnsi="Times New Roman"/>
                <w:sz w:val="14"/>
                <w:szCs w:val="18"/>
              </w:rPr>
            </w:pPr>
            <w:r w:rsidRPr="0098629B">
              <w:rPr>
                <w:sz w:val="14"/>
                <w:szCs w:val="18"/>
              </w:rPr>
              <w:t>94,45</w:t>
            </w:r>
          </w:p>
        </w:tc>
        <w:tc>
          <w:tcPr>
            <w:tcW w:w="723" w:type="dxa"/>
            <w:tcBorders>
              <w:top w:val="nil"/>
              <w:left w:val="nil"/>
              <w:bottom w:val="single" w:sz="4" w:space="0" w:color="auto"/>
              <w:right w:val="single" w:sz="4" w:space="0" w:color="auto"/>
            </w:tcBorders>
            <w:shd w:val="clear" w:color="000000" w:fill="CCFFFF"/>
            <w:noWrap/>
            <w:vAlign w:val="bottom"/>
            <w:hideMark/>
          </w:tcPr>
          <w:p w14:paraId="09C380A9" w14:textId="72D5AA8A" w:rsidR="00D8302C" w:rsidRPr="0098629B" w:rsidRDefault="00D8302C" w:rsidP="00D8302C">
            <w:pPr>
              <w:jc w:val="right"/>
              <w:rPr>
                <w:rFonts w:ascii="Times New Roman" w:hAnsi="Times New Roman"/>
                <w:sz w:val="14"/>
                <w:szCs w:val="18"/>
              </w:rPr>
            </w:pPr>
            <w:r w:rsidRPr="0098629B">
              <w:rPr>
                <w:sz w:val="14"/>
                <w:szCs w:val="18"/>
              </w:rPr>
              <w:t>NO,NA</w:t>
            </w:r>
          </w:p>
        </w:tc>
        <w:tc>
          <w:tcPr>
            <w:tcW w:w="723" w:type="dxa"/>
            <w:tcBorders>
              <w:top w:val="nil"/>
              <w:left w:val="nil"/>
              <w:bottom w:val="single" w:sz="4" w:space="0" w:color="auto"/>
              <w:right w:val="single" w:sz="4" w:space="0" w:color="auto"/>
            </w:tcBorders>
            <w:shd w:val="clear" w:color="000000" w:fill="CCFFFF"/>
            <w:noWrap/>
            <w:vAlign w:val="bottom"/>
            <w:hideMark/>
          </w:tcPr>
          <w:p w14:paraId="2C2B95B5" w14:textId="33351329" w:rsidR="00D8302C" w:rsidRPr="0098629B" w:rsidRDefault="00D8302C" w:rsidP="00D8302C">
            <w:pPr>
              <w:jc w:val="right"/>
              <w:rPr>
                <w:rFonts w:ascii="Times New Roman" w:hAnsi="Times New Roman"/>
                <w:sz w:val="14"/>
                <w:szCs w:val="18"/>
              </w:rPr>
            </w:pPr>
            <w:r w:rsidRPr="0098629B">
              <w:rPr>
                <w:sz w:val="14"/>
                <w:szCs w:val="18"/>
              </w:rPr>
              <w:t>NO,NA</w:t>
            </w:r>
          </w:p>
        </w:tc>
        <w:tc>
          <w:tcPr>
            <w:tcW w:w="1276" w:type="dxa"/>
            <w:tcBorders>
              <w:top w:val="nil"/>
              <w:left w:val="nil"/>
              <w:bottom w:val="single" w:sz="4" w:space="0" w:color="auto"/>
              <w:right w:val="single" w:sz="4" w:space="0" w:color="auto"/>
            </w:tcBorders>
            <w:shd w:val="clear" w:color="000000" w:fill="CCFFFF"/>
            <w:noWrap/>
            <w:vAlign w:val="bottom"/>
            <w:hideMark/>
          </w:tcPr>
          <w:p w14:paraId="1F1B1114" w14:textId="53CF4AF5" w:rsidR="00D8302C" w:rsidRPr="0098629B" w:rsidRDefault="00D8302C" w:rsidP="00D8302C">
            <w:pPr>
              <w:jc w:val="right"/>
              <w:rPr>
                <w:rFonts w:ascii="Times New Roman" w:hAnsi="Times New Roman"/>
                <w:sz w:val="14"/>
                <w:szCs w:val="18"/>
              </w:rPr>
            </w:pPr>
            <w:r w:rsidRPr="0098629B">
              <w:rPr>
                <w:sz w:val="14"/>
                <w:szCs w:val="18"/>
              </w:rPr>
              <w:t>NO,NA</w:t>
            </w:r>
          </w:p>
        </w:tc>
        <w:tc>
          <w:tcPr>
            <w:tcW w:w="580" w:type="dxa"/>
            <w:tcBorders>
              <w:top w:val="nil"/>
              <w:left w:val="nil"/>
              <w:bottom w:val="single" w:sz="4" w:space="0" w:color="auto"/>
              <w:right w:val="single" w:sz="4" w:space="0" w:color="auto"/>
            </w:tcBorders>
            <w:shd w:val="clear" w:color="000000" w:fill="CCFFFF"/>
            <w:noWrap/>
            <w:vAlign w:val="bottom"/>
            <w:hideMark/>
          </w:tcPr>
          <w:p w14:paraId="6C6AFB50" w14:textId="68BA4E8E" w:rsidR="00D8302C" w:rsidRPr="0098629B" w:rsidRDefault="00D8302C" w:rsidP="00D8302C">
            <w:pPr>
              <w:jc w:val="right"/>
              <w:rPr>
                <w:rFonts w:ascii="Times New Roman" w:hAnsi="Times New Roman"/>
                <w:sz w:val="14"/>
                <w:szCs w:val="18"/>
              </w:rPr>
            </w:pPr>
            <w:r w:rsidRPr="0098629B">
              <w:rPr>
                <w:sz w:val="14"/>
                <w:szCs w:val="18"/>
              </w:rPr>
              <w:t>NO,NA</w:t>
            </w:r>
          </w:p>
        </w:tc>
        <w:tc>
          <w:tcPr>
            <w:tcW w:w="976" w:type="dxa"/>
            <w:tcBorders>
              <w:top w:val="nil"/>
              <w:left w:val="nil"/>
              <w:bottom w:val="single" w:sz="4" w:space="0" w:color="auto"/>
              <w:right w:val="single" w:sz="4" w:space="0" w:color="auto"/>
            </w:tcBorders>
            <w:shd w:val="clear" w:color="000000" w:fill="CCFFFF"/>
            <w:noWrap/>
            <w:vAlign w:val="bottom"/>
            <w:hideMark/>
          </w:tcPr>
          <w:p w14:paraId="5F381E1A" w14:textId="03CCCE28" w:rsidR="00D8302C" w:rsidRPr="0098629B" w:rsidRDefault="00D8302C" w:rsidP="00D8302C">
            <w:pPr>
              <w:jc w:val="right"/>
              <w:rPr>
                <w:rFonts w:ascii="Times New Roman" w:hAnsi="Times New Roman"/>
                <w:sz w:val="14"/>
                <w:szCs w:val="18"/>
              </w:rPr>
            </w:pPr>
            <w:r w:rsidRPr="0098629B">
              <w:rPr>
                <w:sz w:val="14"/>
                <w:szCs w:val="18"/>
              </w:rPr>
              <w:t>7014,86</w:t>
            </w:r>
          </w:p>
        </w:tc>
      </w:tr>
      <w:tr w:rsidR="00D8302C" w:rsidRPr="0098629B" w14:paraId="515796EF"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26314AD"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C.  Metal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2E1CD663" w14:textId="1769FA72" w:rsidR="00D8302C" w:rsidRPr="0098629B" w:rsidRDefault="00D8302C" w:rsidP="00D8302C">
            <w:pPr>
              <w:jc w:val="right"/>
              <w:rPr>
                <w:rFonts w:ascii="Times New Roman" w:hAnsi="Times New Roman"/>
                <w:sz w:val="14"/>
                <w:szCs w:val="18"/>
              </w:rPr>
            </w:pPr>
            <w:r w:rsidRPr="0098629B">
              <w:rPr>
                <w:sz w:val="14"/>
                <w:szCs w:val="18"/>
              </w:rPr>
              <w:t>9862,56</w:t>
            </w:r>
          </w:p>
        </w:tc>
        <w:tc>
          <w:tcPr>
            <w:tcW w:w="820" w:type="dxa"/>
            <w:tcBorders>
              <w:top w:val="nil"/>
              <w:left w:val="nil"/>
              <w:bottom w:val="single" w:sz="4" w:space="0" w:color="auto"/>
              <w:right w:val="single" w:sz="4" w:space="0" w:color="auto"/>
            </w:tcBorders>
            <w:shd w:val="clear" w:color="000000" w:fill="CCFFFF"/>
            <w:noWrap/>
            <w:vAlign w:val="bottom"/>
            <w:hideMark/>
          </w:tcPr>
          <w:p w14:paraId="23596DE2" w14:textId="0A23E437" w:rsidR="00D8302C" w:rsidRPr="0098629B" w:rsidRDefault="00D8302C" w:rsidP="00D8302C">
            <w:pPr>
              <w:jc w:val="right"/>
              <w:rPr>
                <w:rFonts w:ascii="Times New Roman" w:hAnsi="Times New Roman"/>
                <w:sz w:val="14"/>
                <w:szCs w:val="18"/>
              </w:rPr>
            </w:pPr>
            <w:r w:rsidRPr="0098629B">
              <w:rPr>
                <w:sz w:val="14"/>
                <w:szCs w:val="18"/>
              </w:rPr>
              <w:t>25,64</w:t>
            </w:r>
          </w:p>
        </w:tc>
        <w:tc>
          <w:tcPr>
            <w:tcW w:w="820" w:type="dxa"/>
            <w:tcBorders>
              <w:top w:val="nil"/>
              <w:left w:val="nil"/>
              <w:bottom w:val="single" w:sz="4" w:space="0" w:color="auto"/>
              <w:right w:val="single" w:sz="4" w:space="0" w:color="auto"/>
            </w:tcBorders>
            <w:shd w:val="clear" w:color="000000" w:fill="CCFFFF"/>
            <w:noWrap/>
            <w:vAlign w:val="bottom"/>
            <w:hideMark/>
          </w:tcPr>
          <w:p w14:paraId="38D94062" w14:textId="1E35D45C"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0187BBCF" w14:textId="0787407E" w:rsidR="00D8302C" w:rsidRPr="0098629B" w:rsidRDefault="00D8302C" w:rsidP="00D8302C">
            <w:pPr>
              <w:jc w:val="right"/>
              <w:rPr>
                <w:rFonts w:ascii="Times New Roman" w:hAnsi="Times New Roman"/>
                <w:sz w:val="14"/>
                <w:szCs w:val="18"/>
              </w:rPr>
            </w:pPr>
            <w:r w:rsidRPr="0098629B">
              <w:rPr>
                <w:sz w:val="14"/>
                <w:szCs w:val="18"/>
              </w:rPr>
              <w:t>NO,IE</w:t>
            </w:r>
          </w:p>
        </w:tc>
        <w:tc>
          <w:tcPr>
            <w:tcW w:w="723" w:type="dxa"/>
            <w:tcBorders>
              <w:top w:val="nil"/>
              <w:left w:val="nil"/>
              <w:bottom w:val="single" w:sz="4" w:space="0" w:color="auto"/>
              <w:right w:val="single" w:sz="4" w:space="0" w:color="auto"/>
            </w:tcBorders>
            <w:shd w:val="clear" w:color="000000" w:fill="CCFFFF"/>
            <w:noWrap/>
            <w:vAlign w:val="bottom"/>
            <w:hideMark/>
          </w:tcPr>
          <w:p w14:paraId="4F3C9D42" w14:textId="29FC1FF7" w:rsidR="00D8302C" w:rsidRPr="0098629B" w:rsidRDefault="00D8302C" w:rsidP="00D8302C">
            <w:pPr>
              <w:jc w:val="right"/>
              <w:rPr>
                <w:rFonts w:ascii="Times New Roman" w:hAnsi="Times New Roman"/>
                <w:sz w:val="14"/>
                <w:szCs w:val="18"/>
              </w:rPr>
            </w:pPr>
            <w:r w:rsidRPr="0098629B">
              <w:rPr>
                <w:sz w:val="14"/>
                <w:szCs w:val="18"/>
              </w:rPr>
              <w:t>61,33</w:t>
            </w:r>
          </w:p>
        </w:tc>
        <w:tc>
          <w:tcPr>
            <w:tcW w:w="723" w:type="dxa"/>
            <w:tcBorders>
              <w:top w:val="nil"/>
              <w:left w:val="nil"/>
              <w:bottom w:val="single" w:sz="4" w:space="0" w:color="auto"/>
              <w:right w:val="single" w:sz="4" w:space="0" w:color="auto"/>
            </w:tcBorders>
            <w:shd w:val="clear" w:color="000000" w:fill="CCFFFF"/>
            <w:noWrap/>
            <w:vAlign w:val="bottom"/>
            <w:hideMark/>
          </w:tcPr>
          <w:p w14:paraId="6369DB7F" w14:textId="1C448577" w:rsidR="00D8302C" w:rsidRPr="0098629B" w:rsidRDefault="00D8302C" w:rsidP="00D8302C">
            <w:pPr>
              <w:jc w:val="right"/>
              <w:rPr>
                <w:rFonts w:ascii="Times New Roman" w:hAnsi="Times New Roman"/>
                <w:sz w:val="14"/>
                <w:szCs w:val="18"/>
              </w:rPr>
            </w:pPr>
            <w:r w:rsidRPr="0098629B">
              <w:rPr>
                <w:sz w:val="14"/>
                <w:szCs w:val="18"/>
              </w:rPr>
              <w:t>7,66</w:t>
            </w:r>
          </w:p>
        </w:tc>
        <w:tc>
          <w:tcPr>
            <w:tcW w:w="1276" w:type="dxa"/>
            <w:tcBorders>
              <w:top w:val="nil"/>
              <w:left w:val="nil"/>
              <w:bottom w:val="single" w:sz="4" w:space="0" w:color="auto"/>
              <w:right w:val="single" w:sz="4" w:space="0" w:color="auto"/>
            </w:tcBorders>
            <w:shd w:val="clear" w:color="000000" w:fill="CCFFFF"/>
            <w:noWrap/>
            <w:vAlign w:val="bottom"/>
            <w:hideMark/>
          </w:tcPr>
          <w:p w14:paraId="6F16795D" w14:textId="03AB810E" w:rsidR="00D8302C" w:rsidRPr="0098629B" w:rsidRDefault="00D8302C" w:rsidP="00D8302C">
            <w:pPr>
              <w:jc w:val="right"/>
              <w:rPr>
                <w:rFonts w:ascii="Times New Roman" w:hAnsi="Times New Roman"/>
                <w:sz w:val="14"/>
                <w:szCs w:val="18"/>
              </w:rPr>
            </w:pPr>
            <w:r w:rsidRPr="0098629B">
              <w:rPr>
                <w:sz w:val="14"/>
                <w:szCs w:val="18"/>
              </w:rPr>
              <w:t>NO</w:t>
            </w:r>
          </w:p>
        </w:tc>
        <w:tc>
          <w:tcPr>
            <w:tcW w:w="580" w:type="dxa"/>
            <w:tcBorders>
              <w:top w:val="nil"/>
              <w:left w:val="nil"/>
              <w:bottom w:val="single" w:sz="4" w:space="0" w:color="auto"/>
              <w:right w:val="single" w:sz="4" w:space="0" w:color="auto"/>
            </w:tcBorders>
            <w:shd w:val="clear" w:color="000000" w:fill="CCFFFF"/>
            <w:noWrap/>
            <w:vAlign w:val="bottom"/>
            <w:hideMark/>
          </w:tcPr>
          <w:p w14:paraId="4C3AEA02" w14:textId="605C6EBC"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B302712" w14:textId="083DF589" w:rsidR="00D8302C" w:rsidRPr="0098629B" w:rsidRDefault="00D8302C" w:rsidP="00D8302C">
            <w:pPr>
              <w:jc w:val="right"/>
              <w:rPr>
                <w:rFonts w:ascii="Times New Roman" w:hAnsi="Times New Roman"/>
                <w:sz w:val="14"/>
                <w:szCs w:val="18"/>
              </w:rPr>
            </w:pPr>
            <w:r w:rsidRPr="0098629B">
              <w:rPr>
                <w:sz w:val="14"/>
                <w:szCs w:val="18"/>
              </w:rPr>
              <w:t>9957,18</w:t>
            </w:r>
          </w:p>
        </w:tc>
      </w:tr>
      <w:tr w:rsidR="00D8302C" w:rsidRPr="0098629B" w14:paraId="5CFDACF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28462DE9"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D.  Non-energy products from fuels and solvent use</w:t>
            </w:r>
          </w:p>
        </w:tc>
        <w:tc>
          <w:tcPr>
            <w:tcW w:w="914" w:type="dxa"/>
            <w:tcBorders>
              <w:top w:val="nil"/>
              <w:left w:val="nil"/>
              <w:bottom w:val="single" w:sz="4" w:space="0" w:color="auto"/>
              <w:right w:val="single" w:sz="4" w:space="0" w:color="auto"/>
            </w:tcBorders>
            <w:shd w:val="clear" w:color="000000" w:fill="CCFFFF"/>
            <w:noWrap/>
            <w:vAlign w:val="bottom"/>
            <w:hideMark/>
          </w:tcPr>
          <w:p w14:paraId="275C0A61" w14:textId="68231B07" w:rsidR="00D8302C" w:rsidRPr="0098629B" w:rsidRDefault="00D8302C" w:rsidP="00D8302C">
            <w:pPr>
              <w:jc w:val="right"/>
              <w:rPr>
                <w:rFonts w:ascii="Times New Roman" w:hAnsi="Times New Roman"/>
                <w:sz w:val="14"/>
                <w:szCs w:val="18"/>
              </w:rPr>
            </w:pPr>
            <w:r w:rsidRPr="0098629B">
              <w:rPr>
                <w:sz w:val="14"/>
                <w:szCs w:val="18"/>
              </w:rPr>
              <w:t>1067,63</w:t>
            </w:r>
          </w:p>
        </w:tc>
        <w:tc>
          <w:tcPr>
            <w:tcW w:w="820" w:type="dxa"/>
            <w:tcBorders>
              <w:top w:val="nil"/>
              <w:left w:val="nil"/>
              <w:bottom w:val="single" w:sz="4" w:space="0" w:color="auto"/>
              <w:right w:val="single" w:sz="4" w:space="0" w:color="auto"/>
            </w:tcBorders>
            <w:shd w:val="clear" w:color="000000" w:fill="CCFFFF"/>
            <w:noWrap/>
            <w:vAlign w:val="bottom"/>
            <w:hideMark/>
          </w:tcPr>
          <w:p w14:paraId="1106F0B3" w14:textId="5734EF72" w:rsidR="00D8302C" w:rsidRPr="0098629B" w:rsidRDefault="00D8302C" w:rsidP="00D8302C">
            <w:pPr>
              <w:jc w:val="right"/>
              <w:rPr>
                <w:rFonts w:ascii="Times New Roman" w:hAnsi="Times New Roman"/>
                <w:sz w:val="14"/>
                <w:szCs w:val="18"/>
              </w:rPr>
            </w:pPr>
            <w:r w:rsidRPr="0098629B">
              <w:rPr>
                <w:sz w:val="14"/>
                <w:szCs w:val="18"/>
              </w:rPr>
              <w:t>0,24</w:t>
            </w:r>
          </w:p>
        </w:tc>
        <w:tc>
          <w:tcPr>
            <w:tcW w:w="820" w:type="dxa"/>
            <w:tcBorders>
              <w:top w:val="nil"/>
              <w:left w:val="nil"/>
              <w:bottom w:val="single" w:sz="4" w:space="0" w:color="auto"/>
              <w:right w:val="single" w:sz="4" w:space="0" w:color="auto"/>
            </w:tcBorders>
            <w:shd w:val="clear" w:color="000000" w:fill="CCFFFF"/>
            <w:noWrap/>
            <w:vAlign w:val="bottom"/>
            <w:hideMark/>
          </w:tcPr>
          <w:p w14:paraId="524CC51D" w14:textId="48E27634" w:rsidR="00D8302C" w:rsidRPr="0098629B" w:rsidRDefault="00D8302C" w:rsidP="00D8302C">
            <w:pPr>
              <w:jc w:val="right"/>
              <w:rPr>
                <w:rFonts w:ascii="Times New Roman" w:hAnsi="Times New Roman"/>
                <w:sz w:val="14"/>
                <w:szCs w:val="18"/>
              </w:rPr>
            </w:pPr>
            <w:r w:rsidRPr="0098629B">
              <w:rPr>
                <w:sz w:val="14"/>
                <w:szCs w:val="18"/>
              </w:rPr>
              <w:t>2,01</w:t>
            </w:r>
          </w:p>
        </w:tc>
        <w:tc>
          <w:tcPr>
            <w:tcW w:w="820" w:type="dxa"/>
            <w:tcBorders>
              <w:top w:val="nil"/>
              <w:left w:val="nil"/>
              <w:bottom w:val="single" w:sz="4" w:space="0" w:color="auto"/>
              <w:right w:val="single" w:sz="4" w:space="0" w:color="auto"/>
            </w:tcBorders>
            <w:shd w:val="clear" w:color="000000" w:fill="969696"/>
            <w:noWrap/>
            <w:vAlign w:val="bottom"/>
            <w:hideMark/>
          </w:tcPr>
          <w:p w14:paraId="6632CB51" w14:textId="74608EF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5AEBDD7" w14:textId="7A18C35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BB5ABA8" w14:textId="2068D04C"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38741F7" w14:textId="0CDBC8B9"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6FA9D2F" w14:textId="0EB6F0FD"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76D08F6" w14:textId="2BC4AA78" w:rsidR="00D8302C" w:rsidRPr="0098629B" w:rsidRDefault="00D8302C" w:rsidP="00D8302C">
            <w:pPr>
              <w:jc w:val="right"/>
              <w:rPr>
                <w:rFonts w:ascii="Times New Roman" w:hAnsi="Times New Roman"/>
                <w:sz w:val="14"/>
                <w:szCs w:val="18"/>
              </w:rPr>
            </w:pPr>
            <w:r w:rsidRPr="0098629B">
              <w:rPr>
                <w:sz w:val="14"/>
                <w:szCs w:val="18"/>
              </w:rPr>
              <w:t>1069,88</w:t>
            </w:r>
          </w:p>
        </w:tc>
      </w:tr>
      <w:tr w:rsidR="00D8302C" w:rsidRPr="0098629B" w14:paraId="791AE77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0AE26E22"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 xml:space="preserve">E.  Electronic Industry </w:t>
            </w:r>
          </w:p>
        </w:tc>
        <w:tc>
          <w:tcPr>
            <w:tcW w:w="914" w:type="dxa"/>
            <w:tcBorders>
              <w:top w:val="nil"/>
              <w:left w:val="nil"/>
              <w:bottom w:val="single" w:sz="4" w:space="0" w:color="auto"/>
              <w:right w:val="single" w:sz="4" w:space="0" w:color="auto"/>
            </w:tcBorders>
            <w:shd w:val="clear" w:color="000000" w:fill="969696"/>
            <w:noWrap/>
            <w:vAlign w:val="bottom"/>
            <w:hideMark/>
          </w:tcPr>
          <w:p w14:paraId="2BA7CA5F" w14:textId="68FAC71F"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F0B64F1" w14:textId="1797F0C5"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32C67DD" w14:textId="0313FD1E"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69995BDB" w14:textId="6BF9524A" w:rsidR="00D8302C" w:rsidRPr="0098629B" w:rsidRDefault="00D8302C" w:rsidP="00D8302C">
            <w:pPr>
              <w:jc w:val="right"/>
              <w:rPr>
                <w:rFonts w:ascii="Times New Roman" w:hAnsi="Times New Roman"/>
                <w:sz w:val="14"/>
                <w:szCs w:val="18"/>
              </w:rPr>
            </w:pPr>
            <w:r w:rsidRPr="0098629B">
              <w:rPr>
                <w:sz w:val="14"/>
                <w:szCs w:val="18"/>
              </w:rPr>
              <w:t>6,62</w:t>
            </w:r>
          </w:p>
        </w:tc>
        <w:tc>
          <w:tcPr>
            <w:tcW w:w="723" w:type="dxa"/>
            <w:tcBorders>
              <w:top w:val="nil"/>
              <w:left w:val="nil"/>
              <w:bottom w:val="single" w:sz="4" w:space="0" w:color="auto"/>
              <w:right w:val="single" w:sz="4" w:space="0" w:color="auto"/>
            </w:tcBorders>
            <w:shd w:val="clear" w:color="000000" w:fill="CCFFFF"/>
            <w:noWrap/>
            <w:vAlign w:val="bottom"/>
            <w:hideMark/>
          </w:tcPr>
          <w:p w14:paraId="3B65C0D8" w14:textId="0B9185CF" w:rsidR="00D8302C" w:rsidRPr="0098629B" w:rsidRDefault="00D8302C" w:rsidP="00D8302C">
            <w:pPr>
              <w:jc w:val="right"/>
              <w:rPr>
                <w:rFonts w:ascii="Times New Roman" w:hAnsi="Times New Roman"/>
                <w:sz w:val="14"/>
                <w:szCs w:val="18"/>
              </w:rPr>
            </w:pPr>
            <w:r w:rsidRPr="0098629B">
              <w:rPr>
                <w:sz w:val="14"/>
                <w:szCs w:val="18"/>
              </w:rPr>
              <w:t>77,41</w:t>
            </w:r>
          </w:p>
        </w:tc>
        <w:tc>
          <w:tcPr>
            <w:tcW w:w="723" w:type="dxa"/>
            <w:tcBorders>
              <w:top w:val="nil"/>
              <w:left w:val="nil"/>
              <w:bottom w:val="single" w:sz="4" w:space="0" w:color="auto"/>
              <w:right w:val="single" w:sz="4" w:space="0" w:color="auto"/>
            </w:tcBorders>
            <w:shd w:val="clear" w:color="000000" w:fill="CCFFFF"/>
            <w:noWrap/>
            <w:vAlign w:val="bottom"/>
            <w:hideMark/>
          </w:tcPr>
          <w:p w14:paraId="49A3E19B" w14:textId="39910394" w:rsidR="00D8302C" w:rsidRPr="0098629B" w:rsidRDefault="00D8302C" w:rsidP="00D8302C">
            <w:pPr>
              <w:jc w:val="right"/>
              <w:rPr>
                <w:rFonts w:ascii="Times New Roman" w:hAnsi="Times New Roman"/>
                <w:sz w:val="14"/>
                <w:szCs w:val="18"/>
              </w:rPr>
            </w:pPr>
            <w:r w:rsidRPr="0098629B">
              <w:rPr>
                <w:sz w:val="14"/>
                <w:szCs w:val="18"/>
              </w:rPr>
              <w:t>4,08</w:t>
            </w:r>
          </w:p>
        </w:tc>
        <w:tc>
          <w:tcPr>
            <w:tcW w:w="1276" w:type="dxa"/>
            <w:tcBorders>
              <w:top w:val="nil"/>
              <w:left w:val="nil"/>
              <w:bottom w:val="single" w:sz="4" w:space="0" w:color="auto"/>
              <w:right w:val="single" w:sz="4" w:space="0" w:color="auto"/>
            </w:tcBorders>
            <w:shd w:val="clear" w:color="000000" w:fill="CCFFFF"/>
            <w:noWrap/>
            <w:vAlign w:val="bottom"/>
            <w:hideMark/>
          </w:tcPr>
          <w:p w14:paraId="2F12C78F" w14:textId="25D7F610" w:rsidR="00D8302C" w:rsidRPr="0098629B" w:rsidRDefault="00D8302C" w:rsidP="00D8302C">
            <w:pPr>
              <w:jc w:val="right"/>
              <w:rPr>
                <w:rFonts w:ascii="Times New Roman" w:hAnsi="Times New Roman"/>
                <w:sz w:val="14"/>
                <w:szCs w:val="18"/>
              </w:rPr>
            </w:pPr>
            <w:r w:rsidRPr="0098629B">
              <w:rPr>
                <w:sz w:val="14"/>
                <w:szCs w:val="18"/>
              </w:rPr>
              <w:t>NO,NA</w:t>
            </w:r>
          </w:p>
        </w:tc>
        <w:tc>
          <w:tcPr>
            <w:tcW w:w="580" w:type="dxa"/>
            <w:tcBorders>
              <w:top w:val="nil"/>
              <w:left w:val="nil"/>
              <w:bottom w:val="single" w:sz="4" w:space="0" w:color="auto"/>
              <w:right w:val="single" w:sz="4" w:space="0" w:color="auto"/>
            </w:tcBorders>
            <w:shd w:val="clear" w:color="000000" w:fill="CCFFFF"/>
            <w:noWrap/>
            <w:vAlign w:val="bottom"/>
            <w:hideMark/>
          </w:tcPr>
          <w:p w14:paraId="7E7E8107" w14:textId="63FB840E" w:rsidR="00D8302C" w:rsidRPr="0098629B" w:rsidRDefault="00D8302C" w:rsidP="00D8302C">
            <w:pPr>
              <w:jc w:val="right"/>
              <w:rPr>
                <w:rFonts w:ascii="Times New Roman" w:hAnsi="Times New Roman"/>
                <w:sz w:val="14"/>
                <w:szCs w:val="18"/>
              </w:rPr>
            </w:pPr>
            <w:r w:rsidRPr="0098629B">
              <w:rPr>
                <w:sz w:val="14"/>
                <w:szCs w:val="18"/>
              </w:rPr>
              <w:t>8,54</w:t>
            </w:r>
          </w:p>
        </w:tc>
        <w:tc>
          <w:tcPr>
            <w:tcW w:w="976" w:type="dxa"/>
            <w:tcBorders>
              <w:top w:val="nil"/>
              <w:left w:val="nil"/>
              <w:bottom w:val="single" w:sz="4" w:space="0" w:color="auto"/>
              <w:right w:val="single" w:sz="4" w:space="0" w:color="auto"/>
            </w:tcBorders>
            <w:shd w:val="clear" w:color="000000" w:fill="CCFFFF"/>
            <w:noWrap/>
            <w:vAlign w:val="bottom"/>
            <w:hideMark/>
          </w:tcPr>
          <w:p w14:paraId="5628DFB4" w14:textId="55E0339A" w:rsidR="00D8302C" w:rsidRPr="0098629B" w:rsidRDefault="00D8302C" w:rsidP="00D8302C">
            <w:pPr>
              <w:jc w:val="right"/>
              <w:rPr>
                <w:rFonts w:ascii="Times New Roman" w:hAnsi="Times New Roman"/>
                <w:sz w:val="14"/>
                <w:szCs w:val="18"/>
              </w:rPr>
            </w:pPr>
            <w:r w:rsidRPr="0098629B">
              <w:rPr>
                <w:sz w:val="14"/>
                <w:szCs w:val="18"/>
              </w:rPr>
              <w:t>96,65</w:t>
            </w:r>
          </w:p>
        </w:tc>
      </w:tr>
      <w:tr w:rsidR="00D8302C" w:rsidRPr="0098629B" w14:paraId="3431B12D"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182E895D"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 xml:space="preserve">F.  Product uses as ODS substitutes </w:t>
            </w:r>
          </w:p>
        </w:tc>
        <w:tc>
          <w:tcPr>
            <w:tcW w:w="914" w:type="dxa"/>
            <w:tcBorders>
              <w:top w:val="nil"/>
              <w:left w:val="nil"/>
              <w:bottom w:val="single" w:sz="4" w:space="0" w:color="auto"/>
              <w:right w:val="single" w:sz="4" w:space="0" w:color="auto"/>
            </w:tcBorders>
            <w:shd w:val="clear" w:color="000000" w:fill="969696"/>
            <w:noWrap/>
            <w:vAlign w:val="bottom"/>
            <w:hideMark/>
          </w:tcPr>
          <w:p w14:paraId="4C58730D" w14:textId="4F4E0F93" w:rsidR="00D8302C" w:rsidRPr="0098629B" w:rsidRDefault="00D8302C" w:rsidP="00D8302C">
            <w:pPr>
              <w:jc w:val="right"/>
              <w:rPr>
                <w:rFonts w:ascii="Times New Roman" w:hAnsi="Times New Roman"/>
                <w:sz w:val="14"/>
                <w:szCs w:val="18"/>
                <w:lang w:val="en-GB"/>
              </w:rPr>
            </w:pPr>
            <w:r w:rsidRPr="0098629B">
              <w:rPr>
                <w:sz w:val="14"/>
                <w:szCs w:val="18"/>
                <w:lang w:val="en-GB"/>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8429163" w14:textId="3B6D75B8" w:rsidR="00D8302C" w:rsidRPr="0098629B" w:rsidRDefault="00D8302C" w:rsidP="00D8302C">
            <w:pPr>
              <w:jc w:val="right"/>
              <w:rPr>
                <w:rFonts w:ascii="Times New Roman" w:hAnsi="Times New Roman"/>
                <w:sz w:val="14"/>
                <w:szCs w:val="18"/>
                <w:lang w:val="en-GB"/>
              </w:rPr>
            </w:pPr>
            <w:r w:rsidRPr="0098629B">
              <w:rPr>
                <w:sz w:val="14"/>
                <w:szCs w:val="18"/>
                <w:lang w:val="en-GB"/>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CD070BC" w14:textId="3DD6BCB3" w:rsidR="00D8302C" w:rsidRPr="0098629B" w:rsidRDefault="00D8302C" w:rsidP="00D8302C">
            <w:pPr>
              <w:jc w:val="right"/>
              <w:rPr>
                <w:rFonts w:ascii="Times New Roman" w:hAnsi="Times New Roman"/>
                <w:sz w:val="14"/>
                <w:szCs w:val="18"/>
                <w:lang w:val="en-GB"/>
              </w:rPr>
            </w:pPr>
            <w:r w:rsidRPr="0098629B">
              <w:rPr>
                <w:sz w:val="14"/>
                <w:szCs w:val="18"/>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381BA2E" w14:textId="3679AED7" w:rsidR="00D8302C" w:rsidRPr="0098629B" w:rsidRDefault="00D8302C" w:rsidP="00D8302C">
            <w:pPr>
              <w:jc w:val="right"/>
              <w:rPr>
                <w:rFonts w:ascii="Times New Roman" w:hAnsi="Times New Roman"/>
                <w:sz w:val="14"/>
                <w:szCs w:val="18"/>
              </w:rPr>
            </w:pPr>
            <w:r w:rsidRPr="0098629B">
              <w:rPr>
                <w:sz w:val="14"/>
                <w:szCs w:val="18"/>
              </w:rPr>
              <w:t>11633,67</w:t>
            </w:r>
          </w:p>
        </w:tc>
        <w:tc>
          <w:tcPr>
            <w:tcW w:w="723" w:type="dxa"/>
            <w:tcBorders>
              <w:top w:val="nil"/>
              <w:left w:val="nil"/>
              <w:bottom w:val="single" w:sz="4" w:space="0" w:color="auto"/>
              <w:right w:val="single" w:sz="4" w:space="0" w:color="auto"/>
            </w:tcBorders>
            <w:shd w:val="clear" w:color="000000" w:fill="CCFFFF"/>
            <w:noWrap/>
            <w:vAlign w:val="bottom"/>
            <w:hideMark/>
          </w:tcPr>
          <w:p w14:paraId="32D06767" w14:textId="14C306D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001BBB74" w14:textId="14ABB70D"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42F30D3C" w14:textId="295C8C25"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CCFFFF"/>
            <w:noWrap/>
            <w:vAlign w:val="bottom"/>
            <w:hideMark/>
          </w:tcPr>
          <w:p w14:paraId="014F8434" w14:textId="6A2F56D4"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28F72BD" w14:textId="1ABB12F8" w:rsidR="00D8302C" w:rsidRPr="0098629B" w:rsidRDefault="00D8302C" w:rsidP="00D8302C">
            <w:pPr>
              <w:jc w:val="right"/>
              <w:rPr>
                <w:rFonts w:ascii="Times New Roman" w:hAnsi="Times New Roman"/>
                <w:sz w:val="14"/>
                <w:szCs w:val="18"/>
              </w:rPr>
            </w:pPr>
            <w:r w:rsidRPr="0098629B">
              <w:rPr>
                <w:sz w:val="14"/>
                <w:szCs w:val="18"/>
              </w:rPr>
              <w:t>11633,67</w:t>
            </w:r>
          </w:p>
        </w:tc>
      </w:tr>
      <w:tr w:rsidR="00D8302C" w:rsidRPr="0098629B" w14:paraId="4F57693D"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7166DB98"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 xml:space="preserve">G.  Other product manufacture and use </w:t>
            </w:r>
          </w:p>
        </w:tc>
        <w:tc>
          <w:tcPr>
            <w:tcW w:w="914" w:type="dxa"/>
            <w:tcBorders>
              <w:top w:val="nil"/>
              <w:left w:val="nil"/>
              <w:bottom w:val="single" w:sz="4" w:space="0" w:color="auto"/>
              <w:right w:val="single" w:sz="4" w:space="0" w:color="auto"/>
            </w:tcBorders>
            <w:shd w:val="clear" w:color="000000" w:fill="CCFFFF"/>
            <w:noWrap/>
            <w:vAlign w:val="bottom"/>
            <w:hideMark/>
          </w:tcPr>
          <w:p w14:paraId="120344AB" w14:textId="69D1A25D" w:rsidR="00D8302C" w:rsidRPr="0098629B" w:rsidRDefault="00D8302C" w:rsidP="00D8302C">
            <w:pPr>
              <w:jc w:val="right"/>
              <w:rPr>
                <w:rFonts w:ascii="Times New Roman" w:hAnsi="Times New Roman"/>
                <w:sz w:val="14"/>
                <w:szCs w:val="18"/>
              </w:rPr>
            </w:pPr>
            <w:r w:rsidRPr="0098629B">
              <w:rPr>
                <w:sz w:val="14"/>
                <w:szCs w:val="18"/>
              </w:rPr>
              <w:t>459,72</w:t>
            </w:r>
          </w:p>
        </w:tc>
        <w:tc>
          <w:tcPr>
            <w:tcW w:w="820" w:type="dxa"/>
            <w:tcBorders>
              <w:top w:val="nil"/>
              <w:left w:val="nil"/>
              <w:bottom w:val="single" w:sz="4" w:space="0" w:color="auto"/>
              <w:right w:val="single" w:sz="4" w:space="0" w:color="auto"/>
            </w:tcBorders>
            <w:shd w:val="clear" w:color="000000" w:fill="CCFFFF"/>
            <w:noWrap/>
            <w:vAlign w:val="bottom"/>
            <w:hideMark/>
          </w:tcPr>
          <w:p w14:paraId="226DFDB5" w14:textId="2AD30A27"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0AADB52" w14:textId="1AFCA68A" w:rsidR="00D8302C" w:rsidRPr="0098629B" w:rsidRDefault="00D8302C" w:rsidP="00D8302C">
            <w:pPr>
              <w:jc w:val="right"/>
              <w:rPr>
                <w:rFonts w:ascii="Times New Roman" w:hAnsi="Times New Roman"/>
                <w:sz w:val="14"/>
                <w:szCs w:val="18"/>
              </w:rPr>
            </w:pPr>
            <w:r w:rsidRPr="0098629B">
              <w:rPr>
                <w:sz w:val="14"/>
                <w:szCs w:val="18"/>
              </w:rPr>
              <w:t>133,43</w:t>
            </w:r>
          </w:p>
        </w:tc>
        <w:tc>
          <w:tcPr>
            <w:tcW w:w="820" w:type="dxa"/>
            <w:tcBorders>
              <w:top w:val="nil"/>
              <w:left w:val="nil"/>
              <w:bottom w:val="single" w:sz="4" w:space="0" w:color="auto"/>
              <w:right w:val="single" w:sz="4" w:space="0" w:color="auto"/>
            </w:tcBorders>
            <w:shd w:val="clear" w:color="000000" w:fill="CCFFFF"/>
            <w:noWrap/>
            <w:vAlign w:val="bottom"/>
            <w:hideMark/>
          </w:tcPr>
          <w:p w14:paraId="65ACDF6F" w14:textId="7E0F28E3" w:rsidR="00D8302C" w:rsidRPr="0098629B" w:rsidRDefault="00D8302C" w:rsidP="00D8302C">
            <w:pPr>
              <w:jc w:val="right"/>
              <w:rPr>
                <w:rFonts w:ascii="Times New Roman" w:hAnsi="Times New Roman"/>
                <w:sz w:val="14"/>
                <w:szCs w:val="18"/>
              </w:rPr>
            </w:pPr>
            <w:r w:rsidRPr="0098629B">
              <w:rPr>
                <w:sz w:val="14"/>
                <w:szCs w:val="18"/>
              </w:rPr>
              <w:t>0,59</w:t>
            </w:r>
          </w:p>
        </w:tc>
        <w:tc>
          <w:tcPr>
            <w:tcW w:w="723" w:type="dxa"/>
            <w:tcBorders>
              <w:top w:val="nil"/>
              <w:left w:val="nil"/>
              <w:bottom w:val="single" w:sz="4" w:space="0" w:color="auto"/>
              <w:right w:val="single" w:sz="4" w:space="0" w:color="auto"/>
            </w:tcBorders>
            <w:shd w:val="clear" w:color="000000" w:fill="CCFFFF"/>
            <w:noWrap/>
            <w:vAlign w:val="bottom"/>
            <w:hideMark/>
          </w:tcPr>
          <w:p w14:paraId="34048EE6" w14:textId="7A4C7654" w:rsidR="00D8302C" w:rsidRPr="0098629B" w:rsidRDefault="00D8302C" w:rsidP="00D8302C">
            <w:pPr>
              <w:jc w:val="right"/>
              <w:rPr>
                <w:rFonts w:ascii="Times New Roman" w:hAnsi="Times New Roman"/>
                <w:sz w:val="14"/>
                <w:szCs w:val="18"/>
              </w:rPr>
            </w:pPr>
            <w:r w:rsidRPr="0098629B">
              <w:rPr>
                <w:sz w:val="14"/>
                <w:szCs w:val="18"/>
              </w:rPr>
              <w:t>404,76</w:t>
            </w:r>
          </w:p>
        </w:tc>
        <w:tc>
          <w:tcPr>
            <w:tcW w:w="723" w:type="dxa"/>
            <w:tcBorders>
              <w:top w:val="nil"/>
              <w:left w:val="nil"/>
              <w:bottom w:val="single" w:sz="4" w:space="0" w:color="auto"/>
              <w:right w:val="single" w:sz="4" w:space="0" w:color="auto"/>
            </w:tcBorders>
            <w:shd w:val="clear" w:color="000000" w:fill="CCFFFF"/>
            <w:noWrap/>
            <w:vAlign w:val="bottom"/>
            <w:hideMark/>
          </w:tcPr>
          <w:p w14:paraId="2DEAE4C6" w14:textId="40AE01BC" w:rsidR="00D8302C" w:rsidRPr="0098629B" w:rsidRDefault="00D8302C" w:rsidP="00D8302C">
            <w:pPr>
              <w:jc w:val="right"/>
              <w:rPr>
                <w:rFonts w:ascii="Times New Roman" w:hAnsi="Times New Roman"/>
                <w:sz w:val="14"/>
                <w:szCs w:val="18"/>
              </w:rPr>
            </w:pPr>
            <w:r w:rsidRPr="0098629B">
              <w:rPr>
                <w:sz w:val="14"/>
                <w:szCs w:val="18"/>
              </w:rPr>
              <w:t>334,86</w:t>
            </w:r>
          </w:p>
        </w:tc>
        <w:tc>
          <w:tcPr>
            <w:tcW w:w="1276" w:type="dxa"/>
            <w:tcBorders>
              <w:top w:val="nil"/>
              <w:left w:val="nil"/>
              <w:bottom w:val="single" w:sz="4" w:space="0" w:color="auto"/>
              <w:right w:val="single" w:sz="4" w:space="0" w:color="auto"/>
            </w:tcBorders>
            <w:shd w:val="clear" w:color="000000" w:fill="CCFFFF"/>
            <w:noWrap/>
            <w:vAlign w:val="bottom"/>
            <w:hideMark/>
          </w:tcPr>
          <w:p w14:paraId="275743E4" w14:textId="0DDA2BA8"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CCFFFF"/>
            <w:noWrap/>
            <w:vAlign w:val="bottom"/>
            <w:hideMark/>
          </w:tcPr>
          <w:p w14:paraId="59D45200" w14:textId="21410C77"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15AB17A" w14:textId="168E20B3" w:rsidR="00D8302C" w:rsidRPr="0098629B" w:rsidRDefault="00D8302C" w:rsidP="00D8302C">
            <w:pPr>
              <w:jc w:val="right"/>
              <w:rPr>
                <w:rFonts w:ascii="Times New Roman" w:hAnsi="Times New Roman"/>
                <w:sz w:val="14"/>
                <w:szCs w:val="18"/>
              </w:rPr>
            </w:pPr>
            <w:r w:rsidRPr="0098629B">
              <w:rPr>
                <w:sz w:val="14"/>
                <w:szCs w:val="18"/>
              </w:rPr>
              <w:t>1333,36</w:t>
            </w:r>
          </w:p>
        </w:tc>
      </w:tr>
      <w:tr w:rsidR="00D8302C" w:rsidRPr="0098629B" w14:paraId="758D873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76D33C8"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 xml:space="preserve">H.  Other </w:t>
            </w:r>
          </w:p>
        </w:tc>
        <w:tc>
          <w:tcPr>
            <w:tcW w:w="914" w:type="dxa"/>
            <w:tcBorders>
              <w:top w:val="nil"/>
              <w:left w:val="nil"/>
              <w:bottom w:val="single" w:sz="4" w:space="0" w:color="auto"/>
              <w:right w:val="single" w:sz="4" w:space="0" w:color="auto"/>
            </w:tcBorders>
            <w:shd w:val="clear" w:color="000000" w:fill="CCFFFF"/>
            <w:noWrap/>
            <w:vAlign w:val="bottom"/>
            <w:hideMark/>
          </w:tcPr>
          <w:p w14:paraId="63686BB3" w14:textId="5C5A14B8" w:rsidR="00D8302C" w:rsidRPr="0098629B" w:rsidRDefault="00D8302C" w:rsidP="00D8302C">
            <w:pPr>
              <w:jc w:val="right"/>
              <w:rPr>
                <w:rFonts w:ascii="Times New Roman" w:hAnsi="Times New Roman"/>
                <w:sz w:val="14"/>
                <w:szCs w:val="18"/>
              </w:rPr>
            </w:pPr>
            <w:r w:rsidRPr="0098629B">
              <w:rPr>
                <w:sz w:val="14"/>
                <w:szCs w:val="18"/>
              </w:rPr>
              <w:t>0,10</w:t>
            </w:r>
          </w:p>
        </w:tc>
        <w:tc>
          <w:tcPr>
            <w:tcW w:w="820" w:type="dxa"/>
            <w:tcBorders>
              <w:top w:val="nil"/>
              <w:left w:val="nil"/>
              <w:bottom w:val="single" w:sz="4" w:space="0" w:color="auto"/>
              <w:right w:val="single" w:sz="4" w:space="0" w:color="auto"/>
            </w:tcBorders>
            <w:shd w:val="clear" w:color="000000" w:fill="CCFFFF"/>
            <w:noWrap/>
            <w:vAlign w:val="bottom"/>
            <w:hideMark/>
          </w:tcPr>
          <w:p w14:paraId="37F8AF62" w14:textId="6B97D5FF" w:rsidR="00D8302C" w:rsidRPr="0098629B" w:rsidRDefault="00D8302C" w:rsidP="00D8302C">
            <w:pPr>
              <w:jc w:val="right"/>
              <w:rPr>
                <w:rFonts w:ascii="Times New Roman" w:hAnsi="Times New Roman"/>
                <w:sz w:val="14"/>
                <w:szCs w:val="18"/>
              </w:rPr>
            </w:pPr>
            <w:r w:rsidRPr="0098629B">
              <w:rPr>
                <w:sz w:val="14"/>
                <w:szCs w:val="18"/>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5A6D1805" w14:textId="148DA17E" w:rsidR="00D8302C" w:rsidRPr="0098629B" w:rsidRDefault="00D8302C" w:rsidP="00D8302C">
            <w:pPr>
              <w:jc w:val="right"/>
              <w:rPr>
                <w:rFonts w:ascii="Times New Roman" w:hAnsi="Times New Roman"/>
                <w:sz w:val="14"/>
                <w:szCs w:val="18"/>
              </w:rPr>
            </w:pPr>
            <w:r w:rsidRPr="0098629B">
              <w:rPr>
                <w:sz w:val="14"/>
                <w:szCs w:val="18"/>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263F545B" w14:textId="79E8B9F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6693E70C" w14:textId="6E150E22"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531395D8" w14:textId="0800FEEE"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31685B2F" w14:textId="2E2633A6"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CCFFFF"/>
            <w:noWrap/>
            <w:vAlign w:val="bottom"/>
            <w:hideMark/>
          </w:tcPr>
          <w:p w14:paraId="0B7EDA24" w14:textId="0AB80045"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C83562C" w14:textId="1E99FD82" w:rsidR="00D8302C" w:rsidRPr="0098629B" w:rsidRDefault="00D8302C" w:rsidP="00D8302C">
            <w:pPr>
              <w:jc w:val="right"/>
              <w:rPr>
                <w:rFonts w:ascii="Times New Roman" w:hAnsi="Times New Roman"/>
                <w:sz w:val="14"/>
                <w:szCs w:val="18"/>
              </w:rPr>
            </w:pPr>
            <w:r w:rsidRPr="0098629B">
              <w:rPr>
                <w:sz w:val="14"/>
                <w:szCs w:val="18"/>
              </w:rPr>
              <w:t>0,10</w:t>
            </w:r>
          </w:p>
        </w:tc>
      </w:tr>
      <w:tr w:rsidR="00D8302C" w:rsidRPr="0098629B" w14:paraId="5D5A310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189096B" w14:textId="77777777" w:rsidR="00D8302C" w:rsidRPr="0098629B" w:rsidRDefault="00D8302C" w:rsidP="00D8302C">
            <w:pPr>
              <w:jc w:val="left"/>
              <w:rPr>
                <w:rFonts w:ascii="Times New Roman" w:hAnsi="Times New Roman"/>
                <w:b/>
                <w:bCs/>
                <w:sz w:val="14"/>
                <w:szCs w:val="18"/>
              </w:rPr>
            </w:pPr>
            <w:r w:rsidRPr="0098629B">
              <w:rPr>
                <w:rFonts w:ascii="Times New Roman" w:hAnsi="Times New Roman"/>
                <w:b/>
                <w:bCs/>
                <w:sz w:val="14"/>
                <w:szCs w:val="18"/>
              </w:rPr>
              <w:t>3.  Agriculture</w:t>
            </w:r>
          </w:p>
        </w:tc>
        <w:tc>
          <w:tcPr>
            <w:tcW w:w="914" w:type="dxa"/>
            <w:tcBorders>
              <w:top w:val="nil"/>
              <w:left w:val="nil"/>
              <w:bottom w:val="single" w:sz="4" w:space="0" w:color="auto"/>
              <w:right w:val="single" w:sz="4" w:space="0" w:color="auto"/>
            </w:tcBorders>
            <w:shd w:val="clear" w:color="000000" w:fill="CCFFFF"/>
            <w:noWrap/>
            <w:vAlign w:val="bottom"/>
            <w:hideMark/>
          </w:tcPr>
          <w:p w14:paraId="113B2FCE" w14:textId="3A7656DC" w:rsidR="00D8302C" w:rsidRPr="0098629B" w:rsidRDefault="00D8302C" w:rsidP="00D8302C">
            <w:pPr>
              <w:jc w:val="right"/>
              <w:rPr>
                <w:rFonts w:ascii="Times New Roman" w:hAnsi="Times New Roman"/>
                <w:sz w:val="14"/>
                <w:szCs w:val="18"/>
              </w:rPr>
            </w:pPr>
            <w:r w:rsidRPr="0098629B">
              <w:rPr>
                <w:sz w:val="14"/>
                <w:szCs w:val="18"/>
              </w:rPr>
              <w:t>1858,83</w:t>
            </w:r>
          </w:p>
        </w:tc>
        <w:tc>
          <w:tcPr>
            <w:tcW w:w="820" w:type="dxa"/>
            <w:tcBorders>
              <w:top w:val="nil"/>
              <w:left w:val="nil"/>
              <w:bottom w:val="single" w:sz="4" w:space="0" w:color="auto"/>
              <w:right w:val="single" w:sz="4" w:space="0" w:color="auto"/>
            </w:tcBorders>
            <w:shd w:val="clear" w:color="000000" w:fill="CCFFFF"/>
            <w:noWrap/>
            <w:vAlign w:val="bottom"/>
            <w:hideMark/>
          </w:tcPr>
          <w:p w14:paraId="26A5B4D3" w14:textId="34F7AC20" w:rsidR="00D8302C" w:rsidRPr="0098629B" w:rsidRDefault="00D8302C" w:rsidP="00D8302C">
            <w:pPr>
              <w:jc w:val="right"/>
              <w:rPr>
                <w:rFonts w:ascii="Times New Roman" w:hAnsi="Times New Roman"/>
                <w:sz w:val="14"/>
                <w:szCs w:val="18"/>
              </w:rPr>
            </w:pPr>
            <w:r w:rsidRPr="0098629B">
              <w:rPr>
                <w:sz w:val="14"/>
                <w:szCs w:val="18"/>
              </w:rPr>
              <w:t>36998,76</w:t>
            </w:r>
          </w:p>
        </w:tc>
        <w:tc>
          <w:tcPr>
            <w:tcW w:w="820" w:type="dxa"/>
            <w:tcBorders>
              <w:top w:val="nil"/>
              <w:left w:val="nil"/>
              <w:bottom w:val="single" w:sz="4" w:space="0" w:color="auto"/>
              <w:right w:val="single" w:sz="4" w:space="0" w:color="auto"/>
            </w:tcBorders>
            <w:shd w:val="clear" w:color="000000" w:fill="CCFFFF"/>
            <w:noWrap/>
            <w:vAlign w:val="bottom"/>
            <w:hideMark/>
          </w:tcPr>
          <w:p w14:paraId="3E16C4F7" w14:textId="54327B7F" w:rsidR="00D8302C" w:rsidRPr="0098629B" w:rsidRDefault="00D8302C" w:rsidP="00D8302C">
            <w:pPr>
              <w:jc w:val="right"/>
              <w:rPr>
                <w:rFonts w:ascii="Times New Roman" w:hAnsi="Times New Roman"/>
                <w:sz w:val="14"/>
                <w:szCs w:val="18"/>
              </w:rPr>
            </w:pPr>
            <w:r w:rsidRPr="0098629B">
              <w:rPr>
                <w:sz w:val="14"/>
                <w:szCs w:val="18"/>
              </w:rPr>
              <w:t>31528,56</w:t>
            </w:r>
          </w:p>
        </w:tc>
        <w:tc>
          <w:tcPr>
            <w:tcW w:w="820" w:type="dxa"/>
            <w:tcBorders>
              <w:top w:val="nil"/>
              <w:left w:val="nil"/>
              <w:bottom w:val="single" w:sz="4" w:space="0" w:color="auto"/>
              <w:right w:val="single" w:sz="4" w:space="0" w:color="auto"/>
            </w:tcBorders>
            <w:shd w:val="clear" w:color="000000" w:fill="969696"/>
            <w:noWrap/>
            <w:vAlign w:val="bottom"/>
            <w:hideMark/>
          </w:tcPr>
          <w:p w14:paraId="0A8F080F" w14:textId="56A7381A"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34D023" w14:textId="35FE511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1219A66" w14:textId="72D08D2B"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12CD9B4" w14:textId="21031EA1"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0A88D08" w14:textId="0EB5AE45"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D374B8D" w14:textId="5E4E83B6" w:rsidR="00D8302C" w:rsidRPr="0098629B" w:rsidRDefault="00D8302C" w:rsidP="00D8302C">
            <w:pPr>
              <w:jc w:val="right"/>
              <w:rPr>
                <w:rFonts w:ascii="Times New Roman" w:hAnsi="Times New Roman"/>
                <w:sz w:val="14"/>
                <w:szCs w:val="18"/>
              </w:rPr>
            </w:pPr>
            <w:r w:rsidRPr="0098629B">
              <w:rPr>
                <w:sz w:val="14"/>
                <w:szCs w:val="18"/>
              </w:rPr>
              <w:t>70386,15</w:t>
            </w:r>
          </w:p>
        </w:tc>
      </w:tr>
      <w:tr w:rsidR="00D8302C" w:rsidRPr="0098629B" w14:paraId="7345B587"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817E91A"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A.  Enteric fermentation</w:t>
            </w:r>
          </w:p>
        </w:tc>
        <w:tc>
          <w:tcPr>
            <w:tcW w:w="914" w:type="dxa"/>
            <w:tcBorders>
              <w:top w:val="nil"/>
              <w:left w:val="nil"/>
              <w:bottom w:val="single" w:sz="4" w:space="0" w:color="auto"/>
              <w:right w:val="single" w:sz="4" w:space="0" w:color="auto"/>
            </w:tcBorders>
            <w:shd w:val="clear" w:color="000000" w:fill="969696"/>
            <w:noWrap/>
            <w:vAlign w:val="bottom"/>
            <w:hideMark/>
          </w:tcPr>
          <w:p w14:paraId="78568B8B" w14:textId="2C6FEA0A"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2B34526D" w14:textId="28EA111D" w:rsidR="00D8302C" w:rsidRPr="0098629B" w:rsidRDefault="00D8302C" w:rsidP="00D8302C">
            <w:pPr>
              <w:jc w:val="right"/>
              <w:rPr>
                <w:rFonts w:ascii="Times New Roman" w:hAnsi="Times New Roman"/>
                <w:sz w:val="14"/>
                <w:szCs w:val="18"/>
              </w:rPr>
            </w:pPr>
            <w:r w:rsidRPr="0098629B">
              <w:rPr>
                <w:sz w:val="14"/>
                <w:szCs w:val="18"/>
              </w:rPr>
              <w:t>33136,51</w:t>
            </w:r>
          </w:p>
        </w:tc>
        <w:tc>
          <w:tcPr>
            <w:tcW w:w="820" w:type="dxa"/>
            <w:tcBorders>
              <w:top w:val="nil"/>
              <w:left w:val="nil"/>
              <w:bottom w:val="single" w:sz="4" w:space="0" w:color="auto"/>
              <w:right w:val="single" w:sz="4" w:space="0" w:color="auto"/>
            </w:tcBorders>
            <w:shd w:val="clear" w:color="000000" w:fill="969696"/>
            <w:noWrap/>
            <w:vAlign w:val="bottom"/>
            <w:hideMark/>
          </w:tcPr>
          <w:p w14:paraId="114AEE0D" w14:textId="1B377642"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29B2305" w14:textId="26E83A81"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49B366F" w14:textId="00305DF3"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83FBF9" w14:textId="020E6184"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F663A0D" w14:textId="646ECA7A"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FCDE035" w14:textId="70BAE87F"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81F4924" w14:textId="4AC1DBB8" w:rsidR="00D8302C" w:rsidRPr="0098629B" w:rsidRDefault="00D8302C" w:rsidP="00D8302C">
            <w:pPr>
              <w:jc w:val="right"/>
              <w:rPr>
                <w:rFonts w:ascii="Times New Roman" w:hAnsi="Times New Roman"/>
                <w:sz w:val="14"/>
                <w:szCs w:val="18"/>
              </w:rPr>
            </w:pPr>
            <w:r w:rsidRPr="0098629B">
              <w:rPr>
                <w:sz w:val="14"/>
                <w:szCs w:val="18"/>
              </w:rPr>
              <w:t>33136,51</w:t>
            </w:r>
          </w:p>
        </w:tc>
      </w:tr>
      <w:tr w:rsidR="00D8302C" w:rsidRPr="0098629B" w14:paraId="76CC815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451F8DF"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B.  Manure management</w:t>
            </w:r>
          </w:p>
        </w:tc>
        <w:tc>
          <w:tcPr>
            <w:tcW w:w="914" w:type="dxa"/>
            <w:tcBorders>
              <w:top w:val="nil"/>
              <w:left w:val="nil"/>
              <w:bottom w:val="single" w:sz="4" w:space="0" w:color="auto"/>
              <w:right w:val="single" w:sz="4" w:space="0" w:color="auto"/>
            </w:tcBorders>
            <w:shd w:val="clear" w:color="000000" w:fill="969696"/>
            <w:noWrap/>
            <w:vAlign w:val="bottom"/>
            <w:hideMark/>
          </w:tcPr>
          <w:p w14:paraId="67C57487" w14:textId="30BF035B"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1D144001" w14:textId="6A4151E8" w:rsidR="00D8302C" w:rsidRPr="0098629B" w:rsidRDefault="00D8302C" w:rsidP="00D8302C">
            <w:pPr>
              <w:jc w:val="right"/>
              <w:rPr>
                <w:rFonts w:ascii="Times New Roman" w:hAnsi="Times New Roman"/>
                <w:sz w:val="14"/>
                <w:szCs w:val="18"/>
              </w:rPr>
            </w:pPr>
            <w:r w:rsidRPr="0098629B">
              <w:rPr>
                <w:sz w:val="14"/>
                <w:szCs w:val="18"/>
              </w:rPr>
              <w:t>3795,76</w:t>
            </w:r>
          </w:p>
        </w:tc>
        <w:tc>
          <w:tcPr>
            <w:tcW w:w="820" w:type="dxa"/>
            <w:tcBorders>
              <w:top w:val="nil"/>
              <w:left w:val="nil"/>
              <w:bottom w:val="single" w:sz="4" w:space="0" w:color="auto"/>
              <w:right w:val="single" w:sz="4" w:space="0" w:color="auto"/>
            </w:tcBorders>
            <w:shd w:val="clear" w:color="000000" w:fill="CCFFFF"/>
            <w:noWrap/>
            <w:vAlign w:val="bottom"/>
            <w:hideMark/>
          </w:tcPr>
          <w:p w14:paraId="2CE81B7D" w14:textId="241DBC75" w:rsidR="00D8302C" w:rsidRPr="0098629B" w:rsidRDefault="00D8302C" w:rsidP="00D8302C">
            <w:pPr>
              <w:jc w:val="right"/>
              <w:rPr>
                <w:rFonts w:ascii="Times New Roman" w:hAnsi="Times New Roman"/>
                <w:sz w:val="14"/>
                <w:szCs w:val="18"/>
              </w:rPr>
            </w:pPr>
            <w:r w:rsidRPr="0098629B">
              <w:rPr>
                <w:sz w:val="14"/>
                <w:szCs w:val="18"/>
              </w:rPr>
              <w:t>2350,47</w:t>
            </w:r>
          </w:p>
        </w:tc>
        <w:tc>
          <w:tcPr>
            <w:tcW w:w="820" w:type="dxa"/>
            <w:tcBorders>
              <w:top w:val="nil"/>
              <w:left w:val="nil"/>
              <w:bottom w:val="single" w:sz="4" w:space="0" w:color="auto"/>
              <w:right w:val="single" w:sz="4" w:space="0" w:color="auto"/>
            </w:tcBorders>
            <w:shd w:val="clear" w:color="000000" w:fill="969696"/>
            <w:noWrap/>
            <w:vAlign w:val="bottom"/>
            <w:hideMark/>
          </w:tcPr>
          <w:p w14:paraId="5F735BEE" w14:textId="09D4632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79AAB46" w14:textId="1684814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3A99943" w14:textId="289FB9CD"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C696A59" w14:textId="48AA6457"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32184FD" w14:textId="3FA8EF89"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7F7C1A3" w14:textId="70ACCBBD" w:rsidR="00D8302C" w:rsidRPr="0098629B" w:rsidRDefault="00D8302C" w:rsidP="00D8302C">
            <w:pPr>
              <w:jc w:val="right"/>
              <w:rPr>
                <w:rFonts w:ascii="Times New Roman" w:hAnsi="Times New Roman"/>
                <w:sz w:val="14"/>
                <w:szCs w:val="18"/>
              </w:rPr>
            </w:pPr>
            <w:r w:rsidRPr="0098629B">
              <w:rPr>
                <w:sz w:val="14"/>
                <w:szCs w:val="18"/>
              </w:rPr>
              <w:t>6146,24</w:t>
            </w:r>
          </w:p>
        </w:tc>
      </w:tr>
      <w:tr w:rsidR="00D8302C" w:rsidRPr="0098629B" w14:paraId="7E98E4E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E8B2C58"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C.  Rice cultivation</w:t>
            </w:r>
          </w:p>
        </w:tc>
        <w:tc>
          <w:tcPr>
            <w:tcW w:w="914" w:type="dxa"/>
            <w:tcBorders>
              <w:top w:val="nil"/>
              <w:left w:val="nil"/>
              <w:bottom w:val="single" w:sz="4" w:space="0" w:color="auto"/>
              <w:right w:val="single" w:sz="4" w:space="0" w:color="auto"/>
            </w:tcBorders>
            <w:shd w:val="clear" w:color="000000" w:fill="969696"/>
            <w:noWrap/>
            <w:vAlign w:val="bottom"/>
            <w:hideMark/>
          </w:tcPr>
          <w:p w14:paraId="5C30ECEE" w14:textId="152FD35A"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BFE52CE" w14:textId="36B111A5" w:rsidR="00D8302C" w:rsidRPr="0098629B" w:rsidRDefault="00D8302C" w:rsidP="00D8302C">
            <w:pPr>
              <w:jc w:val="right"/>
              <w:rPr>
                <w:rFonts w:ascii="Times New Roman" w:hAnsi="Times New Roman"/>
                <w:sz w:val="14"/>
                <w:szCs w:val="18"/>
              </w:rPr>
            </w:pPr>
            <w:r w:rsidRPr="0098629B">
              <w:rPr>
                <w:sz w:val="14"/>
                <w:szCs w:val="18"/>
              </w:rPr>
              <w:t>38,23</w:t>
            </w:r>
          </w:p>
        </w:tc>
        <w:tc>
          <w:tcPr>
            <w:tcW w:w="820" w:type="dxa"/>
            <w:tcBorders>
              <w:top w:val="nil"/>
              <w:left w:val="nil"/>
              <w:bottom w:val="single" w:sz="4" w:space="0" w:color="auto"/>
              <w:right w:val="single" w:sz="4" w:space="0" w:color="auto"/>
            </w:tcBorders>
            <w:shd w:val="clear" w:color="000000" w:fill="969696"/>
            <w:noWrap/>
            <w:vAlign w:val="bottom"/>
            <w:hideMark/>
          </w:tcPr>
          <w:p w14:paraId="46BB9BB3" w14:textId="6658DD44"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6510D54" w14:textId="38B6E3FD"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790731" w14:textId="6C129394"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41594B4" w14:textId="6DCF3F52"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AF6962E" w14:textId="6CF58F4B"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0EC45EB" w14:textId="1246B587"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3430EBB" w14:textId="72DAE41D" w:rsidR="00D8302C" w:rsidRPr="0098629B" w:rsidRDefault="00D8302C" w:rsidP="00D8302C">
            <w:pPr>
              <w:jc w:val="right"/>
              <w:rPr>
                <w:rFonts w:ascii="Times New Roman" w:hAnsi="Times New Roman"/>
                <w:sz w:val="14"/>
                <w:szCs w:val="18"/>
              </w:rPr>
            </w:pPr>
            <w:r w:rsidRPr="0098629B">
              <w:rPr>
                <w:sz w:val="14"/>
                <w:szCs w:val="18"/>
              </w:rPr>
              <w:t>38,23</w:t>
            </w:r>
          </w:p>
        </w:tc>
      </w:tr>
      <w:tr w:rsidR="00D8302C" w:rsidRPr="0098629B" w14:paraId="6342BF0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A92BBB3"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D.  Agricultural soils</w:t>
            </w:r>
          </w:p>
        </w:tc>
        <w:tc>
          <w:tcPr>
            <w:tcW w:w="914" w:type="dxa"/>
            <w:tcBorders>
              <w:top w:val="nil"/>
              <w:left w:val="nil"/>
              <w:bottom w:val="single" w:sz="4" w:space="0" w:color="auto"/>
              <w:right w:val="single" w:sz="4" w:space="0" w:color="auto"/>
            </w:tcBorders>
            <w:shd w:val="clear" w:color="000000" w:fill="969696"/>
            <w:noWrap/>
            <w:vAlign w:val="bottom"/>
            <w:hideMark/>
          </w:tcPr>
          <w:p w14:paraId="7A37A202" w14:textId="659D9884"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34F1AB7" w14:textId="58502D60"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4CC0BF36" w14:textId="18F94C7A" w:rsidR="00D8302C" w:rsidRPr="0098629B" w:rsidRDefault="00D8302C" w:rsidP="00D8302C">
            <w:pPr>
              <w:jc w:val="right"/>
              <w:rPr>
                <w:rFonts w:ascii="Times New Roman" w:hAnsi="Times New Roman"/>
                <w:sz w:val="14"/>
                <w:szCs w:val="18"/>
              </w:rPr>
            </w:pPr>
            <w:r w:rsidRPr="0098629B">
              <w:rPr>
                <w:sz w:val="14"/>
                <w:szCs w:val="18"/>
              </w:rPr>
              <w:t>29169,35</w:t>
            </w:r>
          </w:p>
        </w:tc>
        <w:tc>
          <w:tcPr>
            <w:tcW w:w="820" w:type="dxa"/>
            <w:tcBorders>
              <w:top w:val="nil"/>
              <w:left w:val="nil"/>
              <w:bottom w:val="single" w:sz="4" w:space="0" w:color="auto"/>
              <w:right w:val="single" w:sz="4" w:space="0" w:color="auto"/>
            </w:tcBorders>
            <w:shd w:val="clear" w:color="000000" w:fill="969696"/>
            <w:noWrap/>
            <w:vAlign w:val="bottom"/>
            <w:hideMark/>
          </w:tcPr>
          <w:p w14:paraId="19746791" w14:textId="6BD4DB49"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B5DD33" w14:textId="35CB080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8F3B7DB" w14:textId="477E5B56"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E12D98" w14:textId="18BED211"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19EDC50" w14:textId="3217241F"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676B677" w14:textId="4F445B45" w:rsidR="00D8302C" w:rsidRPr="0098629B" w:rsidRDefault="00D8302C" w:rsidP="00D8302C">
            <w:pPr>
              <w:jc w:val="right"/>
              <w:rPr>
                <w:rFonts w:ascii="Times New Roman" w:hAnsi="Times New Roman"/>
                <w:sz w:val="14"/>
                <w:szCs w:val="18"/>
              </w:rPr>
            </w:pPr>
            <w:r w:rsidRPr="0098629B">
              <w:rPr>
                <w:sz w:val="14"/>
                <w:szCs w:val="18"/>
              </w:rPr>
              <w:t>29169,35</w:t>
            </w:r>
          </w:p>
        </w:tc>
      </w:tr>
      <w:tr w:rsidR="00D8302C" w:rsidRPr="0098629B" w14:paraId="0D3486A0"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2A87566"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E.  Prescribed burning of savannas</w:t>
            </w:r>
          </w:p>
        </w:tc>
        <w:tc>
          <w:tcPr>
            <w:tcW w:w="914" w:type="dxa"/>
            <w:tcBorders>
              <w:top w:val="nil"/>
              <w:left w:val="nil"/>
              <w:bottom w:val="single" w:sz="4" w:space="0" w:color="auto"/>
              <w:right w:val="single" w:sz="4" w:space="0" w:color="auto"/>
            </w:tcBorders>
            <w:shd w:val="clear" w:color="000000" w:fill="969696"/>
            <w:noWrap/>
            <w:vAlign w:val="bottom"/>
            <w:hideMark/>
          </w:tcPr>
          <w:p w14:paraId="63AC8073" w14:textId="002E4F93" w:rsidR="00D8302C" w:rsidRPr="0098629B" w:rsidRDefault="00D8302C" w:rsidP="00D8302C">
            <w:pPr>
              <w:jc w:val="right"/>
              <w:rPr>
                <w:rFonts w:ascii="Times New Roman" w:hAnsi="Times New Roman"/>
                <w:sz w:val="14"/>
                <w:szCs w:val="18"/>
                <w:lang w:val="en-GB"/>
              </w:rPr>
            </w:pPr>
            <w:r w:rsidRPr="0098629B">
              <w:rPr>
                <w:sz w:val="14"/>
                <w:szCs w:val="18"/>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6BC8B708" w14:textId="61DDFC04"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0E22A665" w14:textId="3006AC01"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6256272A" w14:textId="53C4600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29521F" w14:textId="5EC5F5F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403D43" w14:textId="6EA760F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57B108C" w14:textId="7E6DFEAB"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D36C990" w14:textId="2DC3FB7C"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9DF7911" w14:textId="039B84F6" w:rsidR="00D8302C" w:rsidRPr="0098629B" w:rsidRDefault="00D8302C" w:rsidP="00D8302C">
            <w:pPr>
              <w:jc w:val="right"/>
              <w:rPr>
                <w:rFonts w:ascii="Times New Roman" w:hAnsi="Times New Roman"/>
                <w:sz w:val="14"/>
                <w:szCs w:val="18"/>
              </w:rPr>
            </w:pPr>
            <w:r w:rsidRPr="0098629B">
              <w:rPr>
                <w:sz w:val="14"/>
                <w:szCs w:val="18"/>
              </w:rPr>
              <w:t>NO</w:t>
            </w:r>
          </w:p>
        </w:tc>
      </w:tr>
      <w:tr w:rsidR="00D8302C" w:rsidRPr="0098629B" w14:paraId="2CD0BE9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31D6EEF"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F.  Field burning of agricultural residues</w:t>
            </w:r>
          </w:p>
        </w:tc>
        <w:tc>
          <w:tcPr>
            <w:tcW w:w="914" w:type="dxa"/>
            <w:tcBorders>
              <w:top w:val="nil"/>
              <w:left w:val="nil"/>
              <w:bottom w:val="single" w:sz="4" w:space="0" w:color="auto"/>
              <w:right w:val="single" w:sz="4" w:space="0" w:color="auto"/>
            </w:tcBorders>
            <w:shd w:val="clear" w:color="000000" w:fill="969696"/>
            <w:noWrap/>
            <w:vAlign w:val="bottom"/>
            <w:hideMark/>
          </w:tcPr>
          <w:p w14:paraId="0B359341" w14:textId="78178FE8" w:rsidR="00D8302C" w:rsidRPr="0098629B" w:rsidRDefault="00D8302C" w:rsidP="00D8302C">
            <w:pPr>
              <w:jc w:val="right"/>
              <w:rPr>
                <w:rFonts w:ascii="Times New Roman" w:hAnsi="Times New Roman"/>
                <w:sz w:val="14"/>
                <w:szCs w:val="18"/>
                <w:lang w:val="en-GB"/>
              </w:rPr>
            </w:pPr>
            <w:r w:rsidRPr="0098629B">
              <w:rPr>
                <w:sz w:val="14"/>
                <w:szCs w:val="18"/>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215EE295" w14:textId="71481FC0" w:rsidR="00D8302C" w:rsidRPr="0098629B" w:rsidRDefault="00D8302C" w:rsidP="00D8302C">
            <w:pPr>
              <w:jc w:val="right"/>
              <w:rPr>
                <w:rFonts w:ascii="Times New Roman" w:hAnsi="Times New Roman"/>
                <w:sz w:val="14"/>
                <w:szCs w:val="18"/>
              </w:rPr>
            </w:pPr>
            <w:r w:rsidRPr="0098629B">
              <w:rPr>
                <w:sz w:val="14"/>
                <w:szCs w:val="18"/>
              </w:rPr>
              <w:t>28,26</w:t>
            </w:r>
          </w:p>
        </w:tc>
        <w:tc>
          <w:tcPr>
            <w:tcW w:w="820" w:type="dxa"/>
            <w:tcBorders>
              <w:top w:val="nil"/>
              <w:left w:val="nil"/>
              <w:bottom w:val="single" w:sz="4" w:space="0" w:color="auto"/>
              <w:right w:val="single" w:sz="4" w:space="0" w:color="auto"/>
            </w:tcBorders>
            <w:shd w:val="clear" w:color="000000" w:fill="CCFFFF"/>
            <w:noWrap/>
            <w:vAlign w:val="bottom"/>
            <w:hideMark/>
          </w:tcPr>
          <w:p w14:paraId="502729EC" w14:textId="7D53337E" w:rsidR="00D8302C" w:rsidRPr="0098629B" w:rsidRDefault="00D8302C" w:rsidP="00D8302C">
            <w:pPr>
              <w:jc w:val="right"/>
              <w:rPr>
                <w:rFonts w:ascii="Times New Roman" w:hAnsi="Times New Roman"/>
                <w:sz w:val="14"/>
                <w:szCs w:val="18"/>
              </w:rPr>
            </w:pPr>
            <w:r w:rsidRPr="0098629B">
              <w:rPr>
                <w:sz w:val="14"/>
                <w:szCs w:val="18"/>
              </w:rPr>
              <w:t>8,73</w:t>
            </w:r>
          </w:p>
        </w:tc>
        <w:tc>
          <w:tcPr>
            <w:tcW w:w="820" w:type="dxa"/>
            <w:tcBorders>
              <w:top w:val="nil"/>
              <w:left w:val="nil"/>
              <w:bottom w:val="single" w:sz="4" w:space="0" w:color="auto"/>
              <w:right w:val="single" w:sz="4" w:space="0" w:color="auto"/>
            </w:tcBorders>
            <w:shd w:val="clear" w:color="000000" w:fill="969696"/>
            <w:noWrap/>
            <w:vAlign w:val="bottom"/>
            <w:hideMark/>
          </w:tcPr>
          <w:p w14:paraId="09801AA1" w14:textId="0EF3A9EB"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28A4871" w14:textId="51B37A80"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09C222" w14:textId="66F1AA5B"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7697D33" w14:textId="7C1F8E0B"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4F4E81D" w14:textId="4DC70C5C"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2799187" w14:textId="64423AAB" w:rsidR="00D8302C" w:rsidRPr="0098629B" w:rsidRDefault="00D8302C" w:rsidP="00D8302C">
            <w:pPr>
              <w:jc w:val="right"/>
              <w:rPr>
                <w:rFonts w:ascii="Times New Roman" w:hAnsi="Times New Roman"/>
                <w:sz w:val="14"/>
                <w:szCs w:val="18"/>
              </w:rPr>
            </w:pPr>
            <w:r w:rsidRPr="0098629B">
              <w:rPr>
                <w:sz w:val="14"/>
                <w:szCs w:val="18"/>
              </w:rPr>
              <w:t>36,99</w:t>
            </w:r>
          </w:p>
        </w:tc>
      </w:tr>
      <w:tr w:rsidR="00D8302C" w:rsidRPr="0098629B" w14:paraId="61C80AF1"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F2C5276"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G. Liming</w:t>
            </w:r>
          </w:p>
        </w:tc>
        <w:tc>
          <w:tcPr>
            <w:tcW w:w="914" w:type="dxa"/>
            <w:tcBorders>
              <w:top w:val="nil"/>
              <w:left w:val="nil"/>
              <w:bottom w:val="single" w:sz="4" w:space="0" w:color="auto"/>
              <w:right w:val="single" w:sz="4" w:space="0" w:color="auto"/>
            </w:tcBorders>
            <w:shd w:val="clear" w:color="000000" w:fill="CCFFFF"/>
            <w:noWrap/>
            <w:vAlign w:val="bottom"/>
            <w:hideMark/>
          </w:tcPr>
          <w:p w14:paraId="42646E21" w14:textId="159098E4" w:rsidR="00D8302C" w:rsidRPr="0098629B" w:rsidRDefault="00D8302C" w:rsidP="00D8302C">
            <w:pPr>
              <w:jc w:val="right"/>
              <w:rPr>
                <w:rFonts w:ascii="Times New Roman" w:hAnsi="Times New Roman"/>
                <w:sz w:val="14"/>
                <w:szCs w:val="18"/>
              </w:rPr>
            </w:pPr>
            <w:r w:rsidRPr="0098629B">
              <w:rPr>
                <w:sz w:val="14"/>
                <w:szCs w:val="18"/>
              </w:rPr>
              <w:t>640,81</w:t>
            </w:r>
          </w:p>
        </w:tc>
        <w:tc>
          <w:tcPr>
            <w:tcW w:w="820" w:type="dxa"/>
            <w:tcBorders>
              <w:top w:val="nil"/>
              <w:left w:val="nil"/>
              <w:bottom w:val="single" w:sz="4" w:space="0" w:color="auto"/>
              <w:right w:val="single" w:sz="4" w:space="0" w:color="auto"/>
            </w:tcBorders>
            <w:shd w:val="clear" w:color="000000" w:fill="969696"/>
            <w:noWrap/>
            <w:vAlign w:val="bottom"/>
            <w:hideMark/>
          </w:tcPr>
          <w:p w14:paraId="21E1CC18" w14:textId="05E3EABF"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E5F81F8" w14:textId="14849A4C"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109EB59" w14:textId="6F7C31FA"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49690AB" w14:textId="427D035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F38DA12" w14:textId="02B91117"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312B83C" w14:textId="46868808"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032AB83" w14:textId="2EF7D65A"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2EAB8FF" w14:textId="6067994D" w:rsidR="00D8302C" w:rsidRPr="0098629B" w:rsidRDefault="00D8302C" w:rsidP="00D8302C">
            <w:pPr>
              <w:jc w:val="right"/>
              <w:rPr>
                <w:rFonts w:ascii="Times New Roman" w:hAnsi="Times New Roman"/>
                <w:sz w:val="14"/>
                <w:szCs w:val="18"/>
              </w:rPr>
            </w:pPr>
            <w:r w:rsidRPr="0098629B">
              <w:rPr>
                <w:sz w:val="14"/>
                <w:szCs w:val="18"/>
              </w:rPr>
              <w:t>640,81</w:t>
            </w:r>
          </w:p>
        </w:tc>
      </w:tr>
      <w:tr w:rsidR="00D8302C" w:rsidRPr="0098629B" w14:paraId="1813B8AC"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258A680"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H. Urea application</w:t>
            </w:r>
          </w:p>
        </w:tc>
        <w:tc>
          <w:tcPr>
            <w:tcW w:w="914" w:type="dxa"/>
            <w:tcBorders>
              <w:top w:val="nil"/>
              <w:left w:val="nil"/>
              <w:bottom w:val="single" w:sz="4" w:space="0" w:color="auto"/>
              <w:right w:val="single" w:sz="4" w:space="0" w:color="auto"/>
            </w:tcBorders>
            <w:shd w:val="clear" w:color="000000" w:fill="CCFFFF"/>
            <w:noWrap/>
            <w:vAlign w:val="bottom"/>
            <w:hideMark/>
          </w:tcPr>
          <w:p w14:paraId="2DF86C5F" w14:textId="69367081" w:rsidR="00D8302C" w:rsidRPr="0098629B" w:rsidRDefault="00D8302C" w:rsidP="00D8302C">
            <w:pPr>
              <w:jc w:val="right"/>
              <w:rPr>
                <w:rFonts w:ascii="Times New Roman" w:hAnsi="Times New Roman"/>
                <w:sz w:val="14"/>
                <w:szCs w:val="18"/>
              </w:rPr>
            </w:pPr>
            <w:r w:rsidRPr="0098629B">
              <w:rPr>
                <w:sz w:val="14"/>
                <w:szCs w:val="18"/>
              </w:rPr>
              <w:t>1036,18</w:t>
            </w:r>
          </w:p>
        </w:tc>
        <w:tc>
          <w:tcPr>
            <w:tcW w:w="820" w:type="dxa"/>
            <w:tcBorders>
              <w:top w:val="nil"/>
              <w:left w:val="nil"/>
              <w:bottom w:val="single" w:sz="4" w:space="0" w:color="auto"/>
              <w:right w:val="single" w:sz="4" w:space="0" w:color="auto"/>
            </w:tcBorders>
            <w:shd w:val="clear" w:color="000000" w:fill="969696"/>
            <w:noWrap/>
            <w:vAlign w:val="bottom"/>
            <w:hideMark/>
          </w:tcPr>
          <w:p w14:paraId="2E623342" w14:textId="1BDD9CB7"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8552E0B" w14:textId="50929044"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6D3FEEA" w14:textId="4881541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DE72336" w14:textId="6A3100E2"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73E9E0B" w14:textId="7DABC695"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841D426" w14:textId="6B59D54C"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074B2F0" w14:textId="16C5A548"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80161D9" w14:textId="59E9E41A" w:rsidR="00D8302C" w:rsidRPr="0098629B" w:rsidRDefault="00D8302C" w:rsidP="00D8302C">
            <w:pPr>
              <w:jc w:val="right"/>
              <w:rPr>
                <w:rFonts w:ascii="Times New Roman" w:hAnsi="Times New Roman"/>
                <w:sz w:val="14"/>
                <w:szCs w:val="18"/>
              </w:rPr>
            </w:pPr>
            <w:r w:rsidRPr="0098629B">
              <w:rPr>
                <w:sz w:val="14"/>
                <w:szCs w:val="18"/>
              </w:rPr>
              <w:t>1036,18</w:t>
            </w:r>
          </w:p>
        </w:tc>
      </w:tr>
      <w:tr w:rsidR="00D8302C" w:rsidRPr="0098629B" w14:paraId="311700A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7A0551B"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I.  Other carbon-containing fertilizers</w:t>
            </w:r>
          </w:p>
        </w:tc>
        <w:tc>
          <w:tcPr>
            <w:tcW w:w="914" w:type="dxa"/>
            <w:tcBorders>
              <w:top w:val="nil"/>
              <w:left w:val="nil"/>
              <w:bottom w:val="single" w:sz="4" w:space="0" w:color="auto"/>
              <w:right w:val="single" w:sz="4" w:space="0" w:color="auto"/>
            </w:tcBorders>
            <w:shd w:val="clear" w:color="000000" w:fill="CCFFFF"/>
            <w:noWrap/>
            <w:vAlign w:val="bottom"/>
            <w:hideMark/>
          </w:tcPr>
          <w:p w14:paraId="6CEDD69B" w14:textId="52D4B745" w:rsidR="00D8302C" w:rsidRPr="0098629B" w:rsidRDefault="00D8302C" w:rsidP="00D8302C">
            <w:pPr>
              <w:jc w:val="right"/>
              <w:rPr>
                <w:rFonts w:ascii="Times New Roman" w:hAnsi="Times New Roman"/>
                <w:sz w:val="14"/>
                <w:szCs w:val="18"/>
              </w:rPr>
            </w:pPr>
            <w:r w:rsidRPr="0098629B">
              <w:rPr>
                <w:sz w:val="14"/>
                <w:szCs w:val="18"/>
              </w:rPr>
              <w:t>181,84</w:t>
            </w:r>
          </w:p>
        </w:tc>
        <w:tc>
          <w:tcPr>
            <w:tcW w:w="820" w:type="dxa"/>
            <w:tcBorders>
              <w:top w:val="nil"/>
              <w:left w:val="nil"/>
              <w:bottom w:val="single" w:sz="4" w:space="0" w:color="auto"/>
              <w:right w:val="single" w:sz="4" w:space="0" w:color="auto"/>
            </w:tcBorders>
            <w:shd w:val="clear" w:color="000000" w:fill="969696"/>
            <w:noWrap/>
            <w:vAlign w:val="bottom"/>
            <w:hideMark/>
          </w:tcPr>
          <w:p w14:paraId="7B4EE46D" w14:textId="03DD124C"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C9E2E00" w14:textId="343CCD79"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B5767F9" w14:textId="68F285B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3CC194" w14:textId="1C86E6D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DB2A00" w14:textId="3281145E"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EE716AB" w14:textId="526444A7"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25D81B4" w14:textId="0860E44D"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845994D" w14:textId="44F6B3B9" w:rsidR="00D8302C" w:rsidRPr="0098629B" w:rsidRDefault="00D8302C" w:rsidP="00D8302C">
            <w:pPr>
              <w:jc w:val="right"/>
              <w:rPr>
                <w:rFonts w:ascii="Times New Roman" w:hAnsi="Times New Roman"/>
                <w:sz w:val="14"/>
                <w:szCs w:val="18"/>
              </w:rPr>
            </w:pPr>
            <w:r w:rsidRPr="0098629B">
              <w:rPr>
                <w:sz w:val="14"/>
                <w:szCs w:val="18"/>
              </w:rPr>
              <w:t>181,84</w:t>
            </w:r>
          </w:p>
        </w:tc>
      </w:tr>
      <w:tr w:rsidR="00D8302C" w:rsidRPr="0098629B" w14:paraId="5437D3BA"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A81E7A7"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 xml:space="preserve">J.  Other </w:t>
            </w:r>
          </w:p>
        </w:tc>
        <w:tc>
          <w:tcPr>
            <w:tcW w:w="914" w:type="dxa"/>
            <w:tcBorders>
              <w:top w:val="nil"/>
              <w:left w:val="nil"/>
              <w:bottom w:val="single" w:sz="4" w:space="0" w:color="auto"/>
              <w:right w:val="single" w:sz="4" w:space="0" w:color="auto"/>
            </w:tcBorders>
            <w:shd w:val="clear" w:color="000000" w:fill="CCFFFF"/>
            <w:noWrap/>
            <w:vAlign w:val="bottom"/>
            <w:hideMark/>
          </w:tcPr>
          <w:p w14:paraId="44A0E6B5" w14:textId="55C7B564"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BBF7CF3" w14:textId="6A93279A"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2C297642" w14:textId="3AE238D7"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4DAA7EBE" w14:textId="3370AA8D"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CD24C7" w14:textId="66B8367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908B364" w14:textId="7ADF2A70"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DD70002" w14:textId="73494ECB"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C283029" w14:textId="415C34AF"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CCC49CB" w14:textId="71B63409" w:rsidR="00D8302C" w:rsidRPr="0098629B" w:rsidRDefault="00D8302C" w:rsidP="00D8302C">
            <w:pPr>
              <w:jc w:val="right"/>
              <w:rPr>
                <w:rFonts w:ascii="Times New Roman" w:hAnsi="Times New Roman"/>
                <w:sz w:val="14"/>
                <w:szCs w:val="18"/>
              </w:rPr>
            </w:pPr>
            <w:r w:rsidRPr="0098629B">
              <w:rPr>
                <w:sz w:val="14"/>
                <w:szCs w:val="18"/>
              </w:rPr>
              <w:t>NO</w:t>
            </w:r>
          </w:p>
        </w:tc>
      </w:tr>
      <w:tr w:rsidR="00D8302C" w:rsidRPr="0098629B" w14:paraId="4D2DE36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CC25E62" w14:textId="77777777" w:rsidR="00D8302C" w:rsidRPr="0098629B" w:rsidRDefault="00D8302C" w:rsidP="00D8302C">
            <w:pPr>
              <w:jc w:val="left"/>
              <w:rPr>
                <w:rFonts w:ascii="Times New Roman" w:hAnsi="Times New Roman"/>
                <w:b/>
                <w:bCs/>
                <w:sz w:val="14"/>
                <w:szCs w:val="18"/>
                <w:lang w:val="en-GB"/>
              </w:rPr>
            </w:pPr>
            <w:r w:rsidRPr="0098629B">
              <w:rPr>
                <w:rFonts w:ascii="Times New Roman" w:hAnsi="Times New Roman"/>
                <w:b/>
                <w:bCs/>
                <w:sz w:val="14"/>
                <w:szCs w:val="18"/>
                <w:lang w:val="en-GB"/>
              </w:rPr>
              <w:t>4. Land use, land-use change and forestry</w:t>
            </w:r>
            <w:r w:rsidRPr="0098629B">
              <w:rPr>
                <w:rFonts w:ascii="Times New Roman" w:hAnsi="Times New Roman"/>
                <w:b/>
                <w:bCs/>
                <w:sz w:val="14"/>
                <w:szCs w:val="18"/>
                <w:vertAlign w:val="superscript"/>
                <w:lang w:val="en-GB"/>
              </w:rPr>
              <w:t>(1)</w:t>
            </w:r>
          </w:p>
        </w:tc>
        <w:tc>
          <w:tcPr>
            <w:tcW w:w="914" w:type="dxa"/>
            <w:tcBorders>
              <w:top w:val="nil"/>
              <w:left w:val="nil"/>
              <w:bottom w:val="single" w:sz="4" w:space="0" w:color="auto"/>
              <w:right w:val="single" w:sz="4" w:space="0" w:color="auto"/>
            </w:tcBorders>
            <w:shd w:val="clear" w:color="000000" w:fill="CCFFFF"/>
            <w:noWrap/>
            <w:vAlign w:val="bottom"/>
            <w:hideMark/>
          </w:tcPr>
          <w:p w14:paraId="47ABD14F" w14:textId="26B696E2" w:rsidR="00D8302C" w:rsidRPr="0098629B" w:rsidRDefault="00D8302C" w:rsidP="00D8302C">
            <w:pPr>
              <w:jc w:val="right"/>
              <w:rPr>
                <w:rFonts w:ascii="Times New Roman" w:hAnsi="Times New Roman"/>
                <w:sz w:val="14"/>
                <w:szCs w:val="18"/>
              </w:rPr>
            </w:pPr>
            <w:r w:rsidRPr="0098629B">
              <w:rPr>
                <w:sz w:val="14"/>
                <w:szCs w:val="18"/>
              </w:rPr>
              <w:t>-17961,34</w:t>
            </w:r>
          </w:p>
        </w:tc>
        <w:tc>
          <w:tcPr>
            <w:tcW w:w="820" w:type="dxa"/>
            <w:tcBorders>
              <w:top w:val="nil"/>
              <w:left w:val="nil"/>
              <w:bottom w:val="single" w:sz="4" w:space="0" w:color="auto"/>
              <w:right w:val="single" w:sz="4" w:space="0" w:color="auto"/>
            </w:tcBorders>
            <w:shd w:val="clear" w:color="000000" w:fill="CCFFFF"/>
            <w:noWrap/>
            <w:vAlign w:val="bottom"/>
            <w:hideMark/>
          </w:tcPr>
          <w:p w14:paraId="25899958" w14:textId="05423DAD" w:rsidR="00D8302C" w:rsidRPr="0098629B" w:rsidRDefault="00D8302C" w:rsidP="00D8302C">
            <w:pPr>
              <w:jc w:val="right"/>
              <w:rPr>
                <w:rFonts w:ascii="Times New Roman" w:hAnsi="Times New Roman"/>
                <w:sz w:val="14"/>
                <w:szCs w:val="18"/>
              </w:rPr>
            </w:pPr>
            <w:r w:rsidRPr="0098629B">
              <w:rPr>
                <w:sz w:val="14"/>
                <w:szCs w:val="18"/>
              </w:rPr>
              <w:t>1105,69</w:t>
            </w:r>
          </w:p>
        </w:tc>
        <w:tc>
          <w:tcPr>
            <w:tcW w:w="820" w:type="dxa"/>
            <w:tcBorders>
              <w:top w:val="nil"/>
              <w:left w:val="nil"/>
              <w:bottom w:val="single" w:sz="4" w:space="0" w:color="auto"/>
              <w:right w:val="single" w:sz="4" w:space="0" w:color="auto"/>
            </w:tcBorders>
            <w:shd w:val="clear" w:color="000000" w:fill="CCFFFF"/>
            <w:noWrap/>
            <w:vAlign w:val="bottom"/>
            <w:hideMark/>
          </w:tcPr>
          <w:p w14:paraId="2ACC900C" w14:textId="3FD7FC38" w:rsidR="00D8302C" w:rsidRPr="0098629B" w:rsidRDefault="00D8302C" w:rsidP="00D8302C">
            <w:pPr>
              <w:jc w:val="right"/>
              <w:rPr>
                <w:rFonts w:ascii="Times New Roman" w:hAnsi="Times New Roman"/>
                <w:sz w:val="14"/>
                <w:szCs w:val="18"/>
              </w:rPr>
            </w:pPr>
            <w:r w:rsidRPr="0098629B">
              <w:rPr>
                <w:sz w:val="14"/>
                <w:szCs w:val="18"/>
              </w:rPr>
              <w:t>2850,17</w:t>
            </w:r>
          </w:p>
        </w:tc>
        <w:tc>
          <w:tcPr>
            <w:tcW w:w="820" w:type="dxa"/>
            <w:tcBorders>
              <w:top w:val="nil"/>
              <w:left w:val="nil"/>
              <w:bottom w:val="single" w:sz="4" w:space="0" w:color="auto"/>
              <w:right w:val="single" w:sz="4" w:space="0" w:color="auto"/>
            </w:tcBorders>
            <w:shd w:val="clear" w:color="000000" w:fill="969696"/>
            <w:noWrap/>
            <w:vAlign w:val="bottom"/>
            <w:hideMark/>
          </w:tcPr>
          <w:p w14:paraId="04BEF65A" w14:textId="33A8B2D9"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FD93F1" w14:textId="200EB92D"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72155B3" w14:textId="663AB1E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4E18300" w14:textId="387C28EE"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A6B8213" w14:textId="0814D183"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969DC1B" w14:textId="6AC8F88C" w:rsidR="00D8302C" w:rsidRPr="0098629B" w:rsidRDefault="00D8302C" w:rsidP="00D8302C">
            <w:pPr>
              <w:jc w:val="right"/>
              <w:rPr>
                <w:rFonts w:ascii="Times New Roman" w:hAnsi="Times New Roman"/>
                <w:sz w:val="14"/>
                <w:szCs w:val="18"/>
              </w:rPr>
            </w:pPr>
            <w:r w:rsidRPr="0098629B">
              <w:rPr>
                <w:sz w:val="14"/>
                <w:szCs w:val="18"/>
              </w:rPr>
              <w:t>-14005,48</w:t>
            </w:r>
          </w:p>
        </w:tc>
      </w:tr>
      <w:tr w:rsidR="00D8302C" w:rsidRPr="0098629B" w14:paraId="6457ACEB"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479E053"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A. Forest land</w:t>
            </w:r>
          </w:p>
        </w:tc>
        <w:tc>
          <w:tcPr>
            <w:tcW w:w="914" w:type="dxa"/>
            <w:tcBorders>
              <w:top w:val="nil"/>
              <w:left w:val="nil"/>
              <w:bottom w:val="single" w:sz="4" w:space="0" w:color="auto"/>
              <w:right w:val="single" w:sz="4" w:space="0" w:color="auto"/>
            </w:tcBorders>
            <w:shd w:val="clear" w:color="000000" w:fill="CCFFFF"/>
            <w:noWrap/>
            <w:vAlign w:val="bottom"/>
            <w:hideMark/>
          </w:tcPr>
          <w:p w14:paraId="029FBE4D" w14:textId="40809F14" w:rsidR="00D8302C" w:rsidRPr="0098629B" w:rsidRDefault="00D8302C" w:rsidP="00D8302C">
            <w:pPr>
              <w:jc w:val="right"/>
              <w:rPr>
                <w:rFonts w:ascii="Times New Roman" w:hAnsi="Times New Roman"/>
                <w:sz w:val="14"/>
                <w:szCs w:val="18"/>
              </w:rPr>
            </w:pPr>
            <w:r w:rsidRPr="0098629B">
              <w:rPr>
                <w:sz w:val="14"/>
                <w:szCs w:val="18"/>
              </w:rPr>
              <w:t>-31389,29</w:t>
            </w:r>
          </w:p>
        </w:tc>
        <w:tc>
          <w:tcPr>
            <w:tcW w:w="820" w:type="dxa"/>
            <w:tcBorders>
              <w:top w:val="nil"/>
              <w:left w:val="nil"/>
              <w:bottom w:val="single" w:sz="4" w:space="0" w:color="auto"/>
              <w:right w:val="single" w:sz="4" w:space="0" w:color="auto"/>
            </w:tcBorders>
            <w:shd w:val="clear" w:color="000000" w:fill="CCFFFF"/>
            <w:noWrap/>
            <w:vAlign w:val="bottom"/>
            <w:hideMark/>
          </w:tcPr>
          <w:p w14:paraId="4554440C" w14:textId="031B43FF" w:rsidR="00D8302C" w:rsidRPr="0098629B" w:rsidRDefault="00D8302C" w:rsidP="00D8302C">
            <w:pPr>
              <w:jc w:val="right"/>
              <w:rPr>
                <w:rFonts w:ascii="Times New Roman" w:hAnsi="Times New Roman"/>
                <w:sz w:val="14"/>
                <w:szCs w:val="18"/>
              </w:rPr>
            </w:pPr>
            <w:r w:rsidRPr="0098629B">
              <w:rPr>
                <w:sz w:val="14"/>
                <w:szCs w:val="18"/>
              </w:rPr>
              <w:t>586,83</w:t>
            </w:r>
          </w:p>
        </w:tc>
        <w:tc>
          <w:tcPr>
            <w:tcW w:w="820" w:type="dxa"/>
            <w:tcBorders>
              <w:top w:val="nil"/>
              <w:left w:val="nil"/>
              <w:bottom w:val="single" w:sz="4" w:space="0" w:color="auto"/>
              <w:right w:val="single" w:sz="4" w:space="0" w:color="auto"/>
            </w:tcBorders>
            <w:shd w:val="clear" w:color="000000" w:fill="CCFFFF"/>
            <w:noWrap/>
            <w:vAlign w:val="bottom"/>
            <w:hideMark/>
          </w:tcPr>
          <w:p w14:paraId="4CC3636B" w14:textId="19392691" w:rsidR="00D8302C" w:rsidRPr="0098629B" w:rsidRDefault="00D8302C" w:rsidP="00D8302C">
            <w:pPr>
              <w:jc w:val="right"/>
              <w:rPr>
                <w:rFonts w:ascii="Times New Roman" w:hAnsi="Times New Roman"/>
                <w:sz w:val="14"/>
                <w:szCs w:val="18"/>
              </w:rPr>
            </w:pPr>
            <w:r w:rsidRPr="0098629B">
              <w:rPr>
                <w:sz w:val="14"/>
                <w:szCs w:val="18"/>
              </w:rPr>
              <w:t>364,33</w:t>
            </w:r>
          </w:p>
        </w:tc>
        <w:tc>
          <w:tcPr>
            <w:tcW w:w="820" w:type="dxa"/>
            <w:tcBorders>
              <w:top w:val="nil"/>
              <w:left w:val="nil"/>
              <w:bottom w:val="single" w:sz="4" w:space="0" w:color="auto"/>
              <w:right w:val="single" w:sz="4" w:space="0" w:color="auto"/>
            </w:tcBorders>
            <w:shd w:val="clear" w:color="000000" w:fill="969696"/>
            <w:noWrap/>
            <w:vAlign w:val="bottom"/>
            <w:hideMark/>
          </w:tcPr>
          <w:p w14:paraId="7EC9CF4B" w14:textId="6C20327A"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225EC5" w14:textId="0DBF05B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49A5C0D" w14:textId="76C07E91"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0C9FFD8" w14:textId="777D6CEB"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068BFE2" w14:textId="1FBF1A54"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D9626B4" w14:textId="2207BC50" w:rsidR="00D8302C" w:rsidRPr="0098629B" w:rsidRDefault="00D8302C" w:rsidP="00D8302C">
            <w:pPr>
              <w:jc w:val="right"/>
              <w:rPr>
                <w:rFonts w:ascii="Times New Roman" w:hAnsi="Times New Roman"/>
                <w:sz w:val="14"/>
                <w:szCs w:val="18"/>
              </w:rPr>
            </w:pPr>
            <w:r w:rsidRPr="0098629B">
              <w:rPr>
                <w:sz w:val="14"/>
                <w:szCs w:val="18"/>
              </w:rPr>
              <w:t>-30438,12</w:t>
            </w:r>
          </w:p>
        </w:tc>
      </w:tr>
      <w:tr w:rsidR="00D8302C" w:rsidRPr="0098629B" w14:paraId="39746FBB"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29191EF"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B. Cropland</w:t>
            </w:r>
          </w:p>
        </w:tc>
        <w:tc>
          <w:tcPr>
            <w:tcW w:w="914" w:type="dxa"/>
            <w:tcBorders>
              <w:top w:val="nil"/>
              <w:left w:val="nil"/>
              <w:bottom w:val="single" w:sz="4" w:space="0" w:color="auto"/>
              <w:right w:val="single" w:sz="4" w:space="0" w:color="auto"/>
            </w:tcBorders>
            <w:shd w:val="clear" w:color="000000" w:fill="CCFFFF"/>
            <w:noWrap/>
            <w:vAlign w:val="bottom"/>
            <w:hideMark/>
          </w:tcPr>
          <w:p w14:paraId="75983A23" w14:textId="50A1E596" w:rsidR="00D8302C" w:rsidRPr="0098629B" w:rsidRDefault="00D8302C" w:rsidP="00D8302C">
            <w:pPr>
              <w:jc w:val="right"/>
              <w:rPr>
                <w:rFonts w:ascii="Times New Roman" w:hAnsi="Times New Roman"/>
                <w:sz w:val="14"/>
                <w:szCs w:val="18"/>
              </w:rPr>
            </w:pPr>
            <w:r w:rsidRPr="0098629B">
              <w:rPr>
                <w:sz w:val="14"/>
                <w:szCs w:val="18"/>
              </w:rPr>
              <w:t>11507,10</w:t>
            </w:r>
          </w:p>
        </w:tc>
        <w:tc>
          <w:tcPr>
            <w:tcW w:w="820" w:type="dxa"/>
            <w:tcBorders>
              <w:top w:val="nil"/>
              <w:left w:val="nil"/>
              <w:bottom w:val="single" w:sz="4" w:space="0" w:color="auto"/>
              <w:right w:val="single" w:sz="4" w:space="0" w:color="auto"/>
            </w:tcBorders>
            <w:shd w:val="clear" w:color="000000" w:fill="CCFFFF"/>
            <w:noWrap/>
            <w:vAlign w:val="bottom"/>
            <w:hideMark/>
          </w:tcPr>
          <w:p w14:paraId="6BFB5962" w14:textId="69566440" w:rsidR="00D8302C" w:rsidRPr="0098629B" w:rsidRDefault="00D8302C" w:rsidP="00D8302C">
            <w:pPr>
              <w:jc w:val="right"/>
              <w:rPr>
                <w:rFonts w:ascii="Times New Roman" w:hAnsi="Times New Roman"/>
                <w:sz w:val="14"/>
                <w:szCs w:val="18"/>
              </w:rPr>
            </w:pPr>
            <w:r w:rsidRPr="0098629B">
              <w:rPr>
                <w:sz w:val="14"/>
                <w:szCs w:val="18"/>
              </w:rPr>
              <w:t>109,50</w:t>
            </w:r>
          </w:p>
        </w:tc>
        <w:tc>
          <w:tcPr>
            <w:tcW w:w="820" w:type="dxa"/>
            <w:tcBorders>
              <w:top w:val="nil"/>
              <w:left w:val="nil"/>
              <w:bottom w:val="single" w:sz="4" w:space="0" w:color="auto"/>
              <w:right w:val="single" w:sz="4" w:space="0" w:color="auto"/>
            </w:tcBorders>
            <w:shd w:val="clear" w:color="000000" w:fill="CCFFFF"/>
            <w:noWrap/>
            <w:vAlign w:val="bottom"/>
            <w:hideMark/>
          </w:tcPr>
          <w:p w14:paraId="24A0EA6E" w14:textId="653794E1" w:rsidR="00D8302C" w:rsidRPr="0098629B" w:rsidRDefault="00D8302C" w:rsidP="00D8302C">
            <w:pPr>
              <w:jc w:val="right"/>
              <w:rPr>
                <w:rFonts w:ascii="Times New Roman" w:hAnsi="Times New Roman"/>
                <w:sz w:val="14"/>
                <w:szCs w:val="18"/>
              </w:rPr>
            </w:pPr>
            <w:r w:rsidRPr="0098629B">
              <w:rPr>
                <w:sz w:val="14"/>
                <w:szCs w:val="18"/>
              </w:rPr>
              <w:t>1346,42</w:t>
            </w:r>
          </w:p>
        </w:tc>
        <w:tc>
          <w:tcPr>
            <w:tcW w:w="820" w:type="dxa"/>
            <w:tcBorders>
              <w:top w:val="nil"/>
              <w:left w:val="nil"/>
              <w:bottom w:val="single" w:sz="4" w:space="0" w:color="auto"/>
              <w:right w:val="single" w:sz="4" w:space="0" w:color="auto"/>
            </w:tcBorders>
            <w:shd w:val="clear" w:color="000000" w:fill="969696"/>
            <w:noWrap/>
            <w:vAlign w:val="bottom"/>
            <w:hideMark/>
          </w:tcPr>
          <w:p w14:paraId="4C4E521B" w14:textId="558B719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3B0AEF8" w14:textId="55A2F0E4"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C356624" w14:textId="10417B2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79C4B46" w14:textId="16AD64B6"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20067E4" w14:textId="58BE220A"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49E56CB" w14:textId="7C526A97" w:rsidR="00D8302C" w:rsidRPr="0098629B" w:rsidRDefault="00D8302C" w:rsidP="00D8302C">
            <w:pPr>
              <w:jc w:val="right"/>
              <w:rPr>
                <w:rFonts w:ascii="Times New Roman" w:hAnsi="Times New Roman"/>
                <w:sz w:val="14"/>
                <w:szCs w:val="18"/>
              </w:rPr>
            </w:pPr>
            <w:r w:rsidRPr="0098629B">
              <w:rPr>
                <w:sz w:val="14"/>
                <w:szCs w:val="18"/>
              </w:rPr>
              <w:t>12963,02</w:t>
            </w:r>
          </w:p>
        </w:tc>
      </w:tr>
      <w:tr w:rsidR="00D8302C" w:rsidRPr="0098629B" w14:paraId="16DCD9E1"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2EF256F"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C. Grassland</w:t>
            </w:r>
          </w:p>
        </w:tc>
        <w:tc>
          <w:tcPr>
            <w:tcW w:w="914" w:type="dxa"/>
            <w:tcBorders>
              <w:top w:val="nil"/>
              <w:left w:val="nil"/>
              <w:bottom w:val="single" w:sz="4" w:space="0" w:color="auto"/>
              <w:right w:val="single" w:sz="4" w:space="0" w:color="auto"/>
            </w:tcBorders>
            <w:shd w:val="clear" w:color="000000" w:fill="CCFFFF"/>
            <w:noWrap/>
            <w:vAlign w:val="bottom"/>
            <w:hideMark/>
          </w:tcPr>
          <w:p w14:paraId="6B7BFE9F" w14:textId="49F51E2E" w:rsidR="00D8302C" w:rsidRPr="0098629B" w:rsidRDefault="00D8302C" w:rsidP="00D8302C">
            <w:pPr>
              <w:jc w:val="right"/>
              <w:rPr>
                <w:rFonts w:ascii="Times New Roman" w:hAnsi="Times New Roman"/>
                <w:sz w:val="14"/>
                <w:szCs w:val="18"/>
              </w:rPr>
            </w:pPr>
            <w:r w:rsidRPr="0098629B">
              <w:rPr>
                <w:sz w:val="14"/>
                <w:szCs w:val="18"/>
              </w:rPr>
              <w:t>-8543,35</w:t>
            </w:r>
          </w:p>
        </w:tc>
        <w:tc>
          <w:tcPr>
            <w:tcW w:w="820" w:type="dxa"/>
            <w:tcBorders>
              <w:top w:val="nil"/>
              <w:left w:val="nil"/>
              <w:bottom w:val="single" w:sz="4" w:space="0" w:color="auto"/>
              <w:right w:val="single" w:sz="4" w:space="0" w:color="auto"/>
            </w:tcBorders>
            <w:shd w:val="clear" w:color="000000" w:fill="CCFFFF"/>
            <w:noWrap/>
            <w:vAlign w:val="bottom"/>
            <w:hideMark/>
          </w:tcPr>
          <w:p w14:paraId="0EE3F7CD" w14:textId="4C97D5C7" w:rsidR="00D8302C" w:rsidRPr="0098629B" w:rsidRDefault="00D8302C" w:rsidP="00D8302C">
            <w:pPr>
              <w:jc w:val="right"/>
              <w:rPr>
                <w:rFonts w:ascii="Times New Roman" w:hAnsi="Times New Roman"/>
                <w:sz w:val="14"/>
                <w:szCs w:val="18"/>
              </w:rPr>
            </w:pPr>
            <w:r w:rsidRPr="0098629B">
              <w:rPr>
                <w:sz w:val="14"/>
                <w:szCs w:val="18"/>
              </w:rPr>
              <w:t>123,86</w:t>
            </w:r>
          </w:p>
        </w:tc>
        <w:tc>
          <w:tcPr>
            <w:tcW w:w="820" w:type="dxa"/>
            <w:tcBorders>
              <w:top w:val="nil"/>
              <w:left w:val="nil"/>
              <w:bottom w:val="single" w:sz="4" w:space="0" w:color="auto"/>
              <w:right w:val="single" w:sz="4" w:space="0" w:color="auto"/>
            </w:tcBorders>
            <w:shd w:val="clear" w:color="000000" w:fill="CCFFFF"/>
            <w:noWrap/>
            <w:vAlign w:val="bottom"/>
            <w:hideMark/>
          </w:tcPr>
          <w:p w14:paraId="5AA62573" w14:textId="75CB206F" w:rsidR="00D8302C" w:rsidRPr="0098629B" w:rsidRDefault="00D8302C" w:rsidP="00D8302C">
            <w:pPr>
              <w:jc w:val="right"/>
              <w:rPr>
                <w:rFonts w:ascii="Times New Roman" w:hAnsi="Times New Roman"/>
                <w:sz w:val="14"/>
                <w:szCs w:val="18"/>
              </w:rPr>
            </w:pPr>
            <w:r w:rsidRPr="0098629B">
              <w:rPr>
                <w:sz w:val="14"/>
                <w:szCs w:val="18"/>
              </w:rPr>
              <w:t>99,88</w:t>
            </w:r>
          </w:p>
        </w:tc>
        <w:tc>
          <w:tcPr>
            <w:tcW w:w="820" w:type="dxa"/>
            <w:tcBorders>
              <w:top w:val="nil"/>
              <w:left w:val="nil"/>
              <w:bottom w:val="single" w:sz="4" w:space="0" w:color="auto"/>
              <w:right w:val="single" w:sz="4" w:space="0" w:color="auto"/>
            </w:tcBorders>
            <w:shd w:val="clear" w:color="000000" w:fill="969696"/>
            <w:noWrap/>
            <w:vAlign w:val="bottom"/>
            <w:hideMark/>
          </w:tcPr>
          <w:p w14:paraId="32F78C89" w14:textId="2D271123"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DD742DA" w14:textId="192259E9"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62C924B" w14:textId="0B6A9ED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6F50CB5" w14:textId="38F401C9"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1F53DD7" w14:textId="7780F85B"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85242E3" w14:textId="7A67F5A2" w:rsidR="00D8302C" w:rsidRPr="0098629B" w:rsidRDefault="00D8302C" w:rsidP="00D8302C">
            <w:pPr>
              <w:jc w:val="right"/>
              <w:rPr>
                <w:rFonts w:ascii="Times New Roman" w:hAnsi="Times New Roman"/>
                <w:sz w:val="14"/>
                <w:szCs w:val="18"/>
              </w:rPr>
            </w:pPr>
            <w:r w:rsidRPr="0098629B">
              <w:rPr>
                <w:sz w:val="14"/>
                <w:szCs w:val="18"/>
              </w:rPr>
              <w:t>-8319,62</w:t>
            </w:r>
          </w:p>
        </w:tc>
      </w:tr>
      <w:tr w:rsidR="00D8302C" w:rsidRPr="0098629B" w14:paraId="0CE5EB3B"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19F574B"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D. Wetlands</w:t>
            </w:r>
          </w:p>
        </w:tc>
        <w:tc>
          <w:tcPr>
            <w:tcW w:w="914" w:type="dxa"/>
            <w:tcBorders>
              <w:top w:val="nil"/>
              <w:left w:val="nil"/>
              <w:bottom w:val="single" w:sz="4" w:space="0" w:color="auto"/>
              <w:right w:val="single" w:sz="4" w:space="0" w:color="auto"/>
            </w:tcBorders>
            <w:shd w:val="clear" w:color="000000" w:fill="CCFFFF"/>
            <w:noWrap/>
            <w:vAlign w:val="bottom"/>
            <w:hideMark/>
          </w:tcPr>
          <w:p w14:paraId="48E4A7D2" w14:textId="26F1AF6B" w:rsidR="00D8302C" w:rsidRPr="0098629B" w:rsidRDefault="00D8302C" w:rsidP="00D8302C">
            <w:pPr>
              <w:jc w:val="right"/>
              <w:rPr>
                <w:rFonts w:ascii="Times New Roman" w:hAnsi="Times New Roman"/>
                <w:sz w:val="14"/>
                <w:szCs w:val="18"/>
              </w:rPr>
            </w:pPr>
            <w:r w:rsidRPr="0098629B">
              <w:rPr>
                <w:sz w:val="14"/>
                <w:szCs w:val="18"/>
              </w:rPr>
              <w:t>494,83</w:t>
            </w:r>
          </w:p>
        </w:tc>
        <w:tc>
          <w:tcPr>
            <w:tcW w:w="820" w:type="dxa"/>
            <w:tcBorders>
              <w:top w:val="nil"/>
              <w:left w:val="nil"/>
              <w:bottom w:val="single" w:sz="4" w:space="0" w:color="auto"/>
              <w:right w:val="single" w:sz="4" w:space="0" w:color="auto"/>
            </w:tcBorders>
            <w:shd w:val="clear" w:color="000000" w:fill="CCFFFF"/>
            <w:noWrap/>
            <w:vAlign w:val="bottom"/>
            <w:hideMark/>
          </w:tcPr>
          <w:p w14:paraId="0706F963" w14:textId="4DFFE8A1" w:rsidR="00D8302C" w:rsidRPr="0098629B" w:rsidRDefault="00D8302C" w:rsidP="00D8302C">
            <w:pPr>
              <w:jc w:val="right"/>
              <w:rPr>
                <w:rFonts w:ascii="Times New Roman" w:hAnsi="Times New Roman"/>
                <w:sz w:val="14"/>
                <w:szCs w:val="18"/>
              </w:rPr>
            </w:pPr>
            <w:r w:rsidRPr="0098629B">
              <w:rPr>
                <w:sz w:val="14"/>
                <w:szCs w:val="18"/>
              </w:rPr>
              <w:t>8,92</w:t>
            </w:r>
          </w:p>
        </w:tc>
        <w:tc>
          <w:tcPr>
            <w:tcW w:w="820" w:type="dxa"/>
            <w:tcBorders>
              <w:top w:val="nil"/>
              <w:left w:val="nil"/>
              <w:bottom w:val="single" w:sz="4" w:space="0" w:color="auto"/>
              <w:right w:val="single" w:sz="4" w:space="0" w:color="auto"/>
            </w:tcBorders>
            <w:shd w:val="clear" w:color="000000" w:fill="CCFFFF"/>
            <w:noWrap/>
            <w:vAlign w:val="bottom"/>
            <w:hideMark/>
          </w:tcPr>
          <w:p w14:paraId="3199F321" w14:textId="3C0B2D5B" w:rsidR="00D8302C" w:rsidRPr="0098629B" w:rsidRDefault="00D8302C" w:rsidP="00D8302C">
            <w:pPr>
              <w:jc w:val="right"/>
              <w:rPr>
                <w:rFonts w:ascii="Times New Roman" w:hAnsi="Times New Roman"/>
                <w:sz w:val="14"/>
                <w:szCs w:val="18"/>
              </w:rPr>
            </w:pPr>
            <w:r w:rsidRPr="0098629B">
              <w:rPr>
                <w:sz w:val="14"/>
                <w:szCs w:val="18"/>
              </w:rPr>
              <w:t>0,73</w:t>
            </w:r>
          </w:p>
        </w:tc>
        <w:tc>
          <w:tcPr>
            <w:tcW w:w="820" w:type="dxa"/>
            <w:tcBorders>
              <w:top w:val="nil"/>
              <w:left w:val="nil"/>
              <w:bottom w:val="single" w:sz="4" w:space="0" w:color="auto"/>
              <w:right w:val="single" w:sz="4" w:space="0" w:color="auto"/>
            </w:tcBorders>
            <w:shd w:val="clear" w:color="000000" w:fill="969696"/>
            <w:noWrap/>
            <w:vAlign w:val="bottom"/>
            <w:hideMark/>
          </w:tcPr>
          <w:p w14:paraId="7A10FA3F" w14:textId="5C2413FB"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85D4B1A" w14:textId="2457FBF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E172D57" w14:textId="2A4AD6D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A33370D" w14:textId="4D2EE20C"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9D3BC66" w14:textId="7091B7C0"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AEF6441" w14:textId="27F8123D" w:rsidR="00D8302C" w:rsidRPr="0098629B" w:rsidRDefault="00D8302C" w:rsidP="00D8302C">
            <w:pPr>
              <w:jc w:val="right"/>
              <w:rPr>
                <w:rFonts w:ascii="Times New Roman" w:hAnsi="Times New Roman"/>
                <w:sz w:val="14"/>
                <w:szCs w:val="18"/>
              </w:rPr>
            </w:pPr>
            <w:r w:rsidRPr="0098629B">
              <w:rPr>
                <w:sz w:val="14"/>
                <w:szCs w:val="18"/>
              </w:rPr>
              <w:t>504,48</w:t>
            </w:r>
          </w:p>
        </w:tc>
      </w:tr>
      <w:tr w:rsidR="00D8302C" w:rsidRPr="0098629B" w14:paraId="17414EC3"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B7DF333"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 xml:space="preserve">E. Settlements </w:t>
            </w:r>
          </w:p>
        </w:tc>
        <w:tc>
          <w:tcPr>
            <w:tcW w:w="914" w:type="dxa"/>
            <w:tcBorders>
              <w:top w:val="nil"/>
              <w:left w:val="nil"/>
              <w:bottom w:val="single" w:sz="4" w:space="0" w:color="auto"/>
              <w:right w:val="single" w:sz="4" w:space="0" w:color="auto"/>
            </w:tcBorders>
            <w:shd w:val="clear" w:color="000000" w:fill="CCFFFF"/>
            <w:noWrap/>
            <w:vAlign w:val="bottom"/>
            <w:hideMark/>
          </w:tcPr>
          <w:p w14:paraId="59E7D147" w14:textId="2A529F3C" w:rsidR="00D8302C" w:rsidRPr="0098629B" w:rsidRDefault="00D8302C" w:rsidP="00D8302C">
            <w:pPr>
              <w:jc w:val="right"/>
              <w:rPr>
                <w:rFonts w:ascii="Times New Roman" w:hAnsi="Times New Roman"/>
                <w:sz w:val="14"/>
                <w:szCs w:val="18"/>
              </w:rPr>
            </w:pPr>
            <w:r w:rsidRPr="0098629B">
              <w:rPr>
                <w:sz w:val="14"/>
                <w:szCs w:val="18"/>
              </w:rPr>
              <w:t>10743,98</w:t>
            </w:r>
          </w:p>
        </w:tc>
        <w:tc>
          <w:tcPr>
            <w:tcW w:w="820" w:type="dxa"/>
            <w:tcBorders>
              <w:top w:val="nil"/>
              <w:left w:val="nil"/>
              <w:bottom w:val="single" w:sz="4" w:space="0" w:color="auto"/>
              <w:right w:val="single" w:sz="4" w:space="0" w:color="auto"/>
            </w:tcBorders>
            <w:shd w:val="clear" w:color="000000" w:fill="CCFFFF"/>
            <w:noWrap/>
            <w:vAlign w:val="bottom"/>
            <w:hideMark/>
          </w:tcPr>
          <w:p w14:paraId="2D548469" w14:textId="09014AC1" w:rsidR="00D8302C" w:rsidRPr="0098629B" w:rsidRDefault="00D8302C" w:rsidP="00D8302C">
            <w:pPr>
              <w:jc w:val="right"/>
              <w:rPr>
                <w:rFonts w:ascii="Times New Roman" w:hAnsi="Times New Roman"/>
                <w:sz w:val="14"/>
                <w:szCs w:val="18"/>
              </w:rPr>
            </w:pPr>
            <w:r w:rsidRPr="0098629B">
              <w:rPr>
                <w:sz w:val="14"/>
                <w:szCs w:val="18"/>
              </w:rPr>
              <w:t>58,41</w:t>
            </w:r>
          </w:p>
        </w:tc>
        <w:tc>
          <w:tcPr>
            <w:tcW w:w="820" w:type="dxa"/>
            <w:tcBorders>
              <w:top w:val="nil"/>
              <w:left w:val="nil"/>
              <w:bottom w:val="single" w:sz="4" w:space="0" w:color="auto"/>
              <w:right w:val="single" w:sz="4" w:space="0" w:color="auto"/>
            </w:tcBorders>
            <w:shd w:val="clear" w:color="000000" w:fill="CCFFFF"/>
            <w:noWrap/>
            <w:vAlign w:val="bottom"/>
            <w:hideMark/>
          </w:tcPr>
          <w:p w14:paraId="1E686E0A" w14:textId="6538F03A" w:rsidR="00D8302C" w:rsidRPr="0098629B" w:rsidRDefault="00D8302C" w:rsidP="00D8302C">
            <w:pPr>
              <w:jc w:val="right"/>
              <w:rPr>
                <w:rFonts w:ascii="Times New Roman" w:hAnsi="Times New Roman"/>
                <w:sz w:val="14"/>
                <w:szCs w:val="18"/>
              </w:rPr>
            </w:pPr>
            <w:r w:rsidRPr="0098629B">
              <w:rPr>
                <w:sz w:val="14"/>
                <w:szCs w:val="18"/>
              </w:rPr>
              <w:t>592,19</w:t>
            </w:r>
          </w:p>
        </w:tc>
        <w:tc>
          <w:tcPr>
            <w:tcW w:w="820" w:type="dxa"/>
            <w:tcBorders>
              <w:top w:val="nil"/>
              <w:left w:val="nil"/>
              <w:bottom w:val="single" w:sz="4" w:space="0" w:color="auto"/>
              <w:right w:val="single" w:sz="4" w:space="0" w:color="auto"/>
            </w:tcBorders>
            <w:shd w:val="clear" w:color="000000" w:fill="969696"/>
            <w:noWrap/>
            <w:vAlign w:val="bottom"/>
            <w:hideMark/>
          </w:tcPr>
          <w:p w14:paraId="27522A76" w14:textId="3D178C9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633A685" w14:textId="33A5112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687F1E4" w14:textId="562ADF2F"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8578CCC" w14:textId="147C8E75"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1C14734" w14:textId="7234B1F3"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ED5483E" w14:textId="73E8EF45" w:rsidR="00D8302C" w:rsidRPr="0098629B" w:rsidRDefault="00D8302C" w:rsidP="00D8302C">
            <w:pPr>
              <w:jc w:val="right"/>
              <w:rPr>
                <w:rFonts w:ascii="Times New Roman" w:hAnsi="Times New Roman"/>
                <w:sz w:val="14"/>
                <w:szCs w:val="18"/>
              </w:rPr>
            </w:pPr>
            <w:r w:rsidRPr="0098629B">
              <w:rPr>
                <w:sz w:val="14"/>
                <w:szCs w:val="18"/>
              </w:rPr>
              <w:t>11394,58</w:t>
            </w:r>
          </w:p>
        </w:tc>
      </w:tr>
      <w:tr w:rsidR="00D8302C" w:rsidRPr="0098629B" w14:paraId="622C297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F775952"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F. Other land</w:t>
            </w:r>
          </w:p>
        </w:tc>
        <w:tc>
          <w:tcPr>
            <w:tcW w:w="914" w:type="dxa"/>
            <w:tcBorders>
              <w:top w:val="nil"/>
              <w:left w:val="nil"/>
              <w:bottom w:val="single" w:sz="4" w:space="0" w:color="auto"/>
              <w:right w:val="single" w:sz="4" w:space="0" w:color="auto"/>
            </w:tcBorders>
            <w:shd w:val="clear" w:color="000000" w:fill="CCFFFF"/>
            <w:noWrap/>
            <w:vAlign w:val="bottom"/>
            <w:hideMark/>
          </w:tcPr>
          <w:p w14:paraId="60AA6765" w14:textId="353CC5F4" w:rsidR="00D8302C" w:rsidRPr="0098629B" w:rsidRDefault="00D8302C" w:rsidP="00D8302C">
            <w:pPr>
              <w:jc w:val="right"/>
              <w:rPr>
                <w:rFonts w:ascii="Times New Roman" w:hAnsi="Times New Roman"/>
                <w:sz w:val="14"/>
                <w:szCs w:val="18"/>
              </w:rPr>
            </w:pPr>
            <w:r w:rsidRPr="0098629B">
              <w:rPr>
                <w:sz w:val="14"/>
                <w:szCs w:val="18"/>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044D67E9" w14:textId="770A8E72"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2897FD6F" w14:textId="21AE4E5F" w:rsidR="00D8302C" w:rsidRPr="0098629B" w:rsidRDefault="00D8302C" w:rsidP="00D8302C">
            <w:pPr>
              <w:jc w:val="right"/>
              <w:rPr>
                <w:rFonts w:ascii="Times New Roman" w:hAnsi="Times New Roman"/>
                <w:sz w:val="14"/>
                <w:szCs w:val="18"/>
              </w:rPr>
            </w:pPr>
            <w:r w:rsidRPr="0098629B">
              <w:rPr>
                <w:sz w:val="14"/>
                <w:szCs w:val="18"/>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69E2501B" w14:textId="4748882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A281246" w14:textId="638AE86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51C193" w14:textId="257A6F0C"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17BFC72" w14:textId="3D38F58C"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C90654D" w14:textId="631BE160"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A8B042E" w14:textId="43D334B4" w:rsidR="00D8302C" w:rsidRPr="0098629B" w:rsidRDefault="00D8302C" w:rsidP="00D8302C">
            <w:pPr>
              <w:jc w:val="right"/>
              <w:rPr>
                <w:rFonts w:ascii="Times New Roman" w:hAnsi="Times New Roman"/>
                <w:sz w:val="14"/>
                <w:szCs w:val="18"/>
              </w:rPr>
            </w:pPr>
            <w:r w:rsidRPr="0098629B">
              <w:rPr>
                <w:sz w:val="14"/>
                <w:szCs w:val="18"/>
              </w:rPr>
              <w:t>NO,NE,NA</w:t>
            </w:r>
          </w:p>
        </w:tc>
      </w:tr>
      <w:tr w:rsidR="00D8302C" w:rsidRPr="0098629B" w14:paraId="4FAB79E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33EDC9B"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G. Harvested wood products</w:t>
            </w:r>
          </w:p>
        </w:tc>
        <w:tc>
          <w:tcPr>
            <w:tcW w:w="914" w:type="dxa"/>
            <w:tcBorders>
              <w:top w:val="nil"/>
              <w:left w:val="nil"/>
              <w:bottom w:val="single" w:sz="4" w:space="0" w:color="auto"/>
              <w:right w:val="single" w:sz="4" w:space="0" w:color="auto"/>
            </w:tcBorders>
            <w:shd w:val="clear" w:color="000000" w:fill="CCFFFF"/>
            <w:noWrap/>
            <w:vAlign w:val="bottom"/>
            <w:hideMark/>
          </w:tcPr>
          <w:p w14:paraId="2DA214E7" w14:textId="5DAF51BD" w:rsidR="00D8302C" w:rsidRPr="0098629B" w:rsidRDefault="00D8302C" w:rsidP="00D8302C">
            <w:pPr>
              <w:jc w:val="right"/>
              <w:rPr>
                <w:rFonts w:ascii="Times New Roman" w:hAnsi="Times New Roman"/>
                <w:sz w:val="14"/>
                <w:szCs w:val="18"/>
              </w:rPr>
            </w:pPr>
            <w:r w:rsidRPr="0098629B">
              <w:rPr>
                <w:sz w:val="14"/>
                <w:szCs w:val="18"/>
              </w:rPr>
              <w:t>-814,43</w:t>
            </w:r>
          </w:p>
        </w:tc>
        <w:tc>
          <w:tcPr>
            <w:tcW w:w="820" w:type="dxa"/>
            <w:tcBorders>
              <w:top w:val="nil"/>
              <w:left w:val="nil"/>
              <w:bottom w:val="single" w:sz="4" w:space="0" w:color="auto"/>
              <w:right w:val="single" w:sz="4" w:space="0" w:color="auto"/>
            </w:tcBorders>
            <w:shd w:val="clear" w:color="000000" w:fill="969696"/>
            <w:noWrap/>
            <w:vAlign w:val="bottom"/>
            <w:hideMark/>
          </w:tcPr>
          <w:p w14:paraId="3E08BFA7" w14:textId="0649648D"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0AD4C6C" w14:textId="340D0757"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359B482" w14:textId="0149555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6EC102" w14:textId="48B1FFBC"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AEF4524" w14:textId="4F17E76B"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83C40A2" w14:textId="58C076EC"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A88566C" w14:textId="76F118B5"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B6869B0" w14:textId="333553DC" w:rsidR="00D8302C" w:rsidRPr="0098629B" w:rsidRDefault="00D8302C" w:rsidP="00D8302C">
            <w:pPr>
              <w:jc w:val="right"/>
              <w:rPr>
                <w:rFonts w:ascii="Times New Roman" w:hAnsi="Times New Roman"/>
                <w:sz w:val="14"/>
                <w:szCs w:val="18"/>
              </w:rPr>
            </w:pPr>
            <w:r w:rsidRPr="0098629B">
              <w:rPr>
                <w:sz w:val="14"/>
                <w:szCs w:val="18"/>
              </w:rPr>
              <w:t>-814,43</w:t>
            </w:r>
          </w:p>
        </w:tc>
      </w:tr>
      <w:tr w:rsidR="00D8302C" w:rsidRPr="0098629B" w14:paraId="2E775E1F"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0705B27"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H. Other</w:t>
            </w:r>
            <w:r w:rsidRPr="0098629B">
              <w:rPr>
                <w:rFonts w:ascii="Times New Roman" w:hAnsi="Times New Roman"/>
                <w:i/>
                <w:iCs/>
                <w:sz w:val="14"/>
                <w:szCs w:val="18"/>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71659E8A" w14:textId="48BAB9D9" w:rsidR="00D8302C" w:rsidRPr="0098629B" w:rsidRDefault="00D8302C" w:rsidP="00D8302C">
            <w:pPr>
              <w:jc w:val="right"/>
              <w:rPr>
                <w:rFonts w:ascii="Times New Roman" w:hAnsi="Times New Roman"/>
                <w:sz w:val="14"/>
                <w:szCs w:val="18"/>
              </w:rPr>
            </w:pPr>
            <w:r w:rsidRPr="0098629B">
              <w:rPr>
                <w:sz w:val="14"/>
                <w:szCs w:val="18"/>
              </w:rPr>
              <w:t>39,82</w:t>
            </w:r>
          </w:p>
        </w:tc>
        <w:tc>
          <w:tcPr>
            <w:tcW w:w="820" w:type="dxa"/>
            <w:tcBorders>
              <w:top w:val="nil"/>
              <w:left w:val="nil"/>
              <w:bottom w:val="single" w:sz="4" w:space="0" w:color="auto"/>
              <w:right w:val="single" w:sz="4" w:space="0" w:color="auto"/>
            </w:tcBorders>
            <w:shd w:val="clear" w:color="000000" w:fill="CCFFFF"/>
            <w:noWrap/>
            <w:vAlign w:val="bottom"/>
            <w:hideMark/>
          </w:tcPr>
          <w:p w14:paraId="627FF6E3" w14:textId="31926CFF" w:rsidR="00D8302C" w:rsidRPr="0098629B" w:rsidRDefault="00D8302C" w:rsidP="00D8302C">
            <w:pPr>
              <w:jc w:val="right"/>
              <w:rPr>
                <w:rFonts w:ascii="Times New Roman" w:hAnsi="Times New Roman"/>
                <w:sz w:val="14"/>
                <w:szCs w:val="18"/>
              </w:rPr>
            </w:pPr>
            <w:r w:rsidRPr="0098629B">
              <w:rPr>
                <w:sz w:val="14"/>
                <w:szCs w:val="18"/>
              </w:rPr>
              <w:t>218,17</w:t>
            </w:r>
          </w:p>
        </w:tc>
        <w:tc>
          <w:tcPr>
            <w:tcW w:w="820" w:type="dxa"/>
            <w:tcBorders>
              <w:top w:val="nil"/>
              <w:left w:val="nil"/>
              <w:bottom w:val="single" w:sz="4" w:space="0" w:color="auto"/>
              <w:right w:val="single" w:sz="4" w:space="0" w:color="auto"/>
            </w:tcBorders>
            <w:shd w:val="clear" w:color="000000" w:fill="CCFFFF"/>
            <w:noWrap/>
            <w:vAlign w:val="bottom"/>
            <w:hideMark/>
          </w:tcPr>
          <w:p w14:paraId="622F5747" w14:textId="27C4F844" w:rsidR="00D8302C" w:rsidRPr="0098629B" w:rsidRDefault="00D8302C" w:rsidP="00D8302C">
            <w:pPr>
              <w:jc w:val="right"/>
              <w:rPr>
                <w:rFonts w:ascii="Times New Roman" w:hAnsi="Times New Roman"/>
                <w:sz w:val="14"/>
                <w:szCs w:val="18"/>
              </w:rPr>
            </w:pPr>
            <w:r w:rsidRPr="0098629B">
              <w:rPr>
                <w:sz w:val="14"/>
                <w:szCs w:val="18"/>
              </w:rPr>
              <w:t>NA</w:t>
            </w:r>
          </w:p>
        </w:tc>
        <w:tc>
          <w:tcPr>
            <w:tcW w:w="820" w:type="dxa"/>
            <w:tcBorders>
              <w:top w:val="nil"/>
              <w:left w:val="nil"/>
              <w:bottom w:val="single" w:sz="4" w:space="0" w:color="auto"/>
              <w:right w:val="single" w:sz="4" w:space="0" w:color="auto"/>
            </w:tcBorders>
            <w:shd w:val="clear" w:color="000000" w:fill="969696"/>
            <w:noWrap/>
            <w:vAlign w:val="bottom"/>
            <w:hideMark/>
          </w:tcPr>
          <w:p w14:paraId="4D341F73" w14:textId="07990441"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A764C1" w14:textId="31D917B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7D1221F" w14:textId="2F3218CB"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D16C938" w14:textId="55A25222"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E32278A" w14:textId="5BCC321C"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5238378" w14:textId="1B6355D5" w:rsidR="00D8302C" w:rsidRPr="0098629B" w:rsidRDefault="00D8302C" w:rsidP="00D8302C">
            <w:pPr>
              <w:jc w:val="right"/>
              <w:rPr>
                <w:rFonts w:ascii="Times New Roman" w:hAnsi="Times New Roman"/>
                <w:sz w:val="14"/>
                <w:szCs w:val="18"/>
              </w:rPr>
            </w:pPr>
            <w:r w:rsidRPr="0098629B">
              <w:rPr>
                <w:sz w:val="14"/>
                <w:szCs w:val="18"/>
              </w:rPr>
              <w:t>257,99</w:t>
            </w:r>
          </w:p>
        </w:tc>
      </w:tr>
      <w:tr w:rsidR="00D8302C" w:rsidRPr="0098629B" w14:paraId="039587D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462A8B3" w14:textId="77777777" w:rsidR="00D8302C" w:rsidRPr="0098629B" w:rsidRDefault="00D8302C" w:rsidP="00D8302C">
            <w:pPr>
              <w:jc w:val="left"/>
              <w:rPr>
                <w:rFonts w:ascii="Times New Roman" w:hAnsi="Times New Roman"/>
                <w:b/>
                <w:bCs/>
                <w:sz w:val="14"/>
                <w:szCs w:val="18"/>
              </w:rPr>
            </w:pPr>
            <w:r w:rsidRPr="0098629B">
              <w:rPr>
                <w:rFonts w:ascii="Times New Roman" w:hAnsi="Times New Roman"/>
                <w:b/>
                <w:bCs/>
                <w:sz w:val="14"/>
                <w:szCs w:val="18"/>
              </w:rPr>
              <w:t>5.  Waste</w:t>
            </w:r>
          </w:p>
        </w:tc>
        <w:tc>
          <w:tcPr>
            <w:tcW w:w="914" w:type="dxa"/>
            <w:tcBorders>
              <w:top w:val="nil"/>
              <w:left w:val="nil"/>
              <w:bottom w:val="single" w:sz="4" w:space="0" w:color="auto"/>
              <w:right w:val="single" w:sz="4" w:space="0" w:color="auto"/>
            </w:tcBorders>
            <w:shd w:val="clear" w:color="000000" w:fill="CCFFFF"/>
            <w:noWrap/>
            <w:vAlign w:val="bottom"/>
            <w:hideMark/>
          </w:tcPr>
          <w:p w14:paraId="47EEA1E9" w14:textId="5CFFF5EF" w:rsidR="00D8302C" w:rsidRPr="0098629B" w:rsidRDefault="00D8302C" w:rsidP="00D8302C">
            <w:pPr>
              <w:jc w:val="right"/>
              <w:rPr>
                <w:rFonts w:ascii="Times New Roman" w:hAnsi="Times New Roman"/>
                <w:sz w:val="14"/>
                <w:szCs w:val="18"/>
              </w:rPr>
            </w:pPr>
            <w:r w:rsidRPr="0098629B">
              <w:rPr>
                <w:sz w:val="14"/>
                <w:szCs w:val="18"/>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28C63B0B" w14:textId="7F834C6C" w:rsidR="00D8302C" w:rsidRPr="0098629B" w:rsidRDefault="00D8302C" w:rsidP="00D8302C">
            <w:pPr>
              <w:jc w:val="right"/>
              <w:rPr>
                <w:rFonts w:ascii="Times New Roman" w:hAnsi="Times New Roman"/>
                <w:sz w:val="14"/>
                <w:szCs w:val="18"/>
              </w:rPr>
            </w:pPr>
            <w:r w:rsidRPr="0098629B">
              <w:rPr>
                <w:sz w:val="14"/>
                <w:szCs w:val="18"/>
              </w:rPr>
              <w:t>15458,25</w:t>
            </w:r>
          </w:p>
        </w:tc>
        <w:tc>
          <w:tcPr>
            <w:tcW w:w="820" w:type="dxa"/>
            <w:tcBorders>
              <w:top w:val="nil"/>
              <w:left w:val="nil"/>
              <w:bottom w:val="single" w:sz="4" w:space="0" w:color="auto"/>
              <w:right w:val="single" w:sz="4" w:space="0" w:color="auto"/>
            </w:tcBorders>
            <w:shd w:val="clear" w:color="000000" w:fill="CCFFFF"/>
            <w:noWrap/>
            <w:vAlign w:val="bottom"/>
            <w:hideMark/>
          </w:tcPr>
          <w:p w14:paraId="57D3CED7" w14:textId="0B46150A" w:rsidR="00D8302C" w:rsidRPr="0098629B" w:rsidRDefault="00D8302C" w:rsidP="00D8302C">
            <w:pPr>
              <w:jc w:val="right"/>
              <w:rPr>
                <w:rFonts w:ascii="Times New Roman" w:hAnsi="Times New Roman"/>
                <w:sz w:val="14"/>
                <w:szCs w:val="18"/>
              </w:rPr>
            </w:pPr>
            <w:r w:rsidRPr="0098629B">
              <w:rPr>
                <w:sz w:val="14"/>
                <w:szCs w:val="18"/>
              </w:rPr>
              <w:t>596,95</w:t>
            </w:r>
          </w:p>
        </w:tc>
        <w:tc>
          <w:tcPr>
            <w:tcW w:w="820" w:type="dxa"/>
            <w:tcBorders>
              <w:top w:val="nil"/>
              <w:left w:val="nil"/>
              <w:bottom w:val="single" w:sz="4" w:space="0" w:color="auto"/>
              <w:right w:val="single" w:sz="4" w:space="0" w:color="auto"/>
            </w:tcBorders>
            <w:shd w:val="clear" w:color="000000" w:fill="969696"/>
            <w:noWrap/>
            <w:vAlign w:val="bottom"/>
            <w:hideMark/>
          </w:tcPr>
          <w:p w14:paraId="73B2F0A2" w14:textId="504FA571"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C67196" w14:textId="596B961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2004F5A" w14:textId="5E3B680A"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0F0EA96" w14:textId="01F4E541"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56473DC" w14:textId="75A9FCCE"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9BD7099" w14:textId="637E463C" w:rsidR="00D8302C" w:rsidRPr="0098629B" w:rsidRDefault="00D8302C" w:rsidP="00D8302C">
            <w:pPr>
              <w:jc w:val="right"/>
              <w:rPr>
                <w:rFonts w:ascii="Times New Roman" w:hAnsi="Times New Roman"/>
                <w:sz w:val="14"/>
                <w:szCs w:val="18"/>
              </w:rPr>
            </w:pPr>
            <w:r w:rsidRPr="0098629B">
              <w:rPr>
                <w:sz w:val="14"/>
                <w:szCs w:val="18"/>
              </w:rPr>
              <w:t>17658,14</w:t>
            </w:r>
          </w:p>
        </w:tc>
      </w:tr>
      <w:tr w:rsidR="00D8302C" w:rsidRPr="0098629B" w14:paraId="4A89D97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A88BF96"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A.  Solid waste disposal</w:t>
            </w:r>
            <w:r w:rsidRPr="0098629B">
              <w:rPr>
                <w:rFonts w:ascii="Times New Roman" w:hAnsi="Times New Roman"/>
                <w:b/>
                <w:bCs/>
                <w:sz w:val="14"/>
                <w:szCs w:val="18"/>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0B2AA2BB" w14:textId="46CAB698" w:rsidR="00D8302C" w:rsidRPr="0098629B" w:rsidRDefault="00D8302C" w:rsidP="00D8302C">
            <w:pPr>
              <w:jc w:val="right"/>
              <w:rPr>
                <w:rFonts w:ascii="Times New Roman" w:hAnsi="Times New Roman"/>
                <w:sz w:val="14"/>
                <w:szCs w:val="18"/>
              </w:rPr>
            </w:pPr>
            <w:r w:rsidRPr="0098629B">
              <w:rPr>
                <w:sz w:val="14"/>
                <w:szCs w:val="18"/>
              </w:rPr>
              <w:t>NA</w:t>
            </w:r>
          </w:p>
        </w:tc>
        <w:tc>
          <w:tcPr>
            <w:tcW w:w="820" w:type="dxa"/>
            <w:tcBorders>
              <w:top w:val="nil"/>
              <w:left w:val="nil"/>
              <w:bottom w:val="single" w:sz="4" w:space="0" w:color="auto"/>
              <w:right w:val="single" w:sz="4" w:space="0" w:color="auto"/>
            </w:tcBorders>
            <w:shd w:val="clear" w:color="000000" w:fill="CCFFFF"/>
            <w:noWrap/>
            <w:vAlign w:val="bottom"/>
            <w:hideMark/>
          </w:tcPr>
          <w:p w14:paraId="7DB18D1D" w14:textId="4ABD997B" w:rsidR="00D8302C" w:rsidRPr="0098629B" w:rsidRDefault="00D8302C" w:rsidP="00D8302C">
            <w:pPr>
              <w:jc w:val="right"/>
              <w:rPr>
                <w:rFonts w:ascii="Times New Roman" w:hAnsi="Times New Roman"/>
                <w:sz w:val="14"/>
                <w:szCs w:val="18"/>
              </w:rPr>
            </w:pPr>
            <w:r w:rsidRPr="0098629B">
              <w:rPr>
                <w:sz w:val="14"/>
                <w:szCs w:val="18"/>
              </w:rPr>
              <w:t>11964,89</w:t>
            </w:r>
          </w:p>
        </w:tc>
        <w:tc>
          <w:tcPr>
            <w:tcW w:w="820" w:type="dxa"/>
            <w:tcBorders>
              <w:top w:val="nil"/>
              <w:left w:val="nil"/>
              <w:bottom w:val="single" w:sz="4" w:space="0" w:color="auto"/>
              <w:right w:val="single" w:sz="4" w:space="0" w:color="auto"/>
            </w:tcBorders>
            <w:shd w:val="clear" w:color="000000" w:fill="969696"/>
            <w:noWrap/>
            <w:vAlign w:val="bottom"/>
            <w:hideMark/>
          </w:tcPr>
          <w:p w14:paraId="1F7F7FAF" w14:textId="693138A9"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95210A5" w14:textId="5CC6B09E"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C55935C" w14:textId="3CB9A0CC"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A030F5B" w14:textId="02CF10F0"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270F538" w14:textId="39E38CE1"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27C330C" w14:textId="49AA032C"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1BF14B2" w14:textId="6B28FEA9" w:rsidR="00D8302C" w:rsidRPr="0098629B" w:rsidRDefault="00D8302C" w:rsidP="00D8302C">
            <w:pPr>
              <w:jc w:val="right"/>
              <w:rPr>
                <w:rFonts w:ascii="Times New Roman" w:hAnsi="Times New Roman"/>
                <w:sz w:val="14"/>
                <w:szCs w:val="18"/>
              </w:rPr>
            </w:pPr>
            <w:r w:rsidRPr="0098629B">
              <w:rPr>
                <w:sz w:val="14"/>
                <w:szCs w:val="18"/>
              </w:rPr>
              <w:t>11964,89</w:t>
            </w:r>
          </w:p>
        </w:tc>
      </w:tr>
      <w:tr w:rsidR="00D8302C" w:rsidRPr="0098629B" w14:paraId="2623DF5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56985AD"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B.  Biological treatment of solid waste</w:t>
            </w:r>
          </w:p>
        </w:tc>
        <w:tc>
          <w:tcPr>
            <w:tcW w:w="914" w:type="dxa"/>
            <w:tcBorders>
              <w:top w:val="nil"/>
              <w:left w:val="nil"/>
              <w:bottom w:val="single" w:sz="4" w:space="0" w:color="auto"/>
              <w:right w:val="single" w:sz="4" w:space="0" w:color="auto"/>
            </w:tcBorders>
            <w:shd w:val="clear" w:color="000000" w:fill="969696"/>
            <w:noWrap/>
            <w:vAlign w:val="bottom"/>
            <w:hideMark/>
          </w:tcPr>
          <w:p w14:paraId="5C39FB96" w14:textId="0CCA65CA" w:rsidR="00D8302C" w:rsidRPr="0098629B" w:rsidRDefault="00D8302C" w:rsidP="00D8302C">
            <w:pPr>
              <w:jc w:val="right"/>
              <w:rPr>
                <w:rFonts w:ascii="Times New Roman" w:hAnsi="Times New Roman"/>
                <w:sz w:val="14"/>
                <w:szCs w:val="18"/>
                <w:lang w:val="en-GB"/>
              </w:rPr>
            </w:pPr>
            <w:r w:rsidRPr="0098629B">
              <w:rPr>
                <w:sz w:val="14"/>
                <w:szCs w:val="18"/>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7759D1B" w14:textId="2DD4C5EE" w:rsidR="00D8302C" w:rsidRPr="0098629B" w:rsidRDefault="00D8302C" w:rsidP="00D8302C">
            <w:pPr>
              <w:jc w:val="right"/>
              <w:rPr>
                <w:rFonts w:ascii="Times New Roman" w:hAnsi="Times New Roman"/>
                <w:sz w:val="14"/>
                <w:szCs w:val="18"/>
              </w:rPr>
            </w:pPr>
            <w:r w:rsidRPr="0098629B">
              <w:rPr>
                <w:sz w:val="14"/>
                <w:szCs w:val="18"/>
              </w:rPr>
              <w:t>1125,28</w:t>
            </w:r>
          </w:p>
        </w:tc>
        <w:tc>
          <w:tcPr>
            <w:tcW w:w="820" w:type="dxa"/>
            <w:tcBorders>
              <w:top w:val="nil"/>
              <w:left w:val="nil"/>
              <w:bottom w:val="single" w:sz="4" w:space="0" w:color="auto"/>
              <w:right w:val="single" w:sz="4" w:space="0" w:color="auto"/>
            </w:tcBorders>
            <w:shd w:val="clear" w:color="000000" w:fill="CCFFFF"/>
            <w:noWrap/>
            <w:vAlign w:val="bottom"/>
            <w:hideMark/>
          </w:tcPr>
          <w:p w14:paraId="3618F910" w14:textId="3A9C6A7C" w:rsidR="00D8302C" w:rsidRPr="0098629B" w:rsidRDefault="00D8302C" w:rsidP="00D8302C">
            <w:pPr>
              <w:jc w:val="right"/>
              <w:rPr>
                <w:rFonts w:ascii="Times New Roman" w:hAnsi="Times New Roman"/>
                <w:sz w:val="14"/>
                <w:szCs w:val="18"/>
              </w:rPr>
            </w:pPr>
            <w:r w:rsidRPr="0098629B">
              <w:rPr>
                <w:sz w:val="14"/>
                <w:szCs w:val="18"/>
              </w:rPr>
              <w:t>215,09</w:t>
            </w:r>
          </w:p>
        </w:tc>
        <w:tc>
          <w:tcPr>
            <w:tcW w:w="820" w:type="dxa"/>
            <w:tcBorders>
              <w:top w:val="nil"/>
              <w:left w:val="nil"/>
              <w:bottom w:val="single" w:sz="4" w:space="0" w:color="auto"/>
              <w:right w:val="single" w:sz="4" w:space="0" w:color="auto"/>
            </w:tcBorders>
            <w:shd w:val="clear" w:color="000000" w:fill="969696"/>
            <w:noWrap/>
            <w:vAlign w:val="bottom"/>
            <w:hideMark/>
          </w:tcPr>
          <w:p w14:paraId="7717B5FF" w14:textId="32054869"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ADFA03" w14:textId="13DE424E"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45D2107" w14:textId="7FB968F2"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3C8DE84" w14:textId="0FD0FC68"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C0D20AD" w14:textId="638E1188"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EAB8BED" w14:textId="21EBE016" w:rsidR="00D8302C" w:rsidRPr="0098629B" w:rsidRDefault="00D8302C" w:rsidP="00D8302C">
            <w:pPr>
              <w:jc w:val="right"/>
              <w:rPr>
                <w:rFonts w:ascii="Times New Roman" w:hAnsi="Times New Roman"/>
                <w:sz w:val="14"/>
                <w:szCs w:val="18"/>
              </w:rPr>
            </w:pPr>
            <w:r w:rsidRPr="0098629B">
              <w:rPr>
                <w:sz w:val="14"/>
                <w:szCs w:val="18"/>
              </w:rPr>
              <w:t>1340,37</w:t>
            </w:r>
          </w:p>
        </w:tc>
      </w:tr>
      <w:tr w:rsidR="00D8302C" w:rsidRPr="0098629B" w14:paraId="48D2BC31"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493BB0B8"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C.  Incineration and open burning of waste</w:t>
            </w:r>
          </w:p>
        </w:tc>
        <w:tc>
          <w:tcPr>
            <w:tcW w:w="914" w:type="dxa"/>
            <w:tcBorders>
              <w:top w:val="nil"/>
              <w:left w:val="nil"/>
              <w:bottom w:val="single" w:sz="4" w:space="0" w:color="auto"/>
              <w:right w:val="single" w:sz="4" w:space="0" w:color="auto"/>
            </w:tcBorders>
            <w:shd w:val="clear" w:color="000000" w:fill="CCFFFF"/>
            <w:noWrap/>
            <w:vAlign w:val="bottom"/>
            <w:hideMark/>
          </w:tcPr>
          <w:p w14:paraId="11F771D1" w14:textId="3801DD41" w:rsidR="00D8302C" w:rsidRPr="0098629B" w:rsidRDefault="00D8302C" w:rsidP="00D8302C">
            <w:pPr>
              <w:jc w:val="right"/>
              <w:rPr>
                <w:rFonts w:ascii="Times New Roman" w:hAnsi="Times New Roman"/>
                <w:sz w:val="14"/>
                <w:szCs w:val="18"/>
              </w:rPr>
            </w:pPr>
            <w:r w:rsidRPr="0098629B">
              <w:rPr>
                <w:sz w:val="14"/>
                <w:szCs w:val="18"/>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5CD612C6" w14:textId="0A81C6A0" w:rsidR="00D8302C" w:rsidRPr="0098629B" w:rsidRDefault="00D8302C" w:rsidP="00D8302C">
            <w:pPr>
              <w:jc w:val="right"/>
              <w:rPr>
                <w:rFonts w:ascii="Times New Roman" w:hAnsi="Times New Roman"/>
                <w:sz w:val="14"/>
                <w:szCs w:val="18"/>
              </w:rPr>
            </w:pPr>
            <w:r w:rsidRPr="0098629B">
              <w:rPr>
                <w:sz w:val="14"/>
                <w:szCs w:val="18"/>
              </w:rPr>
              <w:t>37,98</w:t>
            </w:r>
          </w:p>
        </w:tc>
        <w:tc>
          <w:tcPr>
            <w:tcW w:w="820" w:type="dxa"/>
            <w:tcBorders>
              <w:top w:val="nil"/>
              <w:left w:val="nil"/>
              <w:bottom w:val="single" w:sz="4" w:space="0" w:color="auto"/>
              <w:right w:val="single" w:sz="4" w:space="0" w:color="auto"/>
            </w:tcBorders>
            <w:shd w:val="clear" w:color="000000" w:fill="CCFFFF"/>
            <w:noWrap/>
            <w:vAlign w:val="bottom"/>
            <w:hideMark/>
          </w:tcPr>
          <w:p w14:paraId="1B9B2A72" w14:textId="3265328D" w:rsidR="00D8302C" w:rsidRPr="0098629B" w:rsidRDefault="00D8302C" w:rsidP="00D8302C">
            <w:pPr>
              <w:jc w:val="right"/>
              <w:rPr>
                <w:rFonts w:ascii="Times New Roman" w:hAnsi="Times New Roman"/>
                <w:sz w:val="14"/>
                <w:szCs w:val="18"/>
              </w:rPr>
            </w:pPr>
            <w:r w:rsidRPr="0098629B">
              <w:rPr>
                <w:sz w:val="14"/>
                <w:szCs w:val="18"/>
              </w:rPr>
              <w:t>62,83</w:t>
            </w:r>
          </w:p>
        </w:tc>
        <w:tc>
          <w:tcPr>
            <w:tcW w:w="820" w:type="dxa"/>
            <w:tcBorders>
              <w:top w:val="nil"/>
              <w:left w:val="nil"/>
              <w:bottom w:val="single" w:sz="4" w:space="0" w:color="auto"/>
              <w:right w:val="single" w:sz="4" w:space="0" w:color="auto"/>
            </w:tcBorders>
            <w:shd w:val="clear" w:color="000000" w:fill="969696"/>
            <w:noWrap/>
            <w:vAlign w:val="bottom"/>
            <w:hideMark/>
          </w:tcPr>
          <w:p w14:paraId="2AB81C33" w14:textId="12D498DB"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41EA09F" w14:textId="626A4914"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604FAA2" w14:textId="7E2D5145"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0FF0E5" w14:textId="5D36CFBF"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6994514" w14:textId="3D72EB24"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0FBD979" w14:textId="1278E9A4" w:rsidR="00D8302C" w:rsidRPr="0098629B" w:rsidRDefault="00D8302C" w:rsidP="00D8302C">
            <w:pPr>
              <w:jc w:val="right"/>
              <w:rPr>
                <w:rFonts w:ascii="Times New Roman" w:hAnsi="Times New Roman"/>
                <w:sz w:val="14"/>
                <w:szCs w:val="18"/>
              </w:rPr>
            </w:pPr>
            <w:r w:rsidRPr="0098629B">
              <w:rPr>
                <w:sz w:val="14"/>
                <w:szCs w:val="18"/>
              </w:rPr>
              <w:t>1703,74</w:t>
            </w:r>
          </w:p>
        </w:tc>
      </w:tr>
      <w:tr w:rsidR="00D8302C" w:rsidRPr="0098629B" w14:paraId="7D49F78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78A7758" w14:textId="77777777" w:rsidR="00D8302C" w:rsidRPr="0098629B" w:rsidRDefault="00D8302C" w:rsidP="00D8302C">
            <w:pPr>
              <w:jc w:val="left"/>
              <w:rPr>
                <w:rFonts w:ascii="Times New Roman" w:hAnsi="Times New Roman"/>
                <w:sz w:val="14"/>
                <w:szCs w:val="18"/>
                <w:lang w:val="en-GB"/>
              </w:rPr>
            </w:pPr>
            <w:r w:rsidRPr="0098629B">
              <w:rPr>
                <w:rFonts w:ascii="Times New Roman" w:hAnsi="Times New Roman"/>
                <w:sz w:val="14"/>
                <w:szCs w:val="18"/>
                <w:lang w:val="en-GB"/>
              </w:rPr>
              <w:t>D.  Waste water treatment and discharge</w:t>
            </w:r>
          </w:p>
        </w:tc>
        <w:tc>
          <w:tcPr>
            <w:tcW w:w="914" w:type="dxa"/>
            <w:tcBorders>
              <w:top w:val="nil"/>
              <w:left w:val="nil"/>
              <w:bottom w:val="single" w:sz="4" w:space="0" w:color="auto"/>
              <w:right w:val="single" w:sz="4" w:space="0" w:color="auto"/>
            </w:tcBorders>
            <w:shd w:val="clear" w:color="000000" w:fill="969696"/>
            <w:noWrap/>
            <w:vAlign w:val="bottom"/>
            <w:hideMark/>
          </w:tcPr>
          <w:p w14:paraId="7611591C" w14:textId="1C23263E" w:rsidR="00D8302C" w:rsidRPr="0098629B" w:rsidRDefault="00D8302C" w:rsidP="00D8302C">
            <w:pPr>
              <w:jc w:val="right"/>
              <w:rPr>
                <w:rFonts w:ascii="Times New Roman" w:hAnsi="Times New Roman"/>
                <w:sz w:val="14"/>
                <w:szCs w:val="18"/>
                <w:lang w:val="en-GB"/>
              </w:rPr>
            </w:pPr>
            <w:r w:rsidRPr="0098629B">
              <w:rPr>
                <w:sz w:val="14"/>
                <w:szCs w:val="18"/>
                <w:lang w:val="en-GB"/>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129487D4" w14:textId="1D9B08B0" w:rsidR="00D8302C" w:rsidRPr="0098629B" w:rsidRDefault="00D8302C" w:rsidP="00D8302C">
            <w:pPr>
              <w:jc w:val="right"/>
              <w:rPr>
                <w:rFonts w:ascii="Times New Roman" w:hAnsi="Times New Roman"/>
                <w:sz w:val="14"/>
                <w:szCs w:val="18"/>
              </w:rPr>
            </w:pPr>
            <w:r w:rsidRPr="0098629B">
              <w:rPr>
                <w:sz w:val="14"/>
                <w:szCs w:val="18"/>
              </w:rPr>
              <w:t>2330,11</w:t>
            </w:r>
          </w:p>
        </w:tc>
        <w:tc>
          <w:tcPr>
            <w:tcW w:w="820" w:type="dxa"/>
            <w:tcBorders>
              <w:top w:val="nil"/>
              <w:left w:val="nil"/>
              <w:bottom w:val="single" w:sz="4" w:space="0" w:color="auto"/>
              <w:right w:val="single" w:sz="4" w:space="0" w:color="auto"/>
            </w:tcBorders>
            <w:shd w:val="clear" w:color="000000" w:fill="CCFFFF"/>
            <w:noWrap/>
            <w:vAlign w:val="bottom"/>
            <w:hideMark/>
          </w:tcPr>
          <w:p w14:paraId="672B7ED8" w14:textId="7248D197" w:rsidR="00D8302C" w:rsidRPr="0098629B" w:rsidRDefault="00D8302C" w:rsidP="00D8302C">
            <w:pPr>
              <w:jc w:val="right"/>
              <w:rPr>
                <w:rFonts w:ascii="Times New Roman" w:hAnsi="Times New Roman"/>
                <w:sz w:val="14"/>
                <w:szCs w:val="18"/>
              </w:rPr>
            </w:pPr>
            <w:r w:rsidRPr="0098629B">
              <w:rPr>
                <w:sz w:val="14"/>
                <w:szCs w:val="18"/>
              </w:rPr>
              <w:t>319,03</w:t>
            </w:r>
          </w:p>
        </w:tc>
        <w:tc>
          <w:tcPr>
            <w:tcW w:w="820" w:type="dxa"/>
            <w:tcBorders>
              <w:top w:val="nil"/>
              <w:left w:val="nil"/>
              <w:bottom w:val="single" w:sz="4" w:space="0" w:color="auto"/>
              <w:right w:val="single" w:sz="4" w:space="0" w:color="auto"/>
            </w:tcBorders>
            <w:shd w:val="clear" w:color="000000" w:fill="969696"/>
            <w:noWrap/>
            <w:vAlign w:val="bottom"/>
            <w:hideMark/>
          </w:tcPr>
          <w:p w14:paraId="0AAE1278" w14:textId="29CD9053"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3072B95" w14:textId="3617632D"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51FD07D" w14:textId="71A38836"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08E31B0" w14:textId="0035AB3B"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A150475" w14:textId="00F59770"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358B5FA" w14:textId="0DF5E9A7" w:rsidR="00D8302C" w:rsidRPr="0098629B" w:rsidRDefault="00D8302C" w:rsidP="00D8302C">
            <w:pPr>
              <w:jc w:val="right"/>
              <w:rPr>
                <w:rFonts w:ascii="Times New Roman" w:hAnsi="Times New Roman"/>
                <w:sz w:val="14"/>
                <w:szCs w:val="18"/>
              </w:rPr>
            </w:pPr>
            <w:r w:rsidRPr="0098629B">
              <w:rPr>
                <w:sz w:val="14"/>
                <w:szCs w:val="18"/>
              </w:rPr>
              <w:t>2649,14</w:t>
            </w:r>
          </w:p>
        </w:tc>
      </w:tr>
      <w:tr w:rsidR="00D8302C" w:rsidRPr="0098629B" w14:paraId="38234994"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9A91F34" w14:textId="77777777" w:rsidR="00D8302C" w:rsidRPr="0098629B" w:rsidRDefault="00D8302C" w:rsidP="00D8302C">
            <w:pPr>
              <w:jc w:val="left"/>
              <w:rPr>
                <w:rFonts w:ascii="Times New Roman" w:hAnsi="Times New Roman"/>
                <w:sz w:val="14"/>
                <w:szCs w:val="18"/>
              </w:rPr>
            </w:pPr>
            <w:r w:rsidRPr="0098629B">
              <w:rPr>
                <w:rFonts w:ascii="Times New Roman" w:hAnsi="Times New Roman"/>
                <w:sz w:val="14"/>
                <w:szCs w:val="18"/>
              </w:rPr>
              <w:t>E.  Other</w:t>
            </w:r>
            <w:r w:rsidRPr="0098629B">
              <w:rPr>
                <w:rFonts w:ascii="Times New Roman" w:hAnsi="Times New Roman"/>
                <w:b/>
                <w:bCs/>
                <w:i/>
                <w:iCs/>
                <w:sz w:val="14"/>
                <w:szCs w:val="18"/>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081ED3CD" w14:textId="6B819FDA"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21B02502" w14:textId="7CF09FCD"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D8886C7" w14:textId="5489261C"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79A78450" w14:textId="76866B6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A8BF35D" w14:textId="7C7CC99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6040BD4" w14:textId="0A168B98"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446A412" w14:textId="7FEC19AB"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511417F" w14:textId="1B28D225"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20A81D3" w14:textId="4ADC0861" w:rsidR="00D8302C" w:rsidRPr="0098629B" w:rsidRDefault="00D8302C" w:rsidP="00D8302C">
            <w:pPr>
              <w:jc w:val="right"/>
              <w:rPr>
                <w:rFonts w:ascii="Times New Roman" w:hAnsi="Times New Roman"/>
                <w:sz w:val="14"/>
                <w:szCs w:val="18"/>
              </w:rPr>
            </w:pPr>
            <w:r w:rsidRPr="0098629B">
              <w:rPr>
                <w:sz w:val="14"/>
                <w:szCs w:val="18"/>
              </w:rPr>
              <w:t>NO</w:t>
            </w:r>
          </w:p>
        </w:tc>
      </w:tr>
      <w:tr w:rsidR="00D8302C" w:rsidRPr="0098629B" w14:paraId="0BD715DC"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CCA8902" w14:textId="77777777" w:rsidR="00D8302C" w:rsidRPr="0098629B" w:rsidRDefault="00D8302C" w:rsidP="00D8302C">
            <w:pPr>
              <w:jc w:val="left"/>
              <w:rPr>
                <w:rFonts w:ascii="Times New Roman" w:hAnsi="Times New Roman"/>
                <w:b/>
                <w:bCs/>
                <w:sz w:val="14"/>
                <w:szCs w:val="18"/>
                <w:lang w:val="en-GB"/>
              </w:rPr>
            </w:pPr>
            <w:r w:rsidRPr="0098629B">
              <w:rPr>
                <w:rFonts w:ascii="Times New Roman" w:hAnsi="Times New Roman"/>
                <w:b/>
                <w:bCs/>
                <w:sz w:val="14"/>
                <w:szCs w:val="18"/>
                <w:lang w:val="en-GB"/>
              </w:rPr>
              <w:t xml:space="preserve">6.  Other </w:t>
            </w:r>
            <w:r w:rsidRPr="0098629B">
              <w:rPr>
                <w:rFonts w:ascii="Times New Roman" w:hAnsi="Times New Roman"/>
                <w:b/>
                <w:bCs/>
                <w:i/>
                <w:iCs/>
                <w:sz w:val="14"/>
                <w:szCs w:val="18"/>
                <w:lang w:val="en-GB"/>
              </w:rPr>
              <w:t>(as specified in summary 1.A)</w:t>
            </w:r>
          </w:p>
        </w:tc>
        <w:tc>
          <w:tcPr>
            <w:tcW w:w="914" w:type="dxa"/>
            <w:tcBorders>
              <w:top w:val="nil"/>
              <w:left w:val="nil"/>
              <w:bottom w:val="single" w:sz="4" w:space="0" w:color="auto"/>
              <w:right w:val="single" w:sz="4" w:space="0" w:color="auto"/>
            </w:tcBorders>
            <w:shd w:val="clear" w:color="000000" w:fill="CCFFFF"/>
            <w:noWrap/>
            <w:vAlign w:val="bottom"/>
            <w:hideMark/>
          </w:tcPr>
          <w:p w14:paraId="40F6EE30" w14:textId="342B7DC7"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5C1C86D2" w14:textId="2091AD2B"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4D6D08E5" w14:textId="7C9C7FBB" w:rsidR="00D8302C" w:rsidRPr="0098629B" w:rsidRDefault="00D8302C" w:rsidP="00D8302C">
            <w:pPr>
              <w:jc w:val="right"/>
              <w:rPr>
                <w:rFonts w:ascii="Times New Roman" w:hAnsi="Times New Roman"/>
                <w:sz w:val="14"/>
                <w:szCs w:val="18"/>
              </w:rPr>
            </w:pPr>
            <w:r w:rsidRPr="0098629B">
              <w:rPr>
                <w:sz w:val="14"/>
                <w:szCs w:val="18"/>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AFB1487" w14:textId="30BC7E42" w:rsidR="00D8302C" w:rsidRPr="0098629B" w:rsidRDefault="00D8302C" w:rsidP="00D8302C">
            <w:pPr>
              <w:jc w:val="right"/>
              <w:rPr>
                <w:rFonts w:ascii="Times New Roman" w:hAnsi="Times New Roman"/>
                <w:sz w:val="14"/>
                <w:szCs w:val="18"/>
              </w:rPr>
            </w:pPr>
            <w:r w:rsidRPr="0098629B">
              <w:rPr>
                <w:sz w:val="14"/>
                <w:szCs w:val="18"/>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3D4F68FE" w14:textId="3E7C7D63" w:rsidR="00D8302C" w:rsidRPr="0098629B" w:rsidRDefault="00D8302C" w:rsidP="00D8302C">
            <w:pPr>
              <w:jc w:val="right"/>
              <w:rPr>
                <w:rFonts w:ascii="Times New Roman" w:hAnsi="Times New Roman"/>
                <w:sz w:val="14"/>
                <w:szCs w:val="18"/>
              </w:rPr>
            </w:pPr>
            <w:r w:rsidRPr="0098629B">
              <w:rPr>
                <w:sz w:val="14"/>
                <w:szCs w:val="18"/>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2A7BAC1F" w14:textId="4A91D023" w:rsidR="00D8302C" w:rsidRPr="0098629B" w:rsidRDefault="00D8302C" w:rsidP="00D8302C">
            <w:pPr>
              <w:jc w:val="right"/>
              <w:rPr>
                <w:rFonts w:ascii="Times New Roman" w:hAnsi="Times New Roman"/>
                <w:sz w:val="14"/>
                <w:szCs w:val="18"/>
              </w:rPr>
            </w:pPr>
            <w:r w:rsidRPr="0098629B">
              <w:rPr>
                <w:sz w:val="14"/>
                <w:szCs w:val="18"/>
              </w:rPr>
              <w:t>NO</w:t>
            </w:r>
          </w:p>
        </w:tc>
        <w:tc>
          <w:tcPr>
            <w:tcW w:w="1276" w:type="dxa"/>
            <w:tcBorders>
              <w:top w:val="nil"/>
              <w:left w:val="nil"/>
              <w:bottom w:val="single" w:sz="4" w:space="0" w:color="auto"/>
              <w:right w:val="single" w:sz="4" w:space="0" w:color="auto"/>
            </w:tcBorders>
            <w:shd w:val="clear" w:color="000000" w:fill="CCFFFF"/>
            <w:noWrap/>
            <w:vAlign w:val="bottom"/>
            <w:hideMark/>
          </w:tcPr>
          <w:p w14:paraId="6586DE8D" w14:textId="05312BAA" w:rsidR="00D8302C" w:rsidRPr="0098629B" w:rsidRDefault="00D8302C" w:rsidP="00D8302C">
            <w:pPr>
              <w:jc w:val="right"/>
              <w:rPr>
                <w:rFonts w:ascii="Times New Roman" w:hAnsi="Times New Roman"/>
                <w:sz w:val="14"/>
                <w:szCs w:val="18"/>
              </w:rPr>
            </w:pPr>
            <w:r w:rsidRPr="0098629B">
              <w:rPr>
                <w:sz w:val="14"/>
                <w:szCs w:val="18"/>
              </w:rPr>
              <w:t>NO</w:t>
            </w:r>
          </w:p>
        </w:tc>
        <w:tc>
          <w:tcPr>
            <w:tcW w:w="580" w:type="dxa"/>
            <w:tcBorders>
              <w:top w:val="nil"/>
              <w:left w:val="nil"/>
              <w:bottom w:val="single" w:sz="4" w:space="0" w:color="auto"/>
              <w:right w:val="single" w:sz="4" w:space="0" w:color="auto"/>
            </w:tcBorders>
            <w:shd w:val="clear" w:color="000000" w:fill="CCFFFF"/>
            <w:noWrap/>
            <w:vAlign w:val="bottom"/>
            <w:hideMark/>
          </w:tcPr>
          <w:p w14:paraId="0214B765" w14:textId="1843C83D" w:rsidR="00D8302C" w:rsidRPr="0098629B" w:rsidRDefault="00D8302C" w:rsidP="00D8302C">
            <w:pPr>
              <w:jc w:val="right"/>
              <w:rPr>
                <w:rFonts w:ascii="Times New Roman" w:hAnsi="Times New Roman"/>
                <w:sz w:val="14"/>
                <w:szCs w:val="18"/>
              </w:rPr>
            </w:pPr>
            <w:r w:rsidRPr="0098629B">
              <w:rPr>
                <w:sz w:val="14"/>
                <w:szCs w:val="18"/>
              </w:rPr>
              <w:t>NO</w:t>
            </w:r>
          </w:p>
        </w:tc>
        <w:tc>
          <w:tcPr>
            <w:tcW w:w="976" w:type="dxa"/>
            <w:tcBorders>
              <w:top w:val="nil"/>
              <w:left w:val="nil"/>
              <w:bottom w:val="single" w:sz="4" w:space="0" w:color="auto"/>
              <w:right w:val="single" w:sz="4" w:space="0" w:color="auto"/>
            </w:tcBorders>
            <w:shd w:val="clear" w:color="000000" w:fill="CCFFFF"/>
            <w:noWrap/>
            <w:vAlign w:val="bottom"/>
            <w:hideMark/>
          </w:tcPr>
          <w:p w14:paraId="6FCC4DF1" w14:textId="019BEDD8" w:rsidR="00D8302C" w:rsidRPr="0098629B" w:rsidRDefault="00D8302C" w:rsidP="00D8302C">
            <w:pPr>
              <w:jc w:val="right"/>
              <w:rPr>
                <w:rFonts w:ascii="Times New Roman" w:hAnsi="Times New Roman"/>
                <w:sz w:val="14"/>
                <w:szCs w:val="18"/>
              </w:rPr>
            </w:pPr>
            <w:r w:rsidRPr="0098629B">
              <w:rPr>
                <w:sz w:val="14"/>
                <w:szCs w:val="18"/>
              </w:rPr>
              <w:t>NO</w:t>
            </w:r>
          </w:p>
        </w:tc>
      </w:tr>
      <w:tr w:rsidR="00D8302C" w:rsidRPr="0098629B" w14:paraId="1161CDA3" w14:textId="77777777" w:rsidTr="00D8302C">
        <w:trPr>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56E5457" w14:textId="6AFC9EF8" w:rsidR="00D8302C" w:rsidRPr="0098629B" w:rsidRDefault="00D8302C" w:rsidP="00D8302C">
            <w:pPr>
              <w:jc w:val="left"/>
              <w:rPr>
                <w:rFonts w:ascii="Times New Roman" w:hAnsi="Times New Roman"/>
                <w:b/>
                <w:bCs/>
                <w:sz w:val="14"/>
                <w:szCs w:val="18"/>
              </w:rPr>
            </w:pPr>
            <w:r w:rsidRPr="0098629B">
              <w:rPr>
                <w:b/>
                <w:bCs/>
                <w:sz w:val="14"/>
                <w:szCs w:val="18"/>
              </w:rPr>
              <w:t>Memo items:</w:t>
            </w:r>
            <w:r w:rsidRPr="0098629B">
              <w:rPr>
                <w:b/>
                <w:bCs/>
                <w:sz w:val="14"/>
                <w:szCs w:val="18"/>
                <w:vertAlign w:val="superscript"/>
              </w:rPr>
              <w:t>(2)</w:t>
            </w:r>
          </w:p>
        </w:tc>
        <w:tc>
          <w:tcPr>
            <w:tcW w:w="914" w:type="dxa"/>
            <w:tcBorders>
              <w:top w:val="single" w:sz="4" w:space="0" w:color="auto"/>
              <w:left w:val="nil"/>
              <w:bottom w:val="single" w:sz="4" w:space="0" w:color="auto"/>
              <w:right w:val="single" w:sz="4" w:space="0" w:color="auto"/>
            </w:tcBorders>
            <w:shd w:val="clear" w:color="000000" w:fill="969696"/>
            <w:noWrap/>
            <w:vAlign w:val="bottom"/>
            <w:hideMark/>
          </w:tcPr>
          <w:p w14:paraId="04A66906" w14:textId="50831141"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7F17AF5E" w14:textId="7682E430"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4AAF9F16" w14:textId="3BBD779E"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4E76E53C" w14:textId="7669BFAA"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42450B42" w14:textId="37A7B81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6DCDC25C" w14:textId="1EA5F8E1"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single" w:sz="4" w:space="0" w:color="auto"/>
              <w:left w:val="nil"/>
              <w:bottom w:val="single" w:sz="4" w:space="0" w:color="auto"/>
              <w:right w:val="single" w:sz="4" w:space="0" w:color="auto"/>
            </w:tcBorders>
            <w:shd w:val="clear" w:color="000000" w:fill="969696"/>
            <w:noWrap/>
            <w:vAlign w:val="bottom"/>
            <w:hideMark/>
          </w:tcPr>
          <w:p w14:paraId="09A62608" w14:textId="00697914"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single" w:sz="4" w:space="0" w:color="auto"/>
              <w:left w:val="nil"/>
              <w:bottom w:val="single" w:sz="4" w:space="0" w:color="auto"/>
              <w:right w:val="single" w:sz="4" w:space="0" w:color="auto"/>
            </w:tcBorders>
            <w:shd w:val="clear" w:color="000000" w:fill="969696"/>
            <w:noWrap/>
            <w:vAlign w:val="bottom"/>
            <w:hideMark/>
          </w:tcPr>
          <w:p w14:paraId="460DB5E1" w14:textId="3AC1A8F8"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single" w:sz="4" w:space="0" w:color="auto"/>
              <w:left w:val="nil"/>
              <w:bottom w:val="single" w:sz="4" w:space="0" w:color="auto"/>
              <w:right w:val="single" w:sz="4" w:space="0" w:color="auto"/>
            </w:tcBorders>
            <w:shd w:val="clear" w:color="000000" w:fill="969696"/>
            <w:noWrap/>
            <w:vAlign w:val="bottom"/>
            <w:hideMark/>
          </w:tcPr>
          <w:p w14:paraId="170762B1" w14:textId="58422B44" w:rsidR="00D8302C" w:rsidRPr="0098629B" w:rsidRDefault="00D8302C" w:rsidP="00D8302C">
            <w:pPr>
              <w:jc w:val="right"/>
              <w:rPr>
                <w:rFonts w:ascii="Times New Roman" w:hAnsi="Times New Roman"/>
                <w:sz w:val="14"/>
                <w:szCs w:val="18"/>
              </w:rPr>
            </w:pPr>
            <w:r w:rsidRPr="0098629B">
              <w:rPr>
                <w:sz w:val="14"/>
                <w:szCs w:val="18"/>
              </w:rPr>
              <w:t> </w:t>
            </w:r>
          </w:p>
        </w:tc>
      </w:tr>
      <w:tr w:rsidR="00D8302C" w:rsidRPr="0098629B" w14:paraId="33E90FAA"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01A9591" w14:textId="1C9FFDC7" w:rsidR="00D8302C" w:rsidRPr="0098629B" w:rsidRDefault="00D8302C" w:rsidP="00D8302C">
            <w:pPr>
              <w:jc w:val="left"/>
              <w:rPr>
                <w:rFonts w:ascii="Times New Roman" w:hAnsi="Times New Roman"/>
                <w:b/>
                <w:bCs/>
                <w:sz w:val="14"/>
                <w:szCs w:val="18"/>
              </w:rPr>
            </w:pPr>
            <w:r w:rsidRPr="0098629B">
              <w:rPr>
                <w:b/>
                <w:bCs/>
                <w:sz w:val="14"/>
                <w:szCs w:val="18"/>
              </w:rPr>
              <w:t>International bunkers</w:t>
            </w:r>
          </w:p>
        </w:tc>
        <w:tc>
          <w:tcPr>
            <w:tcW w:w="914" w:type="dxa"/>
            <w:tcBorders>
              <w:top w:val="nil"/>
              <w:left w:val="nil"/>
              <w:bottom w:val="single" w:sz="4" w:space="0" w:color="auto"/>
              <w:right w:val="single" w:sz="4" w:space="0" w:color="auto"/>
            </w:tcBorders>
            <w:shd w:val="clear" w:color="000000" w:fill="CCFFFF"/>
            <w:noWrap/>
            <w:vAlign w:val="bottom"/>
            <w:hideMark/>
          </w:tcPr>
          <w:p w14:paraId="46E8D416" w14:textId="2564FA5C" w:rsidR="00D8302C" w:rsidRPr="0098629B" w:rsidRDefault="00D8302C" w:rsidP="00D8302C">
            <w:pPr>
              <w:jc w:val="right"/>
              <w:rPr>
                <w:rFonts w:ascii="Times New Roman" w:hAnsi="Times New Roman"/>
                <w:sz w:val="14"/>
                <w:szCs w:val="18"/>
              </w:rPr>
            </w:pPr>
            <w:r w:rsidRPr="0098629B">
              <w:rPr>
                <w:sz w:val="14"/>
                <w:szCs w:val="18"/>
              </w:rPr>
              <w:t>11173,11</w:t>
            </w:r>
          </w:p>
        </w:tc>
        <w:tc>
          <w:tcPr>
            <w:tcW w:w="820" w:type="dxa"/>
            <w:tcBorders>
              <w:top w:val="nil"/>
              <w:left w:val="nil"/>
              <w:bottom w:val="single" w:sz="4" w:space="0" w:color="auto"/>
              <w:right w:val="single" w:sz="4" w:space="0" w:color="auto"/>
            </w:tcBorders>
            <w:shd w:val="clear" w:color="000000" w:fill="CCFFFF"/>
            <w:noWrap/>
            <w:vAlign w:val="bottom"/>
            <w:hideMark/>
          </w:tcPr>
          <w:p w14:paraId="6D1D25EF" w14:textId="52D10B0D" w:rsidR="00D8302C" w:rsidRPr="0098629B" w:rsidRDefault="00D8302C" w:rsidP="00D8302C">
            <w:pPr>
              <w:jc w:val="right"/>
              <w:rPr>
                <w:rFonts w:ascii="Times New Roman" w:hAnsi="Times New Roman"/>
                <w:sz w:val="14"/>
                <w:szCs w:val="18"/>
              </w:rPr>
            </w:pPr>
            <w:r w:rsidRPr="0098629B">
              <w:rPr>
                <w:sz w:val="14"/>
                <w:szCs w:val="18"/>
              </w:rPr>
              <w:t>8,20</w:t>
            </w:r>
          </w:p>
        </w:tc>
        <w:tc>
          <w:tcPr>
            <w:tcW w:w="820" w:type="dxa"/>
            <w:tcBorders>
              <w:top w:val="nil"/>
              <w:left w:val="nil"/>
              <w:bottom w:val="single" w:sz="4" w:space="0" w:color="auto"/>
              <w:right w:val="single" w:sz="4" w:space="0" w:color="auto"/>
            </w:tcBorders>
            <w:shd w:val="clear" w:color="000000" w:fill="CCFFFF"/>
            <w:noWrap/>
            <w:vAlign w:val="bottom"/>
            <w:hideMark/>
          </w:tcPr>
          <w:p w14:paraId="124528C7" w14:textId="335E55BA" w:rsidR="00D8302C" w:rsidRPr="0098629B" w:rsidRDefault="00D8302C" w:rsidP="00D8302C">
            <w:pPr>
              <w:jc w:val="right"/>
              <w:rPr>
                <w:rFonts w:ascii="Times New Roman" w:hAnsi="Times New Roman"/>
                <w:sz w:val="14"/>
                <w:szCs w:val="18"/>
              </w:rPr>
            </w:pPr>
            <w:r w:rsidRPr="0098629B">
              <w:rPr>
                <w:sz w:val="14"/>
                <w:szCs w:val="18"/>
              </w:rPr>
              <w:t>89,15</w:t>
            </w:r>
          </w:p>
        </w:tc>
        <w:tc>
          <w:tcPr>
            <w:tcW w:w="820" w:type="dxa"/>
            <w:tcBorders>
              <w:top w:val="nil"/>
              <w:left w:val="nil"/>
              <w:bottom w:val="single" w:sz="4" w:space="0" w:color="auto"/>
              <w:right w:val="single" w:sz="4" w:space="0" w:color="auto"/>
            </w:tcBorders>
            <w:shd w:val="clear" w:color="000000" w:fill="969696"/>
            <w:noWrap/>
            <w:vAlign w:val="bottom"/>
            <w:hideMark/>
          </w:tcPr>
          <w:p w14:paraId="023A23F4" w14:textId="653BAD5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B81E9F6" w14:textId="67A6004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1F93D31" w14:textId="5E410525"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1AD3B76" w14:textId="687C7A16"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DCEF114" w14:textId="4C80EA9A"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70347DF" w14:textId="1F518FDA" w:rsidR="00D8302C" w:rsidRPr="0098629B" w:rsidRDefault="00D8302C" w:rsidP="00D8302C">
            <w:pPr>
              <w:jc w:val="right"/>
              <w:rPr>
                <w:rFonts w:ascii="Times New Roman" w:hAnsi="Times New Roman"/>
                <w:sz w:val="14"/>
                <w:szCs w:val="18"/>
              </w:rPr>
            </w:pPr>
            <w:r w:rsidRPr="0098629B">
              <w:rPr>
                <w:sz w:val="14"/>
                <w:szCs w:val="18"/>
              </w:rPr>
              <w:t>11270,46</w:t>
            </w:r>
          </w:p>
        </w:tc>
      </w:tr>
      <w:tr w:rsidR="00D8302C" w:rsidRPr="0098629B" w14:paraId="002DEB9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F0AC03B" w14:textId="35B07F78" w:rsidR="00D8302C" w:rsidRPr="0098629B" w:rsidRDefault="00D8302C" w:rsidP="00D8302C">
            <w:pPr>
              <w:jc w:val="left"/>
              <w:rPr>
                <w:rFonts w:ascii="Times New Roman" w:hAnsi="Times New Roman"/>
                <w:sz w:val="14"/>
                <w:szCs w:val="18"/>
              </w:rPr>
            </w:pPr>
            <w:r w:rsidRPr="0098629B">
              <w:rPr>
                <w:sz w:val="14"/>
                <w:szCs w:val="18"/>
              </w:rPr>
              <w:t>Aviation</w:t>
            </w:r>
          </w:p>
        </w:tc>
        <w:tc>
          <w:tcPr>
            <w:tcW w:w="914" w:type="dxa"/>
            <w:tcBorders>
              <w:top w:val="nil"/>
              <w:left w:val="nil"/>
              <w:bottom w:val="single" w:sz="4" w:space="0" w:color="auto"/>
              <w:right w:val="single" w:sz="4" w:space="0" w:color="auto"/>
            </w:tcBorders>
            <w:shd w:val="clear" w:color="000000" w:fill="CCFFFF"/>
            <w:noWrap/>
            <w:vAlign w:val="bottom"/>
            <w:hideMark/>
          </w:tcPr>
          <w:p w14:paraId="2A7D5840" w14:textId="3B06FCE2" w:rsidR="00D8302C" w:rsidRPr="0098629B" w:rsidRDefault="00D8302C" w:rsidP="00D8302C">
            <w:pPr>
              <w:jc w:val="right"/>
              <w:rPr>
                <w:rFonts w:ascii="Times New Roman" w:hAnsi="Times New Roman"/>
                <w:sz w:val="14"/>
                <w:szCs w:val="18"/>
              </w:rPr>
            </w:pPr>
            <w:r w:rsidRPr="0098629B">
              <w:rPr>
                <w:sz w:val="14"/>
                <w:szCs w:val="18"/>
              </w:rPr>
              <w:t>8045,68</w:t>
            </w:r>
          </w:p>
        </w:tc>
        <w:tc>
          <w:tcPr>
            <w:tcW w:w="820" w:type="dxa"/>
            <w:tcBorders>
              <w:top w:val="nil"/>
              <w:left w:val="nil"/>
              <w:bottom w:val="single" w:sz="4" w:space="0" w:color="auto"/>
              <w:right w:val="single" w:sz="4" w:space="0" w:color="auto"/>
            </w:tcBorders>
            <w:shd w:val="clear" w:color="000000" w:fill="CCFFFF"/>
            <w:noWrap/>
            <w:vAlign w:val="bottom"/>
            <w:hideMark/>
          </w:tcPr>
          <w:p w14:paraId="25AF474C" w14:textId="6C85611F" w:rsidR="00D8302C" w:rsidRPr="0098629B" w:rsidRDefault="00D8302C" w:rsidP="00D8302C">
            <w:pPr>
              <w:jc w:val="right"/>
              <w:rPr>
                <w:rFonts w:ascii="Times New Roman" w:hAnsi="Times New Roman"/>
                <w:sz w:val="14"/>
                <w:szCs w:val="18"/>
              </w:rPr>
            </w:pPr>
            <w:r w:rsidRPr="0098629B">
              <w:rPr>
                <w:sz w:val="14"/>
                <w:szCs w:val="18"/>
              </w:rPr>
              <w:t>0,70</w:t>
            </w:r>
          </w:p>
        </w:tc>
        <w:tc>
          <w:tcPr>
            <w:tcW w:w="820" w:type="dxa"/>
            <w:tcBorders>
              <w:top w:val="nil"/>
              <w:left w:val="nil"/>
              <w:bottom w:val="single" w:sz="4" w:space="0" w:color="auto"/>
              <w:right w:val="single" w:sz="4" w:space="0" w:color="auto"/>
            </w:tcBorders>
            <w:shd w:val="clear" w:color="000000" w:fill="CCFFFF"/>
            <w:noWrap/>
            <w:vAlign w:val="bottom"/>
            <w:hideMark/>
          </w:tcPr>
          <w:p w14:paraId="504F035A" w14:textId="1784AD36" w:rsidR="00D8302C" w:rsidRPr="0098629B" w:rsidRDefault="00D8302C" w:rsidP="00D8302C">
            <w:pPr>
              <w:jc w:val="right"/>
              <w:rPr>
                <w:rFonts w:ascii="Times New Roman" w:hAnsi="Times New Roman"/>
                <w:sz w:val="14"/>
                <w:szCs w:val="18"/>
              </w:rPr>
            </w:pPr>
            <w:r w:rsidRPr="0098629B">
              <w:rPr>
                <w:sz w:val="14"/>
                <w:szCs w:val="18"/>
              </w:rPr>
              <w:t>65,25</w:t>
            </w:r>
          </w:p>
        </w:tc>
        <w:tc>
          <w:tcPr>
            <w:tcW w:w="820" w:type="dxa"/>
            <w:tcBorders>
              <w:top w:val="nil"/>
              <w:left w:val="nil"/>
              <w:bottom w:val="single" w:sz="4" w:space="0" w:color="auto"/>
              <w:right w:val="single" w:sz="4" w:space="0" w:color="auto"/>
            </w:tcBorders>
            <w:shd w:val="clear" w:color="000000" w:fill="969696"/>
            <w:noWrap/>
            <w:vAlign w:val="bottom"/>
            <w:hideMark/>
          </w:tcPr>
          <w:p w14:paraId="02407E3F" w14:textId="051DE479"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F37F599" w14:textId="3AF1768A"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D5F010" w14:textId="05D036A0"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A675B92" w14:textId="7AD94BFC"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A30CDFF" w14:textId="5C2B2A0D"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D5BA74C" w14:textId="32ED04C8" w:rsidR="00D8302C" w:rsidRPr="0098629B" w:rsidRDefault="00D8302C" w:rsidP="00D8302C">
            <w:pPr>
              <w:jc w:val="right"/>
              <w:rPr>
                <w:rFonts w:ascii="Times New Roman" w:hAnsi="Times New Roman"/>
                <w:sz w:val="14"/>
                <w:szCs w:val="18"/>
              </w:rPr>
            </w:pPr>
            <w:r w:rsidRPr="0098629B">
              <w:rPr>
                <w:sz w:val="14"/>
                <w:szCs w:val="18"/>
              </w:rPr>
              <w:t>8111,63</w:t>
            </w:r>
          </w:p>
        </w:tc>
      </w:tr>
      <w:tr w:rsidR="00D8302C" w:rsidRPr="0098629B" w14:paraId="78BCAF0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CB41004" w14:textId="44DB765E" w:rsidR="00D8302C" w:rsidRPr="0098629B" w:rsidRDefault="00D8302C" w:rsidP="00D8302C">
            <w:pPr>
              <w:jc w:val="left"/>
              <w:rPr>
                <w:rFonts w:ascii="Times New Roman" w:hAnsi="Times New Roman"/>
                <w:sz w:val="14"/>
                <w:szCs w:val="18"/>
              </w:rPr>
            </w:pPr>
            <w:r w:rsidRPr="0098629B">
              <w:rPr>
                <w:sz w:val="14"/>
                <w:szCs w:val="18"/>
              </w:rPr>
              <w:t>Navigation</w:t>
            </w:r>
          </w:p>
        </w:tc>
        <w:tc>
          <w:tcPr>
            <w:tcW w:w="914" w:type="dxa"/>
            <w:tcBorders>
              <w:top w:val="nil"/>
              <w:left w:val="nil"/>
              <w:bottom w:val="single" w:sz="4" w:space="0" w:color="auto"/>
              <w:right w:val="single" w:sz="4" w:space="0" w:color="auto"/>
            </w:tcBorders>
            <w:shd w:val="clear" w:color="000000" w:fill="CCFFFF"/>
            <w:noWrap/>
            <w:vAlign w:val="bottom"/>
            <w:hideMark/>
          </w:tcPr>
          <w:p w14:paraId="22D75594" w14:textId="11EF0B16" w:rsidR="00D8302C" w:rsidRPr="0098629B" w:rsidRDefault="00D8302C" w:rsidP="00D8302C">
            <w:pPr>
              <w:jc w:val="right"/>
              <w:rPr>
                <w:rFonts w:ascii="Times New Roman" w:hAnsi="Times New Roman"/>
                <w:sz w:val="14"/>
                <w:szCs w:val="18"/>
              </w:rPr>
            </w:pPr>
            <w:r w:rsidRPr="0098629B">
              <w:rPr>
                <w:sz w:val="14"/>
                <w:szCs w:val="18"/>
              </w:rPr>
              <w:t>3127,43</w:t>
            </w:r>
          </w:p>
        </w:tc>
        <w:tc>
          <w:tcPr>
            <w:tcW w:w="820" w:type="dxa"/>
            <w:tcBorders>
              <w:top w:val="nil"/>
              <w:left w:val="nil"/>
              <w:bottom w:val="single" w:sz="4" w:space="0" w:color="auto"/>
              <w:right w:val="single" w:sz="4" w:space="0" w:color="auto"/>
            </w:tcBorders>
            <w:shd w:val="clear" w:color="000000" w:fill="CCFFFF"/>
            <w:noWrap/>
            <w:vAlign w:val="bottom"/>
            <w:hideMark/>
          </w:tcPr>
          <w:p w14:paraId="39FAD4D3" w14:textId="187F6643" w:rsidR="00D8302C" w:rsidRPr="0098629B" w:rsidRDefault="00D8302C" w:rsidP="00D8302C">
            <w:pPr>
              <w:jc w:val="right"/>
              <w:rPr>
                <w:rFonts w:ascii="Times New Roman" w:hAnsi="Times New Roman"/>
                <w:sz w:val="14"/>
                <w:szCs w:val="18"/>
              </w:rPr>
            </w:pPr>
            <w:r w:rsidRPr="0098629B">
              <w:rPr>
                <w:sz w:val="14"/>
                <w:szCs w:val="18"/>
              </w:rPr>
              <w:t>7,51</w:t>
            </w:r>
          </w:p>
        </w:tc>
        <w:tc>
          <w:tcPr>
            <w:tcW w:w="820" w:type="dxa"/>
            <w:tcBorders>
              <w:top w:val="nil"/>
              <w:left w:val="nil"/>
              <w:bottom w:val="single" w:sz="4" w:space="0" w:color="auto"/>
              <w:right w:val="single" w:sz="4" w:space="0" w:color="auto"/>
            </w:tcBorders>
            <w:shd w:val="clear" w:color="000000" w:fill="CCFFFF"/>
            <w:noWrap/>
            <w:vAlign w:val="bottom"/>
            <w:hideMark/>
          </w:tcPr>
          <w:p w14:paraId="66C3761F" w14:textId="3A4CFA82" w:rsidR="00D8302C" w:rsidRPr="0098629B" w:rsidRDefault="00D8302C" w:rsidP="00D8302C">
            <w:pPr>
              <w:jc w:val="right"/>
              <w:rPr>
                <w:rFonts w:ascii="Times New Roman" w:hAnsi="Times New Roman"/>
                <w:sz w:val="14"/>
                <w:szCs w:val="18"/>
              </w:rPr>
            </w:pPr>
            <w:r w:rsidRPr="0098629B">
              <w:rPr>
                <w:sz w:val="14"/>
                <w:szCs w:val="18"/>
              </w:rPr>
              <w:t>23,90</w:t>
            </w:r>
          </w:p>
        </w:tc>
        <w:tc>
          <w:tcPr>
            <w:tcW w:w="820" w:type="dxa"/>
            <w:tcBorders>
              <w:top w:val="nil"/>
              <w:left w:val="nil"/>
              <w:bottom w:val="single" w:sz="4" w:space="0" w:color="auto"/>
              <w:right w:val="single" w:sz="4" w:space="0" w:color="auto"/>
            </w:tcBorders>
            <w:shd w:val="clear" w:color="000000" w:fill="969696"/>
            <w:noWrap/>
            <w:vAlign w:val="bottom"/>
            <w:hideMark/>
          </w:tcPr>
          <w:p w14:paraId="73976A6F" w14:textId="61A29D8A"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2DB291A" w14:textId="4B03267D"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CC478D3" w14:textId="3A0BCAB7"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5C2134" w14:textId="6CE48D1A"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17286C2" w14:textId="5E65B3FC"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1A8832A" w14:textId="41F242F0" w:rsidR="00D8302C" w:rsidRPr="0098629B" w:rsidRDefault="00D8302C" w:rsidP="00D8302C">
            <w:pPr>
              <w:jc w:val="right"/>
              <w:rPr>
                <w:rFonts w:ascii="Times New Roman" w:hAnsi="Times New Roman"/>
                <w:sz w:val="14"/>
                <w:szCs w:val="18"/>
              </w:rPr>
            </w:pPr>
            <w:r w:rsidRPr="0098629B">
              <w:rPr>
                <w:sz w:val="14"/>
                <w:szCs w:val="18"/>
              </w:rPr>
              <w:t>3158,84</w:t>
            </w:r>
          </w:p>
        </w:tc>
      </w:tr>
      <w:tr w:rsidR="00D8302C" w:rsidRPr="0098629B" w14:paraId="621C6E8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994B341" w14:textId="17B78023" w:rsidR="00D8302C" w:rsidRPr="0098629B" w:rsidRDefault="00D8302C" w:rsidP="00D8302C">
            <w:pPr>
              <w:jc w:val="left"/>
              <w:rPr>
                <w:rFonts w:ascii="Times New Roman" w:hAnsi="Times New Roman"/>
                <w:b/>
                <w:bCs/>
                <w:sz w:val="14"/>
                <w:szCs w:val="18"/>
              </w:rPr>
            </w:pPr>
            <w:r w:rsidRPr="0098629B">
              <w:rPr>
                <w:b/>
                <w:bCs/>
                <w:sz w:val="14"/>
                <w:szCs w:val="18"/>
              </w:rPr>
              <w:t>Multilateral operations</w:t>
            </w:r>
          </w:p>
        </w:tc>
        <w:tc>
          <w:tcPr>
            <w:tcW w:w="914" w:type="dxa"/>
            <w:tcBorders>
              <w:top w:val="nil"/>
              <w:left w:val="nil"/>
              <w:bottom w:val="single" w:sz="4" w:space="0" w:color="auto"/>
              <w:right w:val="single" w:sz="4" w:space="0" w:color="auto"/>
            </w:tcBorders>
            <w:shd w:val="clear" w:color="000000" w:fill="CCFFFF"/>
            <w:noWrap/>
            <w:vAlign w:val="bottom"/>
            <w:hideMark/>
          </w:tcPr>
          <w:p w14:paraId="58ADB887" w14:textId="330D13FE" w:rsidR="00D8302C" w:rsidRPr="0098629B" w:rsidRDefault="00D8302C" w:rsidP="00D8302C">
            <w:pPr>
              <w:jc w:val="right"/>
              <w:rPr>
                <w:rFonts w:ascii="Times New Roman" w:hAnsi="Times New Roman"/>
                <w:sz w:val="14"/>
                <w:szCs w:val="18"/>
              </w:rPr>
            </w:pPr>
            <w:r w:rsidRPr="0098629B">
              <w:rPr>
                <w:sz w:val="14"/>
                <w:szCs w:val="18"/>
              </w:rPr>
              <w:t>1,42</w:t>
            </w:r>
          </w:p>
        </w:tc>
        <w:tc>
          <w:tcPr>
            <w:tcW w:w="820" w:type="dxa"/>
            <w:tcBorders>
              <w:top w:val="nil"/>
              <w:left w:val="nil"/>
              <w:bottom w:val="single" w:sz="4" w:space="0" w:color="auto"/>
              <w:right w:val="single" w:sz="4" w:space="0" w:color="auto"/>
            </w:tcBorders>
            <w:shd w:val="clear" w:color="000000" w:fill="CCFFFF"/>
            <w:noWrap/>
            <w:vAlign w:val="bottom"/>
            <w:hideMark/>
          </w:tcPr>
          <w:p w14:paraId="1B8CECE2" w14:textId="71443D7C" w:rsidR="00D8302C" w:rsidRPr="0098629B" w:rsidRDefault="00D8302C" w:rsidP="00D8302C">
            <w:pPr>
              <w:jc w:val="right"/>
              <w:rPr>
                <w:rFonts w:ascii="Times New Roman" w:hAnsi="Times New Roman"/>
                <w:sz w:val="14"/>
                <w:szCs w:val="18"/>
              </w:rPr>
            </w:pPr>
            <w:r w:rsidRPr="0098629B">
              <w:rPr>
                <w:sz w:val="14"/>
                <w:szCs w:val="18"/>
              </w:rPr>
              <w:t>NE</w:t>
            </w:r>
          </w:p>
        </w:tc>
        <w:tc>
          <w:tcPr>
            <w:tcW w:w="820" w:type="dxa"/>
            <w:tcBorders>
              <w:top w:val="nil"/>
              <w:left w:val="nil"/>
              <w:bottom w:val="single" w:sz="4" w:space="0" w:color="auto"/>
              <w:right w:val="single" w:sz="4" w:space="0" w:color="auto"/>
            </w:tcBorders>
            <w:shd w:val="clear" w:color="000000" w:fill="CCFFFF"/>
            <w:noWrap/>
            <w:vAlign w:val="bottom"/>
            <w:hideMark/>
          </w:tcPr>
          <w:p w14:paraId="08686BC7" w14:textId="770E3D38" w:rsidR="00D8302C" w:rsidRPr="0098629B" w:rsidRDefault="00D8302C" w:rsidP="00D8302C">
            <w:pPr>
              <w:jc w:val="right"/>
              <w:rPr>
                <w:rFonts w:ascii="Times New Roman" w:hAnsi="Times New Roman"/>
                <w:sz w:val="14"/>
                <w:szCs w:val="18"/>
              </w:rPr>
            </w:pPr>
            <w:r w:rsidRPr="0098629B">
              <w:rPr>
                <w:sz w:val="14"/>
                <w:szCs w:val="18"/>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28FB6452" w14:textId="1EE1E670"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F446C03" w14:textId="79A10DC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F0A135" w14:textId="749D4B8B"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0653A3B" w14:textId="2063F03A"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677CA52" w14:textId="69B37EFF"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C9959F2" w14:textId="19DC7FFF" w:rsidR="00D8302C" w:rsidRPr="0098629B" w:rsidRDefault="00D8302C" w:rsidP="00D8302C">
            <w:pPr>
              <w:jc w:val="right"/>
              <w:rPr>
                <w:rFonts w:ascii="Times New Roman" w:hAnsi="Times New Roman"/>
                <w:sz w:val="14"/>
                <w:szCs w:val="18"/>
              </w:rPr>
            </w:pPr>
            <w:r w:rsidRPr="0098629B">
              <w:rPr>
                <w:sz w:val="14"/>
                <w:szCs w:val="18"/>
              </w:rPr>
              <w:t>1,42</w:t>
            </w:r>
          </w:p>
        </w:tc>
      </w:tr>
      <w:tr w:rsidR="00D8302C" w:rsidRPr="0098629B" w14:paraId="7B06C84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7CA2F06" w14:textId="2F82F417" w:rsidR="00D8302C" w:rsidRPr="0098629B" w:rsidRDefault="00811B0F" w:rsidP="00D8302C">
            <w:pPr>
              <w:jc w:val="left"/>
              <w:rPr>
                <w:rFonts w:ascii="Times New Roman" w:hAnsi="Times New Roman"/>
                <w:b/>
                <w:bCs/>
                <w:sz w:val="14"/>
                <w:szCs w:val="18"/>
              </w:rPr>
            </w:pPr>
            <w:r w:rsidRPr="0098629B">
              <w:t>CO</w:t>
            </w:r>
            <w:r w:rsidRPr="0098629B">
              <w:rPr>
                <w:vertAlign w:val="subscript"/>
              </w:rPr>
              <w:t>2</w:t>
            </w:r>
            <w:r w:rsidR="00D8302C" w:rsidRPr="0098629B">
              <w:rPr>
                <w:b/>
                <w:bCs/>
                <w:sz w:val="14"/>
                <w:szCs w:val="18"/>
              </w:rPr>
              <w:t xml:space="preserve"> emissions from biomass</w:t>
            </w:r>
          </w:p>
        </w:tc>
        <w:tc>
          <w:tcPr>
            <w:tcW w:w="914" w:type="dxa"/>
            <w:tcBorders>
              <w:top w:val="nil"/>
              <w:left w:val="nil"/>
              <w:bottom w:val="single" w:sz="4" w:space="0" w:color="auto"/>
              <w:right w:val="single" w:sz="4" w:space="0" w:color="auto"/>
            </w:tcBorders>
            <w:shd w:val="clear" w:color="000000" w:fill="CCFFFF"/>
            <w:noWrap/>
            <w:vAlign w:val="bottom"/>
            <w:hideMark/>
          </w:tcPr>
          <w:p w14:paraId="227AF989" w14:textId="4C864670" w:rsidR="00D8302C" w:rsidRPr="0098629B" w:rsidRDefault="00D8302C" w:rsidP="00D8302C">
            <w:pPr>
              <w:jc w:val="right"/>
              <w:rPr>
                <w:rFonts w:ascii="Times New Roman" w:hAnsi="Times New Roman"/>
                <w:sz w:val="14"/>
                <w:szCs w:val="18"/>
              </w:rPr>
            </w:pPr>
            <w:r w:rsidRPr="0098629B">
              <w:rPr>
                <w:sz w:val="14"/>
                <w:szCs w:val="18"/>
              </w:rPr>
              <w:t>59126,82</w:t>
            </w:r>
          </w:p>
        </w:tc>
        <w:tc>
          <w:tcPr>
            <w:tcW w:w="820" w:type="dxa"/>
            <w:tcBorders>
              <w:top w:val="nil"/>
              <w:left w:val="nil"/>
              <w:bottom w:val="single" w:sz="4" w:space="0" w:color="auto"/>
              <w:right w:val="single" w:sz="4" w:space="0" w:color="auto"/>
            </w:tcBorders>
            <w:shd w:val="clear" w:color="000000" w:fill="969696"/>
            <w:noWrap/>
            <w:vAlign w:val="bottom"/>
            <w:hideMark/>
          </w:tcPr>
          <w:p w14:paraId="62C3B616" w14:textId="4DEBE71E"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92D687A" w14:textId="3491581A"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E0DB4D0" w14:textId="249DEB3C"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DE54A5" w14:textId="570E4FD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26229EB" w14:textId="087134E6"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AEEC608" w14:textId="7AB344C4"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52FFA73" w14:textId="2F3ED227"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CA7C393" w14:textId="59E680D8" w:rsidR="00D8302C" w:rsidRPr="0098629B" w:rsidRDefault="00D8302C" w:rsidP="00D8302C">
            <w:pPr>
              <w:jc w:val="right"/>
              <w:rPr>
                <w:rFonts w:ascii="Times New Roman" w:hAnsi="Times New Roman"/>
                <w:sz w:val="14"/>
                <w:szCs w:val="18"/>
              </w:rPr>
            </w:pPr>
            <w:r w:rsidRPr="0098629B">
              <w:rPr>
                <w:sz w:val="14"/>
                <w:szCs w:val="18"/>
              </w:rPr>
              <w:t>59126,82</w:t>
            </w:r>
          </w:p>
        </w:tc>
      </w:tr>
      <w:tr w:rsidR="00D8302C" w:rsidRPr="0098629B" w14:paraId="18D2565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E3E1898" w14:textId="61B3B18D" w:rsidR="00D8302C" w:rsidRPr="0098629B" w:rsidRDefault="00811B0F" w:rsidP="00D8302C">
            <w:pPr>
              <w:jc w:val="left"/>
              <w:rPr>
                <w:rFonts w:ascii="Times New Roman" w:hAnsi="Times New Roman"/>
                <w:b/>
                <w:bCs/>
                <w:sz w:val="14"/>
                <w:szCs w:val="18"/>
              </w:rPr>
            </w:pPr>
            <w:r w:rsidRPr="0098629B">
              <w:t>CO</w:t>
            </w:r>
            <w:r w:rsidRPr="0098629B">
              <w:rPr>
                <w:vertAlign w:val="subscript"/>
              </w:rPr>
              <w:t>2</w:t>
            </w:r>
            <w:r w:rsidR="00D8302C" w:rsidRPr="0098629B">
              <w:rPr>
                <w:b/>
                <w:bCs/>
                <w:sz w:val="14"/>
                <w:szCs w:val="18"/>
              </w:rPr>
              <w:t xml:space="preserve"> captured</w:t>
            </w:r>
          </w:p>
        </w:tc>
        <w:tc>
          <w:tcPr>
            <w:tcW w:w="914" w:type="dxa"/>
            <w:tcBorders>
              <w:top w:val="nil"/>
              <w:left w:val="nil"/>
              <w:bottom w:val="single" w:sz="4" w:space="0" w:color="auto"/>
              <w:right w:val="single" w:sz="4" w:space="0" w:color="auto"/>
            </w:tcBorders>
            <w:shd w:val="clear" w:color="000000" w:fill="CCFFFF"/>
            <w:noWrap/>
            <w:vAlign w:val="bottom"/>
            <w:hideMark/>
          </w:tcPr>
          <w:p w14:paraId="3F42601A" w14:textId="59599330" w:rsidR="00D8302C" w:rsidRPr="0098629B" w:rsidRDefault="00D8302C" w:rsidP="00D8302C">
            <w:pPr>
              <w:jc w:val="right"/>
              <w:rPr>
                <w:rFonts w:ascii="Times New Roman" w:hAnsi="Times New Roman"/>
                <w:sz w:val="14"/>
                <w:szCs w:val="18"/>
              </w:rPr>
            </w:pPr>
            <w:r w:rsidRPr="0098629B">
              <w:rPr>
                <w:sz w:val="14"/>
                <w:szCs w:val="18"/>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706D99F6" w14:textId="64E4D109"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7B86E60" w14:textId="223067C8"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96F2407" w14:textId="400BB826"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7C6017F" w14:textId="67E8F59F"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23466FE" w14:textId="4B690804"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F5FC982" w14:textId="2729D562"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8C252A7" w14:textId="16F84973"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1E993A8" w14:textId="3793CD44" w:rsidR="00D8302C" w:rsidRPr="0098629B" w:rsidRDefault="00D8302C" w:rsidP="00D8302C">
            <w:pPr>
              <w:jc w:val="right"/>
              <w:rPr>
                <w:rFonts w:ascii="Times New Roman" w:hAnsi="Times New Roman"/>
                <w:sz w:val="14"/>
                <w:szCs w:val="18"/>
              </w:rPr>
            </w:pPr>
            <w:r w:rsidRPr="0098629B">
              <w:rPr>
                <w:sz w:val="14"/>
                <w:szCs w:val="18"/>
              </w:rPr>
              <w:t>NO,NA</w:t>
            </w:r>
          </w:p>
        </w:tc>
      </w:tr>
      <w:tr w:rsidR="00D8302C" w:rsidRPr="0098629B" w14:paraId="5A98CB6A" w14:textId="77777777" w:rsidTr="00D8302C">
        <w:trPr>
          <w:trHeight w:val="68"/>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58473E4A" w14:textId="0EF7647C" w:rsidR="00D8302C" w:rsidRPr="0098629B" w:rsidRDefault="00D8302C" w:rsidP="00D8302C">
            <w:pPr>
              <w:jc w:val="left"/>
              <w:rPr>
                <w:rFonts w:ascii="Times New Roman" w:hAnsi="Times New Roman"/>
                <w:b/>
                <w:bCs/>
                <w:sz w:val="14"/>
                <w:szCs w:val="18"/>
                <w:lang w:val="en-GB"/>
              </w:rPr>
            </w:pPr>
            <w:r w:rsidRPr="0098629B">
              <w:rPr>
                <w:b/>
                <w:bCs/>
                <w:sz w:val="14"/>
                <w:szCs w:val="18"/>
                <w:lang w:val="en-GB"/>
              </w:rPr>
              <w:t>Long-term storage of C in waste disposal sites</w:t>
            </w:r>
          </w:p>
        </w:tc>
        <w:tc>
          <w:tcPr>
            <w:tcW w:w="914" w:type="dxa"/>
            <w:tcBorders>
              <w:top w:val="nil"/>
              <w:left w:val="single" w:sz="4" w:space="0" w:color="auto"/>
              <w:bottom w:val="single" w:sz="4" w:space="0" w:color="auto"/>
              <w:right w:val="single" w:sz="4" w:space="0" w:color="auto"/>
            </w:tcBorders>
            <w:shd w:val="clear" w:color="000000" w:fill="CCFFFF"/>
            <w:noWrap/>
            <w:vAlign w:val="bottom"/>
            <w:hideMark/>
          </w:tcPr>
          <w:p w14:paraId="402D924C" w14:textId="1EF427AD" w:rsidR="00D8302C" w:rsidRPr="0098629B" w:rsidRDefault="00D8302C" w:rsidP="00D8302C">
            <w:pPr>
              <w:jc w:val="right"/>
              <w:rPr>
                <w:rFonts w:ascii="Times New Roman" w:hAnsi="Times New Roman"/>
                <w:sz w:val="14"/>
                <w:szCs w:val="18"/>
              </w:rPr>
            </w:pPr>
            <w:r w:rsidRPr="0098629B">
              <w:rPr>
                <w:sz w:val="14"/>
                <w:szCs w:val="18"/>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2F52394A" w14:textId="5E785D21"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06C90E5" w14:textId="02E38430"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FFF5FD4" w14:textId="200D4707"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0C4286" w14:textId="6BE53F28"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860F34E" w14:textId="37EED5F2"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A62F55D" w14:textId="6C49C3FC"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16BDE8D" w14:textId="7BE97AE1"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245CB65" w14:textId="16C7F621" w:rsidR="00D8302C" w:rsidRPr="0098629B" w:rsidRDefault="00D8302C" w:rsidP="00D8302C">
            <w:pPr>
              <w:jc w:val="right"/>
              <w:rPr>
                <w:rFonts w:ascii="Times New Roman" w:hAnsi="Times New Roman"/>
                <w:sz w:val="14"/>
                <w:szCs w:val="18"/>
              </w:rPr>
            </w:pPr>
            <w:r w:rsidRPr="0098629B">
              <w:rPr>
                <w:sz w:val="14"/>
                <w:szCs w:val="18"/>
              </w:rPr>
              <w:t>NE</w:t>
            </w:r>
          </w:p>
        </w:tc>
      </w:tr>
      <w:tr w:rsidR="00D8302C" w:rsidRPr="0098629B" w14:paraId="6E996314" w14:textId="77777777" w:rsidTr="00D8302C">
        <w:trPr>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32C086AA" w14:textId="151D41F0" w:rsidR="00D8302C" w:rsidRPr="0098629B" w:rsidRDefault="00D8302C" w:rsidP="00D8302C">
            <w:pPr>
              <w:jc w:val="left"/>
              <w:rPr>
                <w:rFonts w:ascii="Times New Roman" w:hAnsi="Times New Roman"/>
                <w:b/>
                <w:bCs/>
                <w:sz w:val="14"/>
                <w:szCs w:val="18"/>
              </w:rPr>
            </w:pPr>
            <w:r w:rsidRPr="0098629B">
              <w:rPr>
                <w:b/>
                <w:bCs/>
                <w:sz w:val="14"/>
                <w:szCs w:val="18"/>
              </w:rPr>
              <w:t xml:space="preserve">Indirect </w:t>
            </w:r>
            <w:r w:rsidR="00891B49" w:rsidRPr="0098629B">
              <w:t>N</w:t>
            </w:r>
            <w:r w:rsidR="00891B49" w:rsidRPr="0098629B">
              <w:rPr>
                <w:vertAlign w:val="subscript"/>
              </w:rPr>
              <w:t>2</w:t>
            </w:r>
            <w:r w:rsidR="00891B49" w:rsidRPr="0098629B">
              <w:t>O</w:t>
            </w:r>
          </w:p>
        </w:tc>
        <w:tc>
          <w:tcPr>
            <w:tcW w:w="914" w:type="dxa"/>
            <w:tcBorders>
              <w:top w:val="nil"/>
              <w:left w:val="nil"/>
              <w:bottom w:val="single" w:sz="4" w:space="0" w:color="auto"/>
              <w:right w:val="single" w:sz="4" w:space="0" w:color="auto"/>
            </w:tcBorders>
            <w:shd w:val="clear" w:color="000000" w:fill="969696"/>
            <w:noWrap/>
            <w:vAlign w:val="bottom"/>
            <w:hideMark/>
          </w:tcPr>
          <w:p w14:paraId="1EFAE37A" w14:textId="796B9D46"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9F5903F" w14:textId="56FC90B4"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CAB7AF4" w14:textId="16006EA6" w:rsidR="00D8302C" w:rsidRPr="0098629B" w:rsidRDefault="00D8302C" w:rsidP="00D8302C">
            <w:pPr>
              <w:jc w:val="right"/>
              <w:rPr>
                <w:rFonts w:ascii="Times New Roman" w:hAnsi="Times New Roman"/>
                <w:sz w:val="14"/>
                <w:szCs w:val="18"/>
              </w:rPr>
            </w:pPr>
            <w:r w:rsidRPr="0098629B">
              <w:rPr>
                <w:sz w:val="14"/>
                <w:szCs w:val="18"/>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5998DA13" w14:textId="37FB4F20"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7F2F96C" w14:textId="7F0B2EFE"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577B01" w14:textId="627E76DD"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A1695E0" w14:textId="0BF7448A"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F809B46" w14:textId="197B8DEA"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969696"/>
            <w:noWrap/>
            <w:vAlign w:val="bottom"/>
            <w:hideMark/>
          </w:tcPr>
          <w:p w14:paraId="13D1B1A9" w14:textId="0169B02B" w:rsidR="00D8302C" w:rsidRPr="0098629B" w:rsidRDefault="00D8302C" w:rsidP="00D8302C">
            <w:pPr>
              <w:jc w:val="right"/>
              <w:rPr>
                <w:rFonts w:ascii="Times New Roman" w:hAnsi="Times New Roman"/>
                <w:sz w:val="14"/>
                <w:szCs w:val="18"/>
              </w:rPr>
            </w:pPr>
            <w:r w:rsidRPr="0098629B">
              <w:rPr>
                <w:sz w:val="14"/>
                <w:szCs w:val="18"/>
              </w:rPr>
              <w:t> </w:t>
            </w:r>
          </w:p>
        </w:tc>
      </w:tr>
      <w:tr w:rsidR="00D8302C" w:rsidRPr="0098629B" w14:paraId="389CA7D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D7AE96F" w14:textId="747A10CB" w:rsidR="00D8302C" w:rsidRPr="0098629B" w:rsidRDefault="00D8302C" w:rsidP="00D8302C">
            <w:pPr>
              <w:jc w:val="left"/>
              <w:rPr>
                <w:rFonts w:ascii="Times New Roman" w:hAnsi="Times New Roman"/>
                <w:b/>
                <w:bCs/>
                <w:sz w:val="14"/>
                <w:szCs w:val="18"/>
              </w:rPr>
            </w:pPr>
            <w:r w:rsidRPr="0098629B">
              <w:rPr>
                <w:b/>
                <w:bCs/>
                <w:sz w:val="14"/>
                <w:szCs w:val="18"/>
              </w:rPr>
              <w:t xml:space="preserve">Indirect </w:t>
            </w:r>
            <w:r w:rsidR="00811B0F" w:rsidRPr="0098629B">
              <w:t>CO</w:t>
            </w:r>
            <w:r w:rsidR="00811B0F" w:rsidRPr="0098629B">
              <w:rPr>
                <w:vertAlign w:val="subscript"/>
              </w:rPr>
              <w:t>2</w:t>
            </w:r>
            <w:r w:rsidRPr="0098629B">
              <w:rPr>
                <w:b/>
                <w:bCs/>
                <w:sz w:val="14"/>
                <w:szCs w:val="18"/>
                <w:vertAlign w:val="subscript"/>
              </w:rPr>
              <w:t xml:space="preserve"> </w:t>
            </w:r>
            <w:r w:rsidRPr="0098629B">
              <w:rPr>
                <w:b/>
                <w:bCs/>
                <w:sz w:val="14"/>
                <w:szCs w:val="18"/>
                <w:vertAlign w:val="superscript"/>
              </w:rPr>
              <w:t>(3)</w:t>
            </w:r>
          </w:p>
        </w:tc>
        <w:tc>
          <w:tcPr>
            <w:tcW w:w="914" w:type="dxa"/>
            <w:tcBorders>
              <w:top w:val="nil"/>
              <w:left w:val="nil"/>
              <w:bottom w:val="single" w:sz="4" w:space="0" w:color="auto"/>
              <w:right w:val="single" w:sz="4" w:space="0" w:color="auto"/>
            </w:tcBorders>
            <w:shd w:val="clear" w:color="000000" w:fill="CCFFFF"/>
            <w:noWrap/>
            <w:vAlign w:val="bottom"/>
            <w:hideMark/>
          </w:tcPr>
          <w:p w14:paraId="3F5A01D8" w14:textId="48F84230" w:rsidR="00D8302C" w:rsidRPr="0098629B" w:rsidRDefault="00D8302C" w:rsidP="00D8302C">
            <w:pPr>
              <w:jc w:val="right"/>
              <w:rPr>
                <w:rFonts w:ascii="Times New Roman" w:hAnsi="Times New Roman"/>
                <w:sz w:val="14"/>
                <w:szCs w:val="18"/>
              </w:rPr>
            </w:pPr>
            <w:r w:rsidRPr="0098629B">
              <w:rPr>
                <w:sz w:val="14"/>
                <w:szCs w:val="18"/>
              </w:rPr>
              <w:t>NO,IE,NA</w:t>
            </w:r>
          </w:p>
        </w:tc>
        <w:tc>
          <w:tcPr>
            <w:tcW w:w="820" w:type="dxa"/>
            <w:tcBorders>
              <w:top w:val="nil"/>
              <w:left w:val="nil"/>
              <w:bottom w:val="single" w:sz="4" w:space="0" w:color="auto"/>
              <w:right w:val="single" w:sz="4" w:space="0" w:color="auto"/>
            </w:tcBorders>
            <w:shd w:val="clear" w:color="000000" w:fill="969696"/>
            <w:noWrap/>
            <w:vAlign w:val="bottom"/>
            <w:hideMark/>
          </w:tcPr>
          <w:p w14:paraId="7B058FFC" w14:textId="3AB8DCB6"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F71B28E" w14:textId="23E1AADB" w:rsidR="00D8302C" w:rsidRPr="0098629B" w:rsidRDefault="00D8302C" w:rsidP="00D8302C">
            <w:pPr>
              <w:jc w:val="right"/>
              <w:rPr>
                <w:rFonts w:ascii="Times New Roman" w:hAnsi="Times New Roman"/>
                <w:sz w:val="14"/>
                <w:szCs w:val="18"/>
              </w:rPr>
            </w:pPr>
            <w:r w:rsidRPr="0098629B">
              <w:rPr>
                <w:sz w:val="14"/>
                <w:szCs w:val="18"/>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7DBBCBD" w14:textId="5A36A83B"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3E47F9D" w14:textId="34A5DC45" w:rsidR="00D8302C" w:rsidRPr="0098629B" w:rsidRDefault="00D8302C" w:rsidP="00D8302C">
            <w:pPr>
              <w:jc w:val="right"/>
              <w:rPr>
                <w:rFonts w:ascii="Times New Roman" w:hAnsi="Times New Roman"/>
                <w:sz w:val="14"/>
                <w:szCs w:val="18"/>
              </w:rPr>
            </w:pPr>
            <w:r w:rsidRPr="0098629B">
              <w:rPr>
                <w:sz w:val="14"/>
                <w:szCs w:val="18"/>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00ABE3" w14:textId="50D7C829" w:rsidR="00D8302C" w:rsidRPr="0098629B" w:rsidRDefault="00D8302C" w:rsidP="00D8302C">
            <w:pPr>
              <w:jc w:val="right"/>
              <w:rPr>
                <w:rFonts w:ascii="Times New Roman" w:hAnsi="Times New Roman"/>
                <w:sz w:val="14"/>
                <w:szCs w:val="18"/>
              </w:rPr>
            </w:pPr>
            <w:r w:rsidRPr="0098629B">
              <w:rPr>
                <w:sz w:val="14"/>
                <w:szCs w:val="18"/>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4CEF510" w14:textId="43AC0266" w:rsidR="00D8302C" w:rsidRPr="0098629B" w:rsidRDefault="00D8302C" w:rsidP="00D8302C">
            <w:pPr>
              <w:jc w:val="right"/>
              <w:rPr>
                <w:rFonts w:ascii="Times New Roman" w:hAnsi="Times New Roman"/>
                <w:sz w:val="14"/>
                <w:szCs w:val="18"/>
              </w:rPr>
            </w:pPr>
            <w:r w:rsidRPr="0098629B">
              <w:rPr>
                <w:sz w:val="14"/>
                <w:szCs w:val="18"/>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29C393C" w14:textId="3F3497BE" w:rsidR="00D8302C" w:rsidRPr="0098629B" w:rsidRDefault="00D8302C" w:rsidP="00D8302C">
            <w:pPr>
              <w:jc w:val="right"/>
              <w:rPr>
                <w:rFonts w:ascii="Times New Roman" w:hAnsi="Times New Roman"/>
                <w:sz w:val="14"/>
                <w:szCs w:val="18"/>
              </w:rPr>
            </w:pPr>
            <w:r w:rsidRPr="0098629B">
              <w:rPr>
                <w:sz w:val="14"/>
                <w:szCs w:val="18"/>
              </w:rPr>
              <w:t> </w:t>
            </w:r>
          </w:p>
        </w:tc>
        <w:tc>
          <w:tcPr>
            <w:tcW w:w="976" w:type="dxa"/>
            <w:tcBorders>
              <w:top w:val="nil"/>
              <w:left w:val="nil"/>
              <w:bottom w:val="single" w:sz="4" w:space="0" w:color="auto"/>
              <w:right w:val="single" w:sz="4" w:space="0" w:color="auto"/>
            </w:tcBorders>
            <w:shd w:val="clear" w:color="000000" w:fill="969696"/>
            <w:noWrap/>
            <w:vAlign w:val="bottom"/>
            <w:hideMark/>
          </w:tcPr>
          <w:p w14:paraId="5E4C8524" w14:textId="36030167" w:rsidR="00D8302C" w:rsidRPr="0098629B" w:rsidRDefault="00D8302C" w:rsidP="00D8302C">
            <w:pPr>
              <w:jc w:val="right"/>
              <w:rPr>
                <w:rFonts w:ascii="Times New Roman" w:hAnsi="Times New Roman"/>
                <w:sz w:val="14"/>
                <w:szCs w:val="18"/>
              </w:rPr>
            </w:pPr>
            <w:r w:rsidRPr="0098629B">
              <w:rPr>
                <w:sz w:val="14"/>
                <w:szCs w:val="18"/>
              </w:rPr>
              <w:t> </w:t>
            </w:r>
          </w:p>
        </w:tc>
      </w:tr>
      <w:tr w:rsidR="00D8302C" w:rsidRPr="0098629B" w14:paraId="007493E0"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6CDEF2C9" w14:textId="6EB33D42" w:rsidR="00D8302C" w:rsidRPr="0098629B" w:rsidRDefault="00D8302C" w:rsidP="00D8302C">
            <w:pPr>
              <w:jc w:val="right"/>
              <w:rPr>
                <w:rFonts w:ascii="Times New Roman" w:hAnsi="Times New Roman"/>
                <w:b/>
                <w:bCs/>
                <w:sz w:val="14"/>
                <w:szCs w:val="18"/>
                <w:lang w:val="en-GB"/>
              </w:rPr>
            </w:pPr>
            <w:r w:rsidRPr="0098629B">
              <w:rPr>
                <w:rFonts w:ascii="Times New Roman" w:hAnsi="Times New Roman"/>
                <w:b/>
                <w:bCs/>
                <w:sz w:val="14"/>
                <w:szCs w:val="18"/>
                <w:lang w:val="en-GB"/>
              </w:rPr>
              <w:t xml:space="preserve">Total </w:t>
            </w:r>
            <w:r w:rsidR="00811B0F" w:rsidRPr="0098629B">
              <w:rPr>
                <w:lang w:val="en-GB"/>
              </w:rPr>
              <w:t>CO</w:t>
            </w:r>
            <w:r w:rsidR="00811B0F" w:rsidRPr="0098629B">
              <w:rPr>
                <w:vertAlign w:val="subscript"/>
                <w:lang w:val="en-GB"/>
              </w:rPr>
              <w:t>2</w:t>
            </w:r>
            <w:r w:rsidRPr="0098629B">
              <w:rPr>
                <w:rFonts w:ascii="Times New Roman" w:hAnsi="Times New Roman"/>
                <w:b/>
                <w:bCs/>
                <w:sz w:val="14"/>
                <w:szCs w:val="18"/>
                <w:lang w:val="en-GB"/>
              </w:rPr>
              <w:t xml:space="preserve"> equivalent emissions without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4014FE82" w14:textId="37E98357" w:rsidR="00D8302C" w:rsidRPr="0098629B" w:rsidRDefault="00D8302C" w:rsidP="00D8302C">
            <w:pPr>
              <w:jc w:val="right"/>
              <w:rPr>
                <w:rFonts w:ascii="Times New Roman" w:hAnsi="Times New Roman"/>
                <w:sz w:val="14"/>
                <w:szCs w:val="18"/>
              </w:rPr>
            </w:pPr>
            <w:r w:rsidRPr="0098629B">
              <w:rPr>
                <w:sz w:val="14"/>
                <w:szCs w:val="18"/>
              </w:rPr>
              <w:t>392962,57</w:t>
            </w:r>
          </w:p>
        </w:tc>
      </w:tr>
      <w:tr w:rsidR="00D8302C" w:rsidRPr="0098629B" w14:paraId="4FFE82F8"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1359B944" w14:textId="192E98FA" w:rsidR="00D8302C" w:rsidRPr="0098629B" w:rsidRDefault="00D8302C" w:rsidP="00D8302C">
            <w:pPr>
              <w:jc w:val="right"/>
              <w:rPr>
                <w:rFonts w:ascii="Times New Roman" w:hAnsi="Times New Roman"/>
                <w:b/>
                <w:bCs/>
                <w:sz w:val="14"/>
                <w:szCs w:val="18"/>
                <w:lang w:val="en-GB"/>
              </w:rPr>
            </w:pPr>
            <w:r w:rsidRPr="0098629B">
              <w:rPr>
                <w:rFonts w:ascii="Times New Roman" w:hAnsi="Times New Roman"/>
                <w:b/>
                <w:bCs/>
                <w:sz w:val="14"/>
                <w:szCs w:val="18"/>
                <w:lang w:val="en-GB"/>
              </w:rPr>
              <w:t xml:space="preserve">Total </w:t>
            </w:r>
            <w:r w:rsidR="00811B0F" w:rsidRPr="0098629B">
              <w:rPr>
                <w:lang w:val="en-GB"/>
              </w:rPr>
              <w:t>CO</w:t>
            </w:r>
            <w:r w:rsidR="00811B0F" w:rsidRPr="0098629B">
              <w:rPr>
                <w:vertAlign w:val="subscript"/>
                <w:lang w:val="en-GB"/>
              </w:rPr>
              <w:t>2</w:t>
            </w:r>
            <w:r w:rsidRPr="0098629B">
              <w:rPr>
                <w:rFonts w:ascii="Times New Roman" w:hAnsi="Times New Roman"/>
                <w:b/>
                <w:bCs/>
                <w:sz w:val="14"/>
                <w:szCs w:val="18"/>
                <w:lang w:val="en-GB"/>
              </w:rPr>
              <w:t xml:space="preserve"> equivalent emissions with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742524B7" w14:textId="54041C0F" w:rsidR="00D8302C" w:rsidRPr="0098629B" w:rsidRDefault="00D8302C" w:rsidP="00D8302C">
            <w:pPr>
              <w:jc w:val="right"/>
              <w:rPr>
                <w:rFonts w:ascii="Times New Roman" w:hAnsi="Times New Roman"/>
                <w:sz w:val="14"/>
                <w:szCs w:val="18"/>
              </w:rPr>
            </w:pPr>
            <w:r w:rsidRPr="0098629B">
              <w:rPr>
                <w:sz w:val="14"/>
                <w:szCs w:val="18"/>
              </w:rPr>
              <w:t>378957,08</w:t>
            </w:r>
          </w:p>
        </w:tc>
      </w:tr>
      <w:tr w:rsidR="00D8302C" w:rsidRPr="0098629B" w14:paraId="5AA63A4C"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vAlign w:val="center"/>
            <w:hideMark/>
          </w:tcPr>
          <w:p w14:paraId="71F33756" w14:textId="13D8DB5D" w:rsidR="00D8302C" w:rsidRPr="0098629B" w:rsidRDefault="00D8302C" w:rsidP="00D8302C">
            <w:pPr>
              <w:jc w:val="right"/>
              <w:rPr>
                <w:rFonts w:ascii="Times New Roman" w:hAnsi="Times New Roman"/>
                <w:b/>
                <w:bCs/>
                <w:sz w:val="14"/>
                <w:szCs w:val="18"/>
                <w:lang w:val="en-GB"/>
              </w:rPr>
            </w:pPr>
            <w:r w:rsidRPr="0098629B">
              <w:rPr>
                <w:rFonts w:ascii="Times New Roman" w:hAnsi="Times New Roman"/>
                <w:b/>
                <w:bCs/>
                <w:sz w:val="14"/>
                <w:szCs w:val="18"/>
                <w:lang w:val="en-GB"/>
              </w:rPr>
              <w:t xml:space="preserve">Total </w:t>
            </w:r>
            <w:r w:rsidR="00811B0F" w:rsidRPr="0098629B">
              <w:rPr>
                <w:lang w:val="en-GB"/>
              </w:rPr>
              <w:t>CO</w:t>
            </w:r>
            <w:r w:rsidR="00811B0F" w:rsidRPr="0098629B">
              <w:rPr>
                <w:vertAlign w:val="subscript"/>
                <w:lang w:val="en-GB"/>
              </w:rPr>
              <w:t>2</w:t>
            </w:r>
            <w:r w:rsidRPr="0098629B">
              <w:rPr>
                <w:rFonts w:ascii="Times New Roman" w:hAnsi="Times New Roman"/>
                <w:b/>
                <w:bCs/>
                <w:sz w:val="14"/>
                <w:szCs w:val="18"/>
                <w:lang w:val="en-GB"/>
              </w:rPr>
              <w:t xml:space="preserve"> equivalent emissions, including indirect </w:t>
            </w:r>
            <w:r w:rsidR="00811B0F" w:rsidRPr="0098629B">
              <w:rPr>
                <w:lang w:val="en-GB"/>
              </w:rPr>
              <w:t>CO</w:t>
            </w:r>
            <w:r w:rsidR="00811B0F" w:rsidRPr="0098629B">
              <w:rPr>
                <w:vertAlign w:val="subscript"/>
                <w:lang w:val="en-GB"/>
              </w:rPr>
              <w:t>2</w:t>
            </w:r>
            <w:r w:rsidRPr="0098629B">
              <w:rPr>
                <w:rFonts w:ascii="Times New Roman" w:hAnsi="Times New Roman"/>
                <w:b/>
                <w:bCs/>
                <w:sz w:val="14"/>
                <w:szCs w:val="18"/>
                <w:lang w:val="en-GB"/>
              </w:rPr>
              <w:t>,  without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1A9ED6E1" w14:textId="13D37B2B" w:rsidR="00D8302C" w:rsidRPr="0098629B" w:rsidRDefault="00D8302C" w:rsidP="00D8302C">
            <w:pPr>
              <w:jc w:val="right"/>
              <w:rPr>
                <w:rFonts w:ascii="Times New Roman" w:hAnsi="Times New Roman"/>
                <w:sz w:val="14"/>
                <w:szCs w:val="18"/>
              </w:rPr>
            </w:pPr>
            <w:r w:rsidRPr="0098629B">
              <w:rPr>
                <w:sz w:val="14"/>
                <w:szCs w:val="18"/>
              </w:rPr>
              <w:t>NA</w:t>
            </w:r>
          </w:p>
        </w:tc>
      </w:tr>
      <w:tr w:rsidR="00D8302C" w:rsidRPr="0098629B" w14:paraId="67EB6FE7"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3617572B" w14:textId="32C84991" w:rsidR="00D8302C" w:rsidRPr="0098629B" w:rsidRDefault="00D8302C" w:rsidP="00D8302C">
            <w:pPr>
              <w:jc w:val="right"/>
              <w:rPr>
                <w:rFonts w:ascii="Times New Roman" w:hAnsi="Times New Roman"/>
                <w:b/>
                <w:bCs/>
                <w:sz w:val="14"/>
                <w:szCs w:val="18"/>
                <w:lang w:val="en-GB"/>
              </w:rPr>
            </w:pPr>
            <w:r w:rsidRPr="0098629B">
              <w:rPr>
                <w:rFonts w:ascii="Times New Roman" w:hAnsi="Times New Roman"/>
                <w:b/>
                <w:bCs/>
                <w:sz w:val="14"/>
                <w:szCs w:val="18"/>
                <w:lang w:val="en-GB"/>
              </w:rPr>
              <w:t xml:space="preserve">Total </w:t>
            </w:r>
            <w:r w:rsidR="00811B0F" w:rsidRPr="0098629B">
              <w:rPr>
                <w:lang w:val="en-GB"/>
              </w:rPr>
              <w:t>CO</w:t>
            </w:r>
            <w:r w:rsidR="00811B0F" w:rsidRPr="0098629B">
              <w:rPr>
                <w:vertAlign w:val="subscript"/>
                <w:lang w:val="en-GB"/>
              </w:rPr>
              <w:t>2</w:t>
            </w:r>
            <w:r w:rsidRPr="0098629B">
              <w:rPr>
                <w:rFonts w:ascii="Times New Roman" w:hAnsi="Times New Roman"/>
                <w:b/>
                <w:bCs/>
                <w:sz w:val="14"/>
                <w:szCs w:val="18"/>
                <w:lang w:val="en-GB"/>
              </w:rPr>
              <w:t xml:space="preserve"> equivalent emissions, including indirect </w:t>
            </w:r>
            <w:r w:rsidR="00811B0F" w:rsidRPr="0098629B">
              <w:rPr>
                <w:lang w:val="en-GB"/>
              </w:rPr>
              <w:t>CO</w:t>
            </w:r>
            <w:r w:rsidR="00811B0F" w:rsidRPr="0098629B">
              <w:rPr>
                <w:vertAlign w:val="subscript"/>
                <w:lang w:val="en-GB"/>
              </w:rPr>
              <w:t>2</w:t>
            </w:r>
            <w:r w:rsidRPr="0098629B">
              <w:rPr>
                <w:rFonts w:ascii="Times New Roman" w:hAnsi="Times New Roman"/>
                <w:b/>
                <w:bCs/>
                <w:sz w:val="14"/>
                <w:szCs w:val="18"/>
                <w:lang w:val="en-GB"/>
              </w:rPr>
              <w:t>,  with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3877D321" w14:textId="3EE505B2" w:rsidR="00D8302C" w:rsidRPr="0098629B" w:rsidRDefault="00D8302C" w:rsidP="00D8302C">
            <w:pPr>
              <w:jc w:val="right"/>
              <w:rPr>
                <w:rFonts w:ascii="Times New Roman" w:hAnsi="Times New Roman"/>
                <w:sz w:val="14"/>
                <w:szCs w:val="18"/>
              </w:rPr>
            </w:pPr>
            <w:r w:rsidRPr="0098629B">
              <w:rPr>
                <w:sz w:val="14"/>
                <w:szCs w:val="18"/>
              </w:rPr>
              <w:t>NA</w:t>
            </w:r>
          </w:p>
        </w:tc>
      </w:tr>
      <w:tr w:rsidR="00D8302C" w:rsidRPr="00757301" w14:paraId="44EA1797" w14:textId="77777777" w:rsidTr="00D8302C">
        <w:trPr>
          <w:trHeight w:val="68"/>
          <w:jc w:val="center"/>
        </w:trPr>
        <w:tc>
          <w:tcPr>
            <w:tcW w:w="11049" w:type="dxa"/>
            <w:gridSpan w:val="10"/>
            <w:tcBorders>
              <w:top w:val="nil"/>
              <w:left w:val="nil"/>
              <w:bottom w:val="nil"/>
              <w:right w:val="nil"/>
            </w:tcBorders>
            <w:shd w:val="clear" w:color="000000" w:fill="FFFFFF"/>
            <w:hideMark/>
          </w:tcPr>
          <w:p w14:paraId="4E30E5BB" w14:textId="49E07061"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vertAlign w:val="superscript"/>
                <w:lang w:val="en-GB"/>
              </w:rPr>
              <w:t xml:space="preserve">(1)     </w:t>
            </w:r>
            <w:r w:rsidRPr="0098629B">
              <w:rPr>
                <w:rFonts w:ascii="Times New Roman" w:hAnsi="Times New Roman"/>
                <w:sz w:val="14"/>
                <w:szCs w:val="18"/>
                <w:lang w:val="en-GB"/>
              </w:rPr>
              <w:t>For carbon dioxide (</w:t>
            </w:r>
            <w:r w:rsidR="00811B0F" w:rsidRPr="0098629B">
              <w:rPr>
                <w:lang w:val="en-GB"/>
              </w:rPr>
              <w:t>CO</w:t>
            </w:r>
            <w:r w:rsidR="00811B0F" w:rsidRPr="0098629B">
              <w:rPr>
                <w:vertAlign w:val="subscript"/>
                <w:lang w:val="en-GB"/>
              </w:rPr>
              <w:t>2</w:t>
            </w:r>
            <w:r w:rsidRPr="0098629B">
              <w:rPr>
                <w:rFonts w:ascii="Times New Roman" w:hAnsi="Times New Roman"/>
                <w:sz w:val="14"/>
                <w:szCs w:val="18"/>
                <w:lang w:val="en-GB"/>
              </w:rPr>
              <w:t xml:space="preserve">) from land use, land-use change and forestry the net emissions/removals are to be reported.  For the purposes of reporting, the signs for removals are always negative (-) and for emissions positive (+). </w:t>
            </w:r>
          </w:p>
        </w:tc>
      </w:tr>
      <w:tr w:rsidR="00D8302C" w:rsidRPr="00757301" w14:paraId="12F7541E" w14:textId="77777777" w:rsidTr="00D8302C">
        <w:trPr>
          <w:trHeight w:val="68"/>
          <w:jc w:val="center"/>
        </w:trPr>
        <w:tc>
          <w:tcPr>
            <w:tcW w:w="3397" w:type="dxa"/>
            <w:tcBorders>
              <w:top w:val="nil"/>
              <w:left w:val="nil"/>
              <w:bottom w:val="nil"/>
              <w:right w:val="nil"/>
            </w:tcBorders>
            <w:shd w:val="clear" w:color="000000" w:fill="FFFFFF"/>
            <w:noWrap/>
            <w:hideMark/>
          </w:tcPr>
          <w:p w14:paraId="6397E1D5"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vertAlign w:val="superscript"/>
                <w:lang w:val="en-GB"/>
              </w:rPr>
              <w:t xml:space="preserve">(2)     </w:t>
            </w:r>
            <w:r w:rsidRPr="0098629B">
              <w:rPr>
                <w:rFonts w:ascii="Times New Roman" w:hAnsi="Times New Roman"/>
                <w:sz w:val="14"/>
                <w:szCs w:val="18"/>
                <w:lang w:val="en-GB"/>
              </w:rPr>
              <w:t>See footnote 7 to table Summary 1.A.</w:t>
            </w:r>
          </w:p>
        </w:tc>
        <w:tc>
          <w:tcPr>
            <w:tcW w:w="914" w:type="dxa"/>
            <w:tcBorders>
              <w:top w:val="nil"/>
              <w:left w:val="nil"/>
              <w:bottom w:val="nil"/>
              <w:right w:val="nil"/>
            </w:tcBorders>
            <w:shd w:val="clear" w:color="000000" w:fill="FFFFFF"/>
            <w:noWrap/>
            <w:hideMark/>
          </w:tcPr>
          <w:p w14:paraId="54BF8A62"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820" w:type="dxa"/>
            <w:tcBorders>
              <w:top w:val="nil"/>
              <w:left w:val="nil"/>
              <w:bottom w:val="nil"/>
              <w:right w:val="nil"/>
            </w:tcBorders>
            <w:shd w:val="clear" w:color="000000" w:fill="FFFFFF"/>
            <w:noWrap/>
            <w:hideMark/>
          </w:tcPr>
          <w:p w14:paraId="532CC1EB"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820" w:type="dxa"/>
            <w:tcBorders>
              <w:top w:val="nil"/>
              <w:left w:val="nil"/>
              <w:bottom w:val="nil"/>
              <w:right w:val="nil"/>
            </w:tcBorders>
            <w:shd w:val="clear" w:color="000000" w:fill="FFFFFF"/>
            <w:noWrap/>
            <w:hideMark/>
          </w:tcPr>
          <w:p w14:paraId="771838EC"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820" w:type="dxa"/>
            <w:tcBorders>
              <w:top w:val="nil"/>
              <w:left w:val="nil"/>
              <w:bottom w:val="nil"/>
              <w:right w:val="nil"/>
            </w:tcBorders>
            <w:shd w:val="clear" w:color="000000" w:fill="FFFFFF"/>
            <w:noWrap/>
            <w:hideMark/>
          </w:tcPr>
          <w:p w14:paraId="774CACCB"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723" w:type="dxa"/>
            <w:tcBorders>
              <w:top w:val="nil"/>
              <w:left w:val="nil"/>
              <w:bottom w:val="nil"/>
              <w:right w:val="nil"/>
            </w:tcBorders>
            <w:shd w:val="clear" w:color="000000" w:fill="FFFFFF"/>
            <w:noWrap/>
            <w:hideMark/>
          </w:tcPr>
          <w:p w14:paraId="538DD9B6"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723" w:type="dxa"/>
            <w:tcBorders>
              <w:top w:val="nil"/>
              <w:left w:val="nil"/>
              <w:bottom w:val="nil"/>
              <w:right w:val="nil"/>
            </w:tcBorders>
            <w:shd w:val="clear" w:color="000000" w:fill="FFFFFF"/>
            <w:noWrap/>
            <w:hideMark/>
          </w:tcPr>
          <w:p w14:paraId="03E5FF9A"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1276" w:type="dxa"/>
            <w:tcBorders>
              <w:top w:val="nil"/>
              <w:left w:val="nil"/>
              <w:bottom w:val="nil"/>
              <w:right w:val="nil"/>
            </w:tcBorders>
            <w:shd w:val="clear" w:color="000000" w:fill="FFFFFF"/>
            <w:noWrap/>
            <w:hideMark/>
          </w:tcPr>
          <w:p w14:paraId="298B5A50"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580" w:type="dxa"/>
            <w:tcBorders>
              <w:top w:val="nil"/>
              <w:left w:val="nil"/>
              <w:bottom w:val="nil"/>
              <w:right w:val="nil"/>
            </w:tcBorders>
            <w:shd w:val="clear" w:color="000000" w:fill="FFFFFF"/>
            <w:noWrap/>
            <w:hideMark/>
          </w:tcPr>
          <w:p w14:paraId="62147EB6"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c>
          <w:tcPr>
            <w:tcW w:w="976" w:type="dxa"/>
            <w:tcBorders>
              <w:top w:val="nil"/>
              <w:left w:val="nil"/>
              <w:bottom w:val="nil"/>
              <w:right w:val="nil"/>
            </w:tcBorders>
            <w:shd w:val="clear" w:color="000000" w:fill="FFFFFF"/>
            <w:noWrap/>
            <w:hideMark/>
          </w:tcPr>
          <w:p w14:paraId="474DE92E" w14:textId="77777777"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lang w:val="en-GB"/>
              </w:rPr>
              <w:t> </w:t>
            </w:r>
          </w:p>
        </w:tc>
      </w:tr>
      <w:tr w:rsidR="00D8302C" w:rsidRPr="00757301" w14:paraId="291A9A1B" w14:textId="77777777" w:rsidTr="00D8302C">
        <w:trPr>
          <w:trHeight w:val="68"/>
          <w:jc w:val="center"/>
        </w:trPr>
        <w:tc>
          <w:tcPr>
            <w:tcW w:w="11049" w:type="dxa"/>
            <w:gridSpan w:val="10"/>
            <w:tcBorders>
              <w:top w:val="nil"/>
              <w:left w:val="nil"/>
              <w:bottom w:val="nil"/>
              <w:right w:val="nil"/>
            </w:tcBorders>
            <w:shd w:val="clear" w:color="000000" w:fill="FFFFFF"/>
            <w:hideMark/>
          </w:tcPr>
          <w:p w14:paraId="3562C489" w14:textId="38F64439" w:rsidR="00D8302C" w:rsidRPr="0098629B" w:rsidRDefault="00D8302C" w:rsidP="00891B49">
            <w:pPr>
              <w:jc w:val="left"/>
              <w:rPr>
                <w:rFonts w:ascii="Times New Roman" w:hAnsi="Times New Roman"/>
                <w:sz w:val="14"/>
                <w:szCs w:val="18"/>
                <w:lang w:val="en-GB"/>
              </w:rPr>
            </w:pPr>
            <w:r w:rsidRPr="0098629B">
              <w:rPr>
                <w:rFonts w:ascii="Times New Roman" w:hAnsi="Times New Roman"/>
                <w:sz w:val="14"/>
                <w:szCs w:val="18"/>
                <w:vertAlign w:val="superscript"/>
                <w:lang w:val="en-GB"/>
              </w:rPr>
              <w:t xml:space="preserve">(3)    </w:t>
            </w:r>
            <w:r w:rsidRPr="0098629B">
              <w:rPr>
                <w:rFonts w:ascii="Times New Roman" w:hAnsi="Times New Roman"/>
                <w:sz w:val="14"/>
                <w:szCs w:val="18"/>
                <w:lang w:val="en-GB"/>
              </w:rPr>
              <w:t xml:space="preserve">In accordance with the UNFCCC Annex I inventory reporting guidelines, for Parties that decide to report indirect </w:t>
            </w:r>
            <w:r w:rsidR="00811B0F" w:rsidRPr="0098629B">
              <w:rPr>
                <w:lang w:val="en-GB"/>
              </w:rPr>
              <w:t>CO</w:t>
            </w:r>
            <w:r w:rsidR="00811B0F" w:rsidRPr="0098629B">
              <w:rPr>
                <w:vertAlign w:val="subscript"/>
                <w:lang w:val="en-GB"/>
              </w:rPr>
              <w:t>2</w:t>
            </w:r>
            <w:r w:rsidRPr="0098629B">
              <w:rPr>
                <w:rFonts w:ascii="Times New Roman" w:hAnsi="Times New Roman"/>
                <w:sz w:val="14"/>
                <w:szCs w:val="18"/>
                <w:vertAlign w:val="subscript"/>
                <w:lang w:val="en-GB"/>
              </w:rPr>
              <w:t>,</w:t>
            </w:r>
            <w:r w:rsidRPr="0098629B">
              <w:rPr>
                <w:rFonts w:ascii="Times New Roman" w:hAnsi="Times New Roman"/>
                <w:sz w:val="14"/>
                <w:szCs w:val="18"/>
                <w:lang w:val="en-GB"/>
              </w:rPr>
              <w:t xml:space="preserve"> the national tot</w:t>
            </w:r>
            <w:r w:rsidR="007C589E" w:rsidRPr="0098629B">
              <w:rPr>
                <w:rFonts w:ascii="Times New Roman" w:hAnsi="Times New Roman"/>
                <w:sz w:val="14"/>
                <w:szCs w:val="18"/>
                <w:lang w:val="en-GB"/>
              </w:rPr>
              <w:t xml:space="preserve">als shall be provided with and </w:t>
            </w:r>
            <w:r w:rsidRPr="0098629B">
              <w:rPr>
                <w:rFonts w:ascii="Times New Roman" w:hAnsi="Times New Roman"/>
                <w:sz w:val="14"/>
                <w:szCs w:val="18"/>
                <w:lang w:val="en-GB"/>
              </w:rPr>
              <w:t xml:space="preserve">without indirect </w:t>
            </w:r>
            <w:r w:rsidR="00811B0F" w:rsidRPr="0098629B">
              <w:rPr>
                <w:lang w:val="en-GB"/>
              </w:rPr>
              <w:t>CO</w:t>
            </w:r>
            <w:r w:rsidR="00811B0F" w:rsidRPr="0098629B">
              <w:rPr>
                <w:vertAlign w:val="subscript"/>
                <w:lang w:val="en-GB"/>
              </w:rPr>
              <w:t>2</w:t>
            </w:r>
            <w:r w:rsidRPr="0098629B">
              <w:rPr>
                <w:rFonts w:ascii="Times New Roman" w:hAnsi="Times New Roman"/>
                <w:sz w:val="14"/>
                <w:szCs w:val="18"/>
                <w:lang w:val="en-GB"/>
              </w:rPr>
              <w:t>.</w:t>
            </w:r>
          </w:p>
        </w:tc>
      </w:tr>
    </w:tbl>
    <w:p w14:paraId="369B2576" w14:textId="43B062D3" w:rsidR="00D8302C" w:rsidRPr="0098629B" w:rsidRDefault="00D8302C" w:rsidP="00D8302C">
      <w:pPr>
        <w:pStyle w:val="Caption"/>
      </w:pPr>
      <w:bookmarkStart w:id="307" w:name="_Toc123916669"/>
      <w:r w:rsidRPr="0098629B">
        <w:t xml:space="preserve">Tableau </w:t>
      </w:r>
      <w:fldSimple w:instr=" SEQ Tableau \* ARABIC ">
        <w:r w:rsidR="00677B3C">
          <w:rPr>
            <w:noProof/>
          </w:rPr>
          <w:t>34</w:t>
        </w:r>
      </w:fldSimple>
      <w:r w:rsidRPr="0098629B">
        <w:t> : Emissions par secteur en 2020 pour le périmètre Kyoto (Table Summary 2)</w:t>
      </w:r>
      <w:bookmarkEnd w:id="307"/>
    </w:p>
    <w:p w14:paraId="78F8DFDA" w14:textId="341DCF86" w:rsidR="00D8302C" w:rsidRPr="0098629B" w:rsidRDefault="00D8302C" w:rsidP="00D8302C">
      <w:pPr>
        <w:pStyle w:val="Caption"/>
      </w:pPr>
      <w:r w:rsidRPr="0098629B">
        <w:t>Source : inventaire Citepa/MTE, soumission CCNUCC avril 2022, au périmètre Kyoto</w:t>
      </w:r>
    </w:p>
    <w:p w14:paraId="7AAFB3F1" w14:textId="28A5D6E4" w:rsidR="00D8302C" w:rsidRPr="0098629B" w:rsidRDefault="00D8302C">
      <w:pPr>
        <w:spacing w:line="240" w:lineRule="atLeast"/>
        <w:jc w:val="left"/>
      </w:pPr>
      <w:r w:rsidRPr="0098629B">
        <w:br w:type="page"/>
      </w:r>
    </w:p>
    <w:p w14:paraId="3E8DA96F" w14:textId="77777777" w:rsidR="001808DF" w:rsidRDefault="001808DF" w:rsidP="007C589E">
      <w:pPr>
        <w:pStyle w:val="Titre1Niveau1"/>
        <w:sectPr w:rsidR="001808DF" w:rsidSect="00401567">
          <w:pgSz w:w="11906" w:h="16838" w:code="9"/>
          <w:pgMar w:top="1229" w:right="907" w:bottom="1648" w:left="1049" w:header="284" w:footer="284" w:gutter="0"/>
          <w:cols w:space="708"/>
          <w:titlePg/>
          <w:docGrid w:linePitch="360"/>
        </w:sectPr>
      </w:pPr>
    </w:p>
    <w:p w14:paraId="02C427E5" w14:textId="0C2E3DB7" w:rsidR="00C430E9" w:rsidRDefault="00D8302C" w:rsidP="007C589E">
      <w:pPr>
        <w:pStyle w:val="Titre1Niveau1"/>
      </w:pPr>
      <w:bookmarkStart w:id="308" w:name="AnnexII"/>
      <w:bookmarkStart w:id="309" w:name="_Toc138344648"/>
      <w:bookmarkEnd w:id="308"/>
      <w:r w:rsidRPr="0098629B">
        <w:t>Annexe II – Assistance apportée aux pays en développement sous la forme de ressources financières, de technologies et de renforcement des capacités – tableaux de financement</w:t>
      </w:r>
      <w:bookmarkEnd w:id="309"/>
    </w:p>
    <w:p w14:paraId="673E501C" w14:textId="74C95AAD" w:rsidR="00DA0C45" w:rsidRDefault="00DA0C45" w:rsidP="00DA0C45">
      <w:pPr>
        <w:pStyle w:val="Caption"/>
      </w:pPr>
      <w:bookmarkStart w:id="310" w:name="_Toc123916670"/>
      <w:r>
        <w:t xml:space="preserve">Tableau </w:t>
      </w:r>
      <w:fldSimple w:instr=" SEQ Tableau \* ARABIC ">
        <w:r w:rsidR="00677B3C">
          <w:rPr>
            <w:noProof/>
          </w:rPr>
          <w:t>35</w:t>
        </w:r>
      </w:fldSimple>
      <w:r>
        <w:t xml:space="preserve"> : </w:t>
      </w:r>
      <w:r w:rsidRPr="00DA0C45">
        <w:t>Résumé de l'apport de soutien financier et technologique aux pays en voie de développement en 20</w:t>
      </w:r>
      <w:r>
        <w:t>19</w:t>
      </w:r>
      <w:bookmarkEnd w:id="310"/>
    </w:p>
    <w:p w14:paraId="22A67850" w14:textId="77777777" w:rsidR="00DA0C45" w:rsidRDefault="00DA0C45" w:rsidP="00DA0C45">
      <w:pPr>
        <w:pStyle w:val="Caption"/>
      </w:pPr>
      <w:r>
        <w:t xml:space="preserve"> </w:t>
      </w:r>
    </w:p>
    <w:tbl>
      <w:tblPr>
        <w:tblStyle w:val="ListTable4-Accent1"/>
        <w:tblW w:w="10100" w:type="dxa"/>
        <w:jc w:val="center"/>
        <w:tblLook w:val="04A0" w:firstRow="1" w:lastRow="0" w:firstColumn="1" w:lastColumn="0" w:noHBand="0" w:noVBand="1"/>
      </w:tblPr>
      <w:tblGrid>
        <w:gridCol w:w="4240"/>
        <w:gridCol w:w="1420"/>
        <w:gridCol w:w="1600"/>
        <w:gridCol w:w="1600"/>
        <w:gridCol w:w="1240"/>
      </w:tblGrid>
      <w:tr w:rsidR="00DA0C45" w:rsidRPr="00DA0C45" w14:paraId="79D2886B" w14:textId="77777777" w:rsidTr="00DA0C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val="restart"/>
            <w:hideMark/>
          </w:tcPr>
          <w:p w14:paraId="6762556C" w14:textId="77777777" w:rsidR="00DA0C45" w:rsidRPr="00DA0C45" w:rsidRDefault="00DA0C45" w:rsidP="00DA0C45">
            <w:pPr>
              <w:jc w:val="center"/>
              <w:rPr>
                <w:rFonts w:ascii="Times New Roman" w:hAnsi="Times New Roman"/>
                <w:i/>
                <w:iCs/>
                <w:sz w:val="18"/>
                <w:szCs w:val="18"/>
              </w:rPr>
            </w:pPr>
            <w:r w:rsidRPr="00DA0C45">
              <w:rPr>
                <w:rFonts w:ascii="Times New Roman" w:hAnsi="Times New Roman"/>
                <w:i/>
                <w:iCs/>
                <w:sz w:val="18"/>
                <w:szCs w:val="18"/>
              </w:rPr>
              <w:t>Allocation channels</w:t>
            </w:r>
          </w:p>
        </w:tc>
        <w:tc>
          <w:tcPr>
            <w:tcW w:w="5860" w:type="dxa"/>
            <w:gridSpan w:val="4"/>
            <w:noWrap/>
            <w:hideMark/>
          </w:tcPr>
          <w:p w14:paraId="42741190" w14:textId="77777777" w:rsidR="00DA0C45" w:rsidRPr="00DA0C45"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2019</w:t>
            </w:r>
          </w:p>
        </w:tc>
      </w:tr>
      <w:tr w:rsidR="00DA0C45" w:rsidRPr="00DA0C45" w14:paraId="3D1F68AC"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CC8592C" w14:textId="77777777" w:rsidR="00DA0C45" w:rsidRPr="00DA0C45" w:rsidRDefault="00DA0C45" w:rsidP="00DA0C45">
            <w:pPr>
              <w:jc w:val="left"/>
              <w:rPr>
                <w:rFonts w:ascii="Times New Roman" w:hAnsi="Times New Roman"/>
                <w:i/>
                <w:iCs/>
                <w:sz w:val="18"/>
                <w:szCs w:val="18"/>
              </w:rPr>
            </w:pPr>
          </w:p>
        </w:tc>
        <w:tc>
          <w:tcPr>
            <w:tcW w:w="5860" w:type="dxa"/>
            <w:gridSpan w:val="4"/>
            <w:noWrap/>
            <w:hideMark/>
          </w:tcPr>
          <w:p w14:paraId="4D11C0D4"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European euro - EUR</w:t>
            </w:r>
          </w:p>
        </w:tc>
      </w:tr>
      <w:tr w:rsidR="00DA0C45" w:rsidRPr="00DA0C45" w14:paraId="5B4911E7"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78FF5849" w14:textId="77777777" w:rsidR="00DA0C45" w:rsidRPr="00DA0C45" w:rsidRDefault="00DA0C45" w:rsidP="00DA0C45">
            <w:pPr>
              <w:jc w:val="left"/>
              <w:rPr>
                <w:rFonts w:ascii="Times New Roman" w:hAnsi="Times New Roman"/>
                <w:i/>
                <w:iCs/>
                <w:sz w:val="18"/>
                <w:szCs w:val="18"/>
              </w:rPr>
            </w:pPr>
          </w:p>
        </w:tc>
        <w:tc>
          <w:tcPr>
            <w:tcW w:w="1420" w:type="dxa"/>
            <w:vMerge w:val="restart"/>
            <w:hideMark/>
          </w:tcPr>
          <w:p w14:paraId="76EAE57F"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Core/ general</w:t>
            </w:r>
            <w:r w:rsidRPr="00DA0C45">
              <w:rPr>
                <w:rFonts w:ascii="Times New Roman" w:hAnsi="Times New Roman"/>
                <w:i/>
                <w:iCs/>
                <w:sz w:val="18"/>
                <w:szCs w:val="18"/>
                <w:vertAlign w:val="superscript"/>
              </w:rPr>
              <w:t>b, 1</w:t>
            </w:r>
          </w:p>
        </w:tc>
        <w:tc>
          <w:tcPr>
            <w:tcW w:w="4440" w:type="dxa"/>
            <w:gridSpan w:val="3"/>
            <w:noWrap/>
            <w:hideMark/>
          </w:tcPr>
          <w:p w14:paraId="2C733871"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Climate-specific ²</w:t>
            </w:r>
          </w:p>
        </w:tc>
      </w:tr>
      <w:tr w:rsidR="00DA0C45" w:rsidRPr="00DA0C45" w14:paraId="1EF13F7E"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D40B65E" w14:textId="77777777" w:rsidR="00DA0C45" w:rsidRPr="00DA0C45" w:rsidRDefault="00DA0C45" w:rsidP="00DA0C45">
            <w:pPr>
              <w:jc w:val="left"/>
              <w:rPr>
                <w:rFonts w:ascii="Times New Roman" w:hAnsi="Times New Roman"/>
                <w:i/>
                <w:iCs/>
                <w:sz w:val="18"/>
                <w:szCs w:val="18"/>
              </w:rPr>
            </w:pPr>
          </w:p>
        </w:tc>
        <w:tc>
          <w:tcPr>
            <w:tcW w:w="1420" w:type="dxa"/>
            <w:vMerge/>
            <w:hideMark/>
          </w:tcPr>
          <w:p w14:paraId="56A0F9C1" w14:textId="77777777" w:rsidR="00DA0C45" w:rsidRPr="00DA0C45"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p>
        </w:tc>
        <w:tc>
          <w:tcPr>
            <w:tcW w:w="1600" w:type="dxa"/>
            <w:hideMark/>
          </w:tcPr>
          <w:p w14:paraId="789A577F"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Mitigation</w:t>
            </w:r>
            <w:r w:rsidRPr="00DA0C45">
              <w:rPr>
                <w:rFonts w:ascii="Times New Roman" w:hAnsi="Times New Roman"/>
                <w:i/>
                <w:iCs/>
                <w:sz w:val="18"/>
                <w:szCs w:val="18"/>
                <w:vertAlign w:val="superscript"/>
              </w:rPr>
              <w:t>c</w:t>
            </w:r>
          </w:p>
        </w:tc>
        <w:tc>
          <w:tcPr>
            <w:tcW w:w="1600" w:type="dxa"/>
            <w:hideMark/>
          </w:tcPr>
          <w:p w14:paraId="541BA30A"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Adaptation</w:t>
            </w:r>
            <w:r w:rsidRPr="00DA0C45">
              <w:rPr>
                <w:rFonts w:ascii="Times New Roman" w:hAnsi="Times New Roman"/>
                <w:i/>
                <w:iCs/>
                <w:sz w:val="18"/>
                <w:szCs w:val="18"/>
                <w:vertAlign w:val="superscript"/>
              </w:rPr>
              <w:t>c</w:t>
            </w:r>
          </w:p>
        </w:tc>
        <w:tc>
          <w:tcPr>
            <w:tcW w:w="1240" w:type="dxa"/>
            <w:hideMark/>
          </w:tcPr>
          <w:p w14:paraId="434A92DF"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Cross-cutting</w:t>
            </w:r>
            <w:r w:rsidRPr="00DA0C45">
              <w:rPr>
                <w:rFonts w:ascii="Times New Roman" w:hAnsi="Times New Roman"/>
                <w:i/>
                <w:iCs/>
                <w:sz w:val="18"/>
                <w:szCs w:val="18"/>
                <w:vertAlign w:val="superscript"/>
              </w:rPr>
              <w:t>c</w:t>
            </w:r>
          </w:p>
        </w:tc>
      </w:tr>
      <w:tr w:rsidR="00DA0C45" w:rsidRPr="00757301" w14:paraId="6118FBDF"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281D8D61" w14:textId="77777777" w:rsidR="00DA0C45" w:rsidRPr="00DA0C45" w:rsidRDefault="00DA0C45" w:rsidP="00DA0C45">
            <w:pPr>
              <w:jc w:val="left"/>
              <w:rPr>
                <w:rFonts w:ascii="Times New Roman" w:hAnsi="Times New Roman"/>
                <w:i/>
                <w:iCs/>
                <w:sz w:val="18"/>
                <w:szCs w:val="18"/>
                <w:lang w:val="en-GB"/>
              </w:rPr>
            </w:pPr>
            <w:r w:rsidRPr="00DA0C45">
              <w:rPr>
                <w:rFonts w:ascii="Times New Roman" w:hAnsi="Times New Roman"/>
                <w:i/>
                <w:iCs/>
                <w:sz w:val="18"/>
                <w:szCs w:val="18"/>
                <w:lang w:val="en-GB"/>
              </w:rPr>
              <w:t>Total contributions through multilateral channels:</w:t>
            </w:r>
          </w:p>
        </w:tc>
        <w:tc>
          <w:tcPr>
            <w:tcW w:w="1420" w:type="dxa"/>
            <w:hideMark/>
          </w:tcPr>
          <w:p w14:paraId="10C59C75"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080FDC4B"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6382EE07"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240" w:type="dxa"/>
            <w:hideMark/>
          </w:tcPr>
          <w:p w14:paraId="30F27901"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r>
      <w:tr w:rsidR="00DA0C45" w:rsidRPr="00DA0C45" w14:paraId="0CB80813"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1683720E" w14:textId="77777777" w:rsidR="00DA0C45" w:rsidRPr="00DA0C45" w:rsidRDefault="00DA0C45" w:rsidP="00DA0C45">
            <w:pPr>
              <w:ind w:firstLineChars="100" w:firstLine="181"/>
              <w:jc w:val="left"/>
              <w:rPr>
                <w:rFonts w:ascii="Times New Roman" w:hAnsi="Times New Roman"/>
                <w:sz w:val="18"/>
                <w:szCs w:val="18"/>
              </w:rPr>
            </w:pPr>
            <w:r w:rsidRPr="00DA0C45">
              <w:rPr>
                <w:rFonts w:ascii="Times New Roman" w:hAnsi="Times New Roman"/>
                <w:sz w:val="18"/>
                <w:szCs w:val="18"/>
              </w:rPr>
              <w:t>Multilateral climate change funds</w:t>
            </w:r>
            <w:r w:rsidRPr="00DA0C45">
              <w:rPr>
                <w:rFonts w:ascii="Times New Roman" w:hAnsi="Times New Roman"/>
                <w:i/>
                <w:iCs/>
                <w:sz w:val="18"/>
                <w:szCs w:val="18"/>
                <w:vertAlign w:val="superscript"/>
              </w:rPr>
              <w:t>e</w:t>
            </w:r>
          </w:p>
        </w:tc>
        <w:tc>
          <w:tcPr>
            <w:tcW w:w="1420" w:type="dxa"/>
            <w:hideMark/>
          </w:tcPr>
          <w:p w14:paraId="4BBB46F8"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c>
          <w:tcPr>
            <w:tcW w:w="1600" w:type="dxa"/>
            <w:noWrap/>
            <w:hideMark/>
          </w:tcPr>
          <w:p w14:paraId="6A9E87A9"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112</w:t>
            </w:r>
          </w:p>
        </w:tc>
        <w:tc>
          <w:tcPr>
            <w:tcW w:w="1600" w:type="dxa"/>
            <w:hideMark/>
          </w:tcPr>
          <w:p w14:paraId="5EC749FD"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83 673 900</w:t>
            </w:r>
          </w:p>
        </w:tc>
        <w:tc>
          <w:tcPr>
            <w:tcW w:w="1240" w:type="dxa"/>
            <w:hideMark/>
          </w:tcPr>
          <w:p w14:paraId="1E6E68D2"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r>
      <w:tr w:rsidR="00DA0C45" w:rsidRPr="00DA0C45" w14:paraId="7FA4803E"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0B1A74D5" w14:textId="77777777" w:rsidR="00DA0C45" w:rsidRPr="00DA0C45" w:rsidRDefault="00DA0C45" w:rsidP="00DA0C45">
            <w:pPr>
              <w:jc w:val="left"/>
              <w:rPr>
                <w:rFonts w:ascii="Times New Roman" w:hAnsi="Times New Roman"/>
                <w:sz w:val="18"/>
                <w:szCs w:val="18"/>
                <w:lang w:val="en-GB"/>
              </w:rPr>
            </w:pPr>
            <w:r w:rsidRPr="00DA0C45">
              <w:rPr>
                <w:rFonts w:ascii="Times New Roman" w:hAnsi="Times New Roman"/>
                <w:sz w:val="18"/>
                <w:szCs w:val="18"/>
                <w:lang w:val="en-GB"/>
              </w:rPr>
              <w:t xml:space="preserve">   Other multilateral climate change funds</w:t>
            </w:r>
            <w:r w:rsidRPr="00DA0C45">
              <w:rPr>
                <w:rFonts w:ascii="Times New Roman" w:hAnsi="Times New Roman"/>
                <w:i/>
                <w:iCs/>
                <w:sz w:val="18"/>
                <w:szCs w:val="18"/>
                <w:vertAlign w:val="superscript"/>
                <w:lang w:val="en-GB"/>
              </w:rPr>
              <w:t>f</w:t>
            </w:r>
          </w:p>
        </w:tc>
        <w:tc>
          <w:tcPr>
            <w:tcW w:w="1420" w:type="dxa"/>
            <w:hideMark/>
          </w:tcPr>
          <w:p w14:paraId="1100BE23"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648B0560"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11 346 000</w:t>
            </w:r>
          </w:p>
        </w:tc>
        <w:tc>
          <w:tcPr>
            <w:tcW w:w="1600" w:type="dxa"/>
            <w:hideMark/>
          </w:tcPr>
          <w:p w14:paraId="445A2AB6"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3 455 000</w:t>
            </w:r>
          </w:p>
        </w:tc>
        <w:tc>
          <w:tcPr>
            <w:tcW w:w="1240" w:type="dxa"/>
            <w:hideMark/>
          </w:tcPr>
          <w:p w14:paraId="5225651A"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27 438 235</w:t>
            </w:r>
          </w:p>
        </w:tc>
      </w:tr>
      <w:tr w:rsidR="00DA0C45" w:rsidRPr="00DA0C45" w14:paraId="2EEF1EB9"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64D8B6A5" w14:textId="77777777" w:rsidR="00DA0C45" w:rsidRPr="00DA0C45" w:rsidRDefault="00DA0C45" w:rsidP="00DA0C45">
            <w:pPr>
              <w:ind w:firstLineChars="100" w:firstLine="181"/>
              <w:jc w:val="left"/>
              <w:rPr>
                <w:rFonts w:ascii="Times New Roman" w:hAnsi="Times New Roman"/>
                <w:sz w:val="18"/>
                <w:szCs w:val="18"/>
                <w:lang w:val="en-GB"/>
              </w:rPr>
            </w:pPr>
            <w:r w:rsidRPr="00DA0C45">
              <w:rPr>
                <w:rFonts w:ascii="Times New Roman" w:hAnsi="Times New Roman"/>
                <w:sz w:val="18"/>
                <w:szCs w:val="18"/>
                <w:lang w:val="en-GB"/>
              </w:rPr>
              <w:t>Multilateral financial institutions, including regional development banks</w:t>
            </w:r>
          </w:p>
        </w:tc>
        <w:tc>
          <w:tcPr>
            <w:tcW w:w="1420" w:type="dxa"/>
            <w:hideMark/>
          </w:tcPr>
          <w:p w14:paraId="68E3B5F9"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169 273 651</w:t>
            </w:r>
          </w:p>
        </w:tc>
        <w:tc>
          <w:tcPr>
            <w:tcW w:w="1600" w:type="dxa"/>
            <w:hideMark/>
          </w:tcPr>
          <w:p w14:paraId="02C91017"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67 836 289</w:t>
            </w:r>
          </w:p>
        </w:tc>
        <w:tc>
          <w:tcPr>
            <w:tcW w:w="1600" w:type="dxa"/>
            <w:hideMark/>
          </w:tcPr>
          <w:p w14:paraId="767AF4C7"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101 437 362</w:t>
            </w:r>
          </w:p>
        </w:tc>
        <w:tc>
          <w:tcPr>
            <w:tcW w:w="1240" w:type="dxa"/>
            <w:hideMark/>
          </w:tcPr>
          <w:p w14:paraId="660D7FDD"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r>
      <w:tr w:rsidR="00DA0C45" w:rsidRPr="00DA0C45" w14:paraId="32BAB5C9" w14:textId="77777777" w:rsidTr="00DA0C45">
        <w:trPr>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267A6617" w14:textId="77777777" w:rsidR="00DA0C45" w:rsidRPr="00DA0C45" w:rsidRDefault="00DA0C45" w:rsidP="00DA0C45">
            <w:pPr>
              <w:jc w:val="left"/>
              <w:rPr>
                <w:rFonts w:ascii="Times New Roman" w:hAnsi="Times New Roman"/>
                <w:i/>
                <w:iCs/>
                <w:sz w:val="18"/>
                <w:szCs w:val="18"/>
                <w:lang w:val="en-GB"/>
              </w:rPr>
            </w:pPr>
            <w:r w:rsidRPr="00DA0C45">
              <w:rPr>
                <w:rFonts w:ascii="Times New Roman" w:hAnsi="Times New Roman"/>
                <w:i/>
                <w:iCs/>
                <w:sz w:val="18"/>
                <w:szCs w:val="18"/>
                <w:lang w:val="en-GB"/>
              </w:rPr>
              <w:t>Total contributions through bilateral, regional and other channels</w:t>
            </w:r>
          </w:p>
        </w:tc>
        <w:tc>
          <w:tcPr>
            <w:tcW w:w="1420" w:type="dxa"/>
            <w:hideMark/>
          </w:tcPr>
          <w:p w14:paraId="40AB53C0"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07B8CCF6"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2 610 876 034</w:t>
            </w:r>
          </w:p>
        </w:tc>
        <w:tc>
          <w:tcPr>
            <w:tcW w:w="1600" w:type="dxa"/>
            <w:hideMark/>
          </w:tcPr>
          <w:p w14:paraId="579BB589"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1 358 523 803</w:t>
            </w:r>
          </w:p>
        </w:tc>
        <w:tc>
          <w:tcPr>
            <w:tcW w:w="1240" w:type="dxa"/>
            <w:hideMark/>
          </w:tcPr>
          <w:p w14:paraId="0B901D24"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1 582 252 769</w:t>
            </w:r>
          </w:p>
        </w:tc>
      </w:tr>
      <w:tr w:rsidR="00DA0C45" w:rsidRPr="00DA0C45" w14:paraId="29FBB8B0"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FDCB357" w14:textId="77777777" w:rsidR="00DA0C45" w:rsidRPr="00DA0C45" w:rsidRDefault="00DA0C45" w:rsidP="00DA0C45">
            <w:pPr>
              <w:jc w:val="left"/>
              <w:rPr>
                <w:rFonts w:ascii="Times New Roman" w:hAnsi="Times New Roman"/>
                <w:sz w:val="18"/>
                <w:szCs w:val="18"/>
                <w:lang w:val="en-GB"/>
              </w:rPr>
            </w:pPr>
            <w:r w:rsidRPr="00DA0C45">
              <w:rPr>
                <w:rFonts w:ascii="Times New Roman" w:hAnsi="Times New Roman"/>
                <w:sz w:val="18"/>
                <w:szCs w:val="18"/>
                <w:lang w:val="en-GB"/>
              </w:rPr>
              <w:t>Total climate specific by funding type (total for mitigation, adaptation, crosscutting)</w:t>
            </w:r>
          </w:p>
        </w:tc>
        <w:tc>
          <w:tcPr>
            <w:tcW w:w="1420" w:type="dxa"/>
            <w:hideMark/>
          </w:tcPr>
          <w:p w14:paraId="10D8E9D9"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6C8FEA1E"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2 690 058 435</w:t>
            </w:r>
          </w:p>
        </w:tc>
        <w:tc>
          <w:tcPr>
            <w:tcW w:w="1600" w:type="dxa"/>
            <w:hideMark/>
          </w:tcPr>
          <w:p w14:paraId="68157B41"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1 547 090 065</w:t>
            </w:r>
          </w:p>
        </w:tc>
        <w:tc>
          <w:tcPr>
            <w:tcW w:w="1240" w:type="dxa"/>
            <w:hideMark/>
          </w:tcPr>
          <w:p w14:paraId="1B265E48"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1 609 691 004</w:t>
            </w:r>
          </w:p>
        </w:tc>
      </w:tr>
      <w:tr w:rsidR="00DA0C45" w:rsidRPr="00DA0C45" w14:paraId="61677AA4"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8E90B2F" w14:textId="77777777" w:rsidR="00DA0C45" w:rsidRPr="00DA0C45" w:rsidRDefault="00DA0C45" w:rsidP="00DA0C45">
            <w:pPr>
              <w:jc w:val="left"/>
              <w:rPr>
                <w:rFonts w:ascii="Times New Roman" w:hAnsi="Times New Roman"/>
                <w:sz w:val="18"/>
                <w:szCs w:val="18"/>
              </w:rPr>
            </w:pPr>
            <w:r w:rsidRPr="00DA0C45">
              <w:rPr>
                <w:rFonts w:ascii="Times New Roman" w:hAnsi="Times New Roman"/>
                <w:sz w:val="18"/>
                <w:szCs w:val="18"/>
              </w:rPr>
              <w:t>Total climate specific finance</w:t>
            </w:r>
          </w:p>
        </w:tc>
        <w:tc>
          <w:tcPr>
            <w:tcW w:w="1420" w:type="dxa"/>
            <w:hideMark/>
          </w:tcPr>
          <w:p w14:paraId="5F5EDC58"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c>
          <w:tcPr>
            <w:tcW w:w="4440" w:type="dxa"/>
            <w:gridSpan w:val="3"/>
            <w:hideMark/>
          </w:tcPr>
          <w:p w14:paraId="553806BE"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5 846 839 504</w:t>
            </w:r>
          </w:p>
        </w:tc>
      </w:tr>
    </w:tbl>
    <w:p w14:paraId="65024309" w14:textId="3DF52991" w:rsidR="00DA0C45" w:rsidRDefault="00DA0C45" w:rsidP="00DA0C45">
      <w:pPr>
        <w:pStyle w:val="Caption"/>
      </w:pPr>
    </w:p>
    <w:p w14:paraId="014876AC" w14:textId="77777777" w:rsidR="00DA0C45" w:rsidRPr="00DA0C45" w:rsidRDefault="00DA0C45" w:rsidP="00DA0C45"/>
    <w:tbl>
      <w:tblPr>
        <w:tblStyle w:val="ListTable4-Accent1"/>
        <w:tblW w:w="13320" w:type="dxa"/>
        <w:tblLook w:val="04A0" w:firstRow="1" w:lastRow="0" w:firstColumn="1" w:lastColumn="0" w:noHBand="0" w:noVBand="1"/>
      </w:tblPr>
      <w:tblGrid>
        <w:gridCol w:w="4240"/>
        <w:gridCol w:w="3020"/>
        <w:gridCol w:w="2840"/>
        <w:gridCol w:w="3220"/>
      </w:tblGrid>
      <w:tr w:rsidR="00DA0C45" w:rsidRPr="00DA0C45" w14:paraId="304D2BB0" w14:textId="77777777" w:rsidTr="00DA0C4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260" w:type="dxa"/>
            <w:gridSpan w:val="2"/>
            <w:vMerge w:val="restart"/>
            <w:hideMark/>
          </w:tcPr>
          <w:p w14:paraId="0119EED5" w14:textId="77777777" w:rsidR="00DA0C45" w:rsidRPr="00DA0C45" w:rsidRDefault="00DA0C45" w:rsidP="00DA0C45">
            <w:pPr>
              <w:jc w:val="center"/>
              <w:rPr>
                <w:rFonts w:ascii="Times New Roman" w:hAnsi="Times New Roman"/>
                <w:sz w:val="18"/>
                <w:szCs w:val="18"/>
                <w:lang w:val="en-GB"/>
              </w:rPr>
            </w:pPr>
            <w:r w:rsidRPr="00DA0C45">
              <w:rPr>
                <w:rFonts w:ascii="Times New Roman" w:hAnsi="Times New Roman"/>
                <w:sz w:val="18"/>
                <w:szCs w:val="18"/>
                <w:lang w:val="en-GB"/>
              </w:rPr>
              <w:t>Total climate specific by funding source (MEUR)</w:t>
            </w:r>
          </w:p>
        </w:tc>
        <w:tc>
          <w:tcPr>
            <w:tcW w:w="6060" w:type="dxa"/>
            <w:gridSpan w:val="2"/>
            <w:vMerge w:val="restart"/>
            <w:hideMark/>
          </w:tcPr>
          <w:p w14:paraId="5AEC24D0" w14:textId="77777777" w:rsidR="00DA0C45" w:rsidRPr="00DA0C45"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Total climate specific by financial instrument (MEUR)</w:t>
            </w:r>
          </w:p>
        </w:tc>
      </w:tr>
      <w:tr w:rsidR="00DA0C45" w:rsidRPr="00DA0C45" w14:paraId="543DED5B" w14:textId="77777777" w:rsidTr="00DA0C4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60" w:type="dxa"/>
            <w:gridSpan w:val="2"/>
            <w:vMerge/>
            <w:hideMark/>
          </w:tcPr>
          <w:p w14:paraId="1B91C200" w14:textId="77777777" w:rsidR="00DA0C45" w:rsidRPr="00DA0C45" w:rsidRDefault="00DA0C45" w:rsidP="00DA0C45">
            <w:pPr>
              <w:jc w:val="left"/>
              <w:rPr>
                <w:rFonts w:ascii="Times New Roman" w:hAnsi="Times New Roman"/>
                <w:sz w:val="18"/>
                <w:szCs w:val="18"/>
              </w:rPr>
            </w:pPr>
          </w:p>
        </w:tc>
        <w:tc>
          <w:tcPr>
            <w:tcW w:w="6060" w:type="dxa"/>
            <w:gridSpan w:val="2"/>
            <w:vMerge/>
            <w:hideMark/>
          </w:tcPr>
          <w:p w14:paraId="41CC4348" w14:textId="77777777" w:rsidR="00DA0C45" w:rsidRPr="00DA0C45"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DA0C45" w:rsidRPr="00DA0C45" w14:paraId="3EAF061B"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66C7B1D8" w14:textId="77777777" w:rsidR="00DA0C45" w:rsidRPr="00DA0C45" w:rsidRDefault="00DA0C45" w:rsidP="00DA0C45">
            <w:pPr>
              <w:jc w:val="center"/>
              <w:rPr>
                <w:rFonts w:ascii="Times New Roman" w:hAnsi="Times New Roman"/>
                <w:sz w:val="18"/>
                <w:szCs w:val="18"/>
              </w:rPr>
            </w:pPr>
            <w:r w:rsidRPr="00DA0C45">
              <w:rPr>
                <w:rFonts w:ascii="Times New Roman" w:hAnsi="Times New Roman"/>
                <w:sz w:val="18"/>
                <w:szCs w:val="18"/>
              </w:rPr>
              <w:t>ODA</w:t>
            </w:r>
          </w:p>
        </w:tc>
        <w:tc>
          <w:tcPr>
            <w:tcW w:w="3020" w:type="dxa"/>
            <w:noWrap/>
            <w:hideMark/>
          </w:tcPr>
          <w:p w14:paraId="15FE99FE"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5 205</w:t>
            </w:r>
          </w:p>
        </w:tc>
        <w:tc>
          <w:tcPr>
            <w:tcW w:w="2840" w:type="dxa"/>
            <w:hideMark/>
          </w:tcPr>
          <w:p w14:paraId="636655AD"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Grant</w:t>
            </w:r>
          </w:p>
        </w:tc>
        <w:tc>
          <w:tcPr>
            <w:tcW w:w="3220" w:type="dxa"/>
            <w:noWrap/>
            <w:hideMark/>
          </w:tcPr>
          <w:p w14:paraId="67F1B4B9"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903</w:t>
            </w:r>
          </w:p>
        </w:tc>
      </w:tr>
      <w:tr w:rsidR="00DA0C45" w:rsidRPr="00DA0C45" w14:paraId="3136034F" w14:textId="77777777" w:rsidTr="00DA0C4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40" w:type="dxa"/>
            <w:hideMark/>
          </w:tcPr>
          <w:p w14:paraId="5B8A1F09" w14:textId="77777777" w:rsidR="00DA0C45" w:rsidRPr="00DA0C45" w:rsidRDefault="00DA0C45" w:rsidP="00DA0C45">
            <w:pPr>
              <w:jc w:val="center"/>
              <w:rPr>
                <w:rFonts w:ascii="Times New Roman" w:hAnsi="Times New Roman"/>
                <w:sz w:val="18"/>
                <w:szCs w:val="18"/>
              </w:rPr>
            </w:pPr>
            <w:r w:rsidRPr="00DA0C45">
              <w:rPr>
                <w:rFonts w:ascii="Times New Roman" w:hAnsi="Times New Roman"/>
                <w:sz w:val="18"/>
                <w:szCs w:val="18"/>
              </w:rPr>
              <w:t>OOF</w:t>
            </w:r>
          </w:p>
        </w:tc>
        <w:tc>
          <w:tcPr>
            <w:tcW w:w="3020" w:type="dxa"/>
            <w:noWrap/>
            <w:hideMark/>
          </w:tcPr>
          <w:p w14:paraId="5CD58551"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751</w:t>
            </w:r>
          </w:p>
        </w:tc>
        <w:tc>
          <w:tcPr>
            <w:tcW w:w="2840" w:type="dxa"/>
            <w:hideMark/>
          </w:tcPr>
          <w:p w14:paraId="06686798"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Concessional loan</w:t>
            </w:r>
          </w:p>
        </w:tc>
        <w:tc>
          <w:tcPr>
            <w:tcW w:w="3220" w:type="dxa"/>
            <w:hideMark/>
          </w:tcPr>
          <w:p w14:paraId="6E5AECA9"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4 321</w:t>
            </w:r>
          </w:p>
        </w:tc>
      </w:tr>
      <w:tr w:rsidR="00DA0C45" w:rsidRPr="00DA0C45" w14:paraId="3A20A388"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0029C78B" w14:textId="77777777" w:rsidR="00DA0C45" w:rsidRPr="00DA0C45" w:rsidRDefault="00DA0C45" w:rsidP="00DA0C45">
            <w:pPr>
              <w:jc w:val="center"/>
              <w:rPr>
                <w:rFonts w:ascii="Times New Roman" w:hAnsi="Times New Roman"/>
                <w:sz w:val="18"/>
                <w:szCs w:val="18"/>
              </w:rPr>
            </w:pPr>
            <w:r w:rsidRPr="00DA0C45">
              <w:rPr>
                <w:rFonts w:ascii="Times New Roman" w:hAnsi="Times New Roman"/>
                <w:sz w:val="18"/>
                <w:szCs w:val="18"/>
              </w:rPr>
              <w:t> </w:t>
            </w:r>
          </w:p>
        </w:tc>
        <w:tc>
          <w:tcPr>
            <w:tcW w:w="3020" w:type="dxa"/>
            <w:noWrap/>
            <w:hideMark/>
          </w:tcPr>
          <w:p w14:paraId="5DD8CACE"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DA0C45">
              <w:rPr>
                <w:rFonts w:ascii="Times New Roman" w:hAnsi="Times New Roman"/>
                <w:szCs w:val="22"/>
              </w:rPr>
              <w:t> </w:t>
            </w:r>
          </w:p>
        </w:tc>
        <w:tc>
          <w:tcPr>
            <w:tcW w:w="2840" w:type="dxa"/>
            <w:hideMark/>
          </w:tcPr>
          <w:p w14:paraId="60E91A3A"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Non-concessional loan</w:t>
            </w:r>
          </w:p>
        </w:tc>
        <w:tc>
          <w:tcPr>
            <w:tcW w:w="3220" w:type="dxa"/>
            <w:noWrap/>
            <w:hideMark/>
          </w:tcPr>
          <w:p w14:paraId="699FFFAE"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562</w:t>
            </w:r>
          </w:p>
        </w:tc>
      </w:tr>
      <w:tr w:rsidR="00DA0C45" w:rsidRPr="00DA0C45" w14:paraId="54FCD0B7" w14:textId="77777777" w:rsidTr="00DA0C4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12E72C6" w14:textId="77777777" w:rsidR="00DA0C45" w:rsidRPr="00DA0C45" w:rsidRDefault="00DA0C45" w:rsidP="00DA0C45">
            <w:pPr>
              <w:jc w:val="left"/>
              <w:rPr>
                <w:rFonts w:ascii="Times New Roman" w:hAnsi="Times New Roman"/>
                <w:sz w:val="18"/>
                <w:szCs w:val="18"/>
              </w:rPr>
            </w:pPr>
            <w:r w:rsidRPr="00DA0C45">
              <w:rPr>
                <w:rFonts w:ascii="Times New Roman" w:hAnsi="Times New Roman"/>
                <w:sz w:val="18"/>
                <w:szCs w:val="18"/>
              </w:rPr>
              <w:t> </w:t>
            </w:r>
          </w:p>
        </w:tc>
        <w:tc>
          <w:tcPr>
            <w:tcW w:w="3020" w:type="dxa"/>
            <w:hideMark/>
          </w:tcPr>
          <w:p w14:paraId="3DF5CBA7"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c>
          <w:tcPr>
            <w:tcW w:w="2840" w:type="dxa"/>
            <w:noWrap/>
            <w:hideMark/>
          </w:tcPr>
          <w:p w14:paraId="1992A893"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Other</w:t>
            </w:r>
          </w:p>
        </w:tc>
        <w:tc>
          <w:tcPr>
            <w:tcW w:w="3220" w:type="dxa"/>
            <w:noWrap/>
            <w:hideMark/>
          </w:tcPr>
          <w:p w14:paraId="2A59E040"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170</w:t>
            </w:r>
          </w:p>
        </w:tc>
      </w:tr>
    </w:tbl>
    <w:p w14:paraId="0B58C2A9" w14:textId="77777777" w:rsidR="00DA0C45" w:rsidRPr="00DA0C45" w:rsidRDefault="00DA0C45" w:rsidP="00DA0C45"/>
    <w:p w14:paraId="32BCEEEF" w14:textId="2488E5C8" w:rsidR="00DA0C45" w:rsidRDefault="00DA0C45" w:rsidP="00DA0C45"/>
    <w:p w14:paraId="32E3F004" w14:textId="77777777" w:rsidR="00DA0C45" w:rsidRDefault="00DA0C45" w:rsidP="00DA0C45"/>
    <w:p w14:paraId="39A7A00E" w14:textId="45A14894" w:rsidR="00DA0C45" w:rsidRDefault="00DA0C45" w:rsidP="00DA0C45">
      <w:pPr>
        <w:pStyle w:val="Caption"/>
      </w:pPr>
      <w:bookmarkStart w:id="311" w:name="_Toc123916671"/>
      <w:r>
        <w:t xml:space="preserve">Tableau </w:t>
      </w:r>
      <w:fldSimple w:instr=" SEQ Tableau \* ARABIC ">
        <w:r w:rsidR="00677B3C">
          <w:rPr>
            <w:noProof/>
          </w:rPr>
          <w:t>36</w:t>
        </w:r>
      </w:fldSimple>
      <w:r>
        <w:t xml:space="preserve"> : </w:t>
      </w:r>
      <w:r w:rsidRPr="00DA0C45">
        <w:t>Résumé de l'apport de soutien financier et technologique aux pays en voie de développement en 20</w:t>
      </w:r>
      <w:r>
        <w:t>20</w:t>
      </w:r>
      <w:bookmarkEnd w:id="311"/>
    </w:p>
    <w:p w14:paraId="2115D835" w14:textId="77777777" w:rsidR="00DA0C45" w:rsidRPr="00DA0C45" w:rsidRDefault="00DA0C45" w:rsidP="00DA0C45"/>
    <w:tbl>
      <w:tblPr>
        <w:tblStyle w:val="ListTable4-Accent1"/>
        <w:tblW w:w="10100" w:type="dxa"/>
        <w:jc w:val="center"/>
        <w:tblLook w:val="04A0" w:firstRow="1" w:lastRow="0" w:firstColumn="1" w:lastColumn="0" w:noHBand="0" w:noVBand="1"/>
      </w:tblPr>
      <w:tblGrid>
        <w:gridCol w:w="4240"/>
        <w:gridCol w:w="1420"/>
        <w:gridCol w:w="1600"/>
        <w:gridCol w:w="1600"/>
        <w:gridCol w:w="1240"/>
      </w:tblGrid>
      <w:tr w:rsidR="00DA0C45" w:rsidRPr="00DA0C45" w14:paraId="6440CB35" w14:textId="77777777" w:rsidTr="00DA0C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val="restart"/>
            <w:hideMark/>
          </w:tcPr>
          <w:p w14:paraId="4E95F5D8" w14:textId="77777777" w:rsidR="00DA0C45" w:rsidRPr="00DA0C45" w:rsidRDefault="00DA0C45" w:rsidP="00DA0C45">
            <w:pPr>
              <w:jc w:val="center"/>
              <w:rPr>
                <w:rFonts w:ascii="Times New Roman" w:hAnsi="Times New Roman"/>
                <w:i/>
                <w:iCs/>
                <w:sz w:val="18"/>
                <w:szCs w:val="18"/>
              </w:rPr>
            </w:pPr>
            <w:r w:rsidRPr="00DA0C45">
              <w:rPr>
                <w:rFonts w:ascii="Times New Roman" w:hAnsi="Times New Roman"/>
                <w:i/>
                <w:iCs/>
                <w:sz w:val="18"/>
                <w:szCs w:val="18"/>
              </w:rPr>
              <w:t>Allocation channels</w:t>
            </w:r>
          </w:p>
        </w:tc>
        <w:tc>
          <w:tcPr>
            <w:tcW w:w="5860" w:type="dxa"/>
            <w:gridSpan w:val="4"/>
            <w:noWrap/>
            <w:hideMark/>
          </w:tcPr>
          <w:p w14:paraId="6A05314A" w14:textId="77777777" w:rsidR="00DA0C45" w:rsidRPr="00DA0C45"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2020</w:t>
            </w:r>
          </w:p>
        </w:tc>
      </w:tr>
      <w:tr w:rsidR="00DA0C45" w:rsidRPr="00DA0C45" w14:paraId="3CCCDCB6"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24C09C9A" w14:textId="77777777" w:rsidR="00DA0C45" w:rsidRPr="00DA0C45" w:rsidRDefault="00DA0C45" w:rsidP="00DA0C45">
            <w:pPr>
              <w:jc w:val="left"/>
              <w:rPr>
                <w:rFonts w:ascii="Times New Roman" w:hAnsi="Times New Roman"/>
                <w:i/>
                <w:iCs/>
                <w:sz w:val="18"/>
                <w:szCs w:val="18"/>
              </w:rPr>
            </w:pPr>
          </w:p>
        </w:tc>
        <w:tc>
          <w:tcPr>
            <w:tcW w:w="5860" w:type="dxa"/>
            <w:gridSpan w:val="4"/>
            <w:noWrap/>
            <w:hideMark/>
          </w:tcPr>
          <w:p w14:paraId="0C448C73"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European euro - EUR</w:t>
            </w:r>
          </w:p>
        </w:tc>
      </w:tr>
      <w:tr w:rsidR="00DA0C45" w:rsidRPr="00DA0C45" w14:paraId="52516ABD"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A3C1028" w14:textId="77777777" w:rsidR="00DA0C45" w:rsidRPr="00DA0C45" w:rsidRDefault="00DA0C45" w:rsidP="00DA0C45">
            <w:pPr>
              <w:jc w:val="left"/>
              <w:rPr>
                <w:rFonts w:ascii="Times New Roman" w:hAnsi="Times New Roman"/>
                <w:i/>
                <w:iCs/>
                <w:sz w:val="18"/>
                <w:szCs w:val="18"/>
              </w:rPr>
            </w:pPr>
          </w:p>
        </w:tc>
        <w:tc>
          <w:tcPr>
            <w:tcW w:w="1420" w:type="dxa"/>
            <w:vMerge w:val="restart"/>
            <w:hideMark/>
          </w:tcPr>
          <w:p w14:paraId="0D448070"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Core/ general</w:t>
            </w:r>
            <w:r w:rsidRPr="00DA0C45">
              <w:rPr>
                <w:rFonts w:ascii="Times New Roman" w:hAnsi="Times New Roman"/>
                <w:i/>
                <w:iCs/>
                <w:sz w:val="18"/>
                <w:szCs w:val="18"/>
                <w:vertAlign w:val="superscript"/>
              </w:rPr>
              <w:t>b, 1</w:t>
            </w:r>
          </w:p>
        </w:tc>
        <w:tc>
          <w:tcPr>
            <w:tcW w:w="4440" w:type="dxa"/>
            <w:gridSpan w:val="3"/>
            <w:noWrap/>
            <w:hideMark/>
          </w:tcPr>
          <w:p w14:paraId="17FFFB1E"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Climate-specific ²</w:t>
            </w:r>
          </w:p>
        </w:tc>
      </w:tr>
      <w:tr w:rsidR="00DA0C45" w:rsidRPr="00DA0C45" w14:paraId="732BC7D1"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878C162" w14:textId="77777777" w:rsidR="00DA0C45" w:rsidRPr="00DA0C45" w:rsidRDefault="00DA0C45" w:rsidP="00DA0C45">
            <w:pPr>
              <w:jc w:val="left"/>
              <w:rPr>
                <w:rFonts w:ascii="Times New Roman" w:hAnsi="Times New Roman"/>
                <w:i/>
                <w:iCs/>
                <w:sz w:val="18"/>
                <w:szCs w:val="18"/>
              </w:rPr>
            </w:pPr>
          </w:p>
        </w:tc>
        <w:tc>
          <w:tcPr>
            <w:tcW w:w="1420" w:type="dxa"/>
            <w:vMerge/>
            <w:hideMark/>
          </w:tcPr>
          <w:p w14:paraId="6B9F9594" w14:textId="77777777" w:rsidR="00DA0C45" w:rsidRPr="00DA0C45"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p>
        </w:tc>
        <w:tc>
          <w:tcPr>
            <w:tcW w:w="1600" w:type="dxa"/>
            <w:hideMark/>
          </w:tcPr>
          <w:p w14:paraId="643A4BD2"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Mitigation</w:t>
            </w:r>
            <w:r w:rsidRPr="00DA0C45">
              <w:rPr>
                <w:rFonts w:ascii="Times New Roman" w:hAnsi="Times New Roman"/>
                <w:i/>
                <w:iCs/>
                <w:sz w:val="18"/>
                <w:szCs w:val="18"/>
                <w:vertAlign w:val="superscript"/>
              </w:rPr>
              <w:t>c</w:t>
            </w:r>
          </w:p>
        </w:tc>
        <w:tc>
          <w:tcPr>
            <w:tcW w:w="1600" w:type="dxa"/>
            <w:hideMark/>
          </w:tcPr>
          <w:p w14:paraId="2B7B9746"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Adaptation</w:t>
            </w:r>
            <w:r w:rsidRPr="00DA0C45">
              <w:rPr>
                <w:rFonts w:ascii="Times New Roman" w:hAnsi="Times New Roman"/>
                <w:i/>
                <w:iCs/>
                <w:sz w:val="18"/>
                <w:szCs w:val="18"/>
                <w:vertAlign w:val="superscript"/>
              </w:rPr>
              <w:t>c</w:t>
            </w:r>
          </w:p>
        </w:tc>
        <w:tc>
          <w:tcPr>
            <w:tcW w:w="1240" w:type="dxa"/>
            <w:hideMark/>
          </w:tcPr>
          <w:p w14:paraId="3F67260E"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DA0C45">
              <w:rPr>
                <w:rFonts w:ascii="Times New Roman" w:hAnsi="Times New Roman"/>
                <w:i/>
                <w:iCs/>
                <w:sz w:val="18"/>
                <w:szCs w:val="18"/>
              </w:rPr>
              <w:t>Cross-cutting</w:t>
            </w:r>
            <w:r w:rsidRPr="00DA0C45">
              <w:rPr>
                <w:rFonts w:ascii="Times New Roman" w:hAnsi="Times New Roman"/>
                <w:i/>
                <w:iCs/>
                <w:sz w:val="18"/>
                <w:szCs w:val="18"/>
                <w:vertAlign w:val="superscript"/>
              </w:rPr>
              <w:t>c</w:t>
            </w:r>
          </w:p>
        </w:tc>
      </w:tr>
      <w:tr w:rsidR="00DA0C45" w:rsidRPr="00757301" w14:paraId="5AFD7C8A"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719D89DE" w14:textId="77777777" w:rsidR="00DA0C45" w:rsidRPr="00DA0C45" w:rsidRDefault="00DA0C45" w:rsidP="00DA0C45">
            <w:pPr>
              <w:jc w:val="left"/>
              <w:rPr>
                <w:rFonts w:ascii="Times New Roman" w:hAnsi="Times New Roman"/>
                <w:i/>
                <w:iCs/>
                <w:sz w:val="18"/>
                <w:szCs w:val="18"/>
                <w:lang w:val="en-GB"/>
              </w:rPr>
            </w:pPr>
            <w:r w:rsidRPr="00DA0C45">
              <w:rPr>
                <w:rFonts w:ascii="Times New Roman" w:hAnsi="Times New Roman"/>
                <w:i/>
                <w:iCs/>
                <w:sz w:val="18"/>
                <w:szCs w:val="18"/>
                <w:lang w:val="en-GB"/>
              </w:rPr>
              <w:t>Total contributions through multilateral channels:</w:t>
            </w:r>
          </w:p>
        </w:tc>
        <w:tc>
          <w:tcPr>
            <w:tcW w:w="1420" w:type="dxa"/>
            <w:hideMark/>
          </w:tcPr>
          <w:p w14:paraId="43BF0E0C"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138ABAB4"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4C2944C9"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240" w:type="dxa"/>
            <w:hideMark/>
          </w:tcPr>
          <w:p w14:paraId="6640B21A"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r>
      <w:tr w:rsidR="00DA0C45" w:rsidRPr="00DA0C45" w14:paraId="62DF8811"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499FA5F4" w14:textId="77777777" w:rsidR="00DA0C45" w:rsidRPr="00DA0C45" w:rsidRDefault="00DA0C45" w:rsidP="00DA0C45">
            <w:pPr>
              <w:ind w:firstLineChars="100" w:firstLine="181"/>
              <w:jc w:val="left"/>
              <w:rPr>
                <w:rFonts w:ascii="Times New Roman" w:hAnsi="Times New Roman"/>
                <w:sz w:val="18"/>
                <w:szCs w:val="18"/>
              </w:rPr>
            </w:pPr>
            <w:r w:rsidRPr="00DA0C45">
              <w:rPr>
                <w:rFonts w:ascii="Times New Roman" w:hAnsi="Times New Roman"/>
                <w:sz w:val="18"/>
                <w:szCs w:val="18"/>
              </w:rPr>
              <w:t>Multilateral climate change funds</w:t>
            </w:r>
            <w:r w:rsidRPr="00DA0C45">
              <w:rPr>
                <w:rFonts w:ascii="Times New Roman" w:hAnsi="Times New Roman"/>
                <w:i/>
                <w:iCs/>
                <w:sz w:val="18"/>
                <w:szCs w:val="18"/>
                <w:vertAlign w:val="superscript"/>
              </w:rPr>
              <w:t>e</w:t>
            </w:r>
          </w:p>
        </w:tc>
        <w:tc>
          <w:tcPr>
            <w:tcW w:w="1420" w:type="dxa"/>
            <w:hideMark/>
          </w:tcPr>
          <w:p w14:paraId="0CAE6A18"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c>
          <w:tcPr>
            <w:tcW w:w="1600" w:type="dxa"/>
            <w:hideMark/>
          </w:tcPr>
          <w:p w14:paraId="1A28D624"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30 661 600</w:t>
            </w:r>
          </w:p>
        </w:tc>
        <w:tc>
          <w:tcPr>
            <w:tcW w:w="1600" w:type="dxa"/>
            <w:hideMark/>
          </w:tcPr>
          <w:p w14:paraId="2BABD821"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32 518 400</w:t>
            </w:r>
          </w:p>
        </w:tc>
        <w:tc>
          <w:tcPr>
            <w:tcW w:w="1240" w:type="dxa"/>
            <w:hideMark/>
          </w:tcPr>
          <w:p w14:paraId="7A8F348A"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13 152 000</w:t>
            </w:r>
          </w:p>
        </w:tc>
      </w:tr>
      <w:tr w:rsidR="00DA0C45" w:rsidRPr="00DA0C45" w14:paraId="3BEDE34C"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473F0C8" w14:textId="77777777" w:rsidR="00DA0C45" w:rsidRPr="00DA0C45" w:rsidRDefault="00DA0C45" w:rsidP="00DA0C45">
            <w:pPr>
              <w:jc w:val="left"/>
              <w:rPr>
                <w:rFonts w:ascii="Times New Roman" w:hAnsi="Times New Roman"/>
                <w:sz w:val="18"/>
                <w:szCs w:val="18"/>
                <w:lang w:val="en-GB"/>
              </w:rPr>
            </w:pPr>
            <w:r w:rsidRPr="00DA0C45">
              <w:rPr>
                <w:rFonts w:ascii="Times New Roman" w:hAnsi="Times New Roman"/>
                <w:sz w:val="18"/>
                <w:szCs w:val="18"/>
                <w:lang w:val="en-GB"/>
              </w:rPr>
              <w:t xml:space="preserve">   Other multilateral climate change funds</w:t>
            </w:r>
            <w:r w:rsidRPr="00DA0C45">
              <w:rPr>
                <w:rFonts w:ascii="Times New Roman" w:hAnsi="Times New Roman"/>
                <w:i/>
                <w:iCs/>
                <w:sz w:val="18"/>
                <w:szCs w:val="18"/>
                <w:vertAlign w:val="superscript"/>
                <w:lang w:val="en-GB"/>
              </w:rPr>
              <w:t>f</w:t>
            </w:r>
          </w:p>
        </w:tc>
        <w:tc>
          <w:tcPr>
            <w:tcW w:w="1420" w:type="dxa"/>
            <w:hideMark/>
          </w:tcPr>
          <w:p w14:paraId="5EE9051E"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2C762F49"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11 350 000</w:t>
            </w:r>
          </w:p>
        </w:tc>
        <w:tc>
          <w:tcPr>
            <w:tcW w:w="1600" w:type="dxa"/>
            <w:hideMark/>
          </w:tcPr>
          <w:p w14:paraId="4D00BFC3"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4 340 000</w:t>
            </w:r>
          </w:p>
        </w:tc>
        <w:tc>
          <w:tcPr>
            <w:tcW w:w="1240" w:type="dxa"/>
            <w:hideMark/>
          </w:tcPr>
          <w:p w14:paraId="30C9772E"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30 716 000</w:t>
            </w:r>
          </w:p>
        </w:tc>
      </w:tr>
      <w:tr w:rsidR="00DA0C45" w:rsidRPr="00DA0C45" w14:paraId="18010925"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035AE4E" w14:textId="77777777" w:rsidR="00DA0C45" w:rsidRPr="00DA0C45" w:rsidRDefault="00DA0C45" w:rsidP="00DA0C45">
            <w:pPr>
              <w:ind w:firstLineChars="100" w:firstLine="181"/>
              <w:jc w:val="left"/>
              <w:rPr>
                <w:rFonts w:ascii="Times New Roman" w:hAnsi="Times New Roman"/>
                <w:sz w:val="18"/>
                <w:szCs w:val="18"/>
                <w:lang w:val="en-GB"/>
              </w:rPr>
            </w:pPr>
            <w:r w:rsidRPr="00DA0C45">
              <w:rPr>
                <w:rFonts w:ascii="Times New Roman" w:hAnsi="Times New Roman"/>
                <w:sz w:val="18"/>
                <w:szCs w:val="18"/>
                <w:lang w:val="en-GB"/>
              </w:rPr>
              <w:t>Multilateral financial institutions, including regional development banks</w:t>
            </w:r>
          </w:p>
        </w:tc>
        <w:tc>
          <w:tcPr>
            <w:tcW w:w="1420" w:type="dxa"/>
            <w:hideMark/>
          </w:tcPr>
          <w:p w14:paraId="166CBC0F"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lang w:val="en-GB"/>
              </w:rPr>
            </w:pPr>
            <w:r w:rsidRPr="00DA0C45">
              <w:rPr>
                <w:rFonts w:ascii="Times New Roman" w:hAnsi="Times New Roman"/>
                <w:color w:val="FF0000"/>
                <w:sz w:val="18"/>
                <w:szCs w:val="18"/>
                <w:lang w:val="en-GB"/>
              </w:rPr>
              <w:t> </w:t>
            </w:r>
          </w:p>
        </w:tc>
        <w:tc>
          <w:tcPr>
            <w:tcW w:w="1600" w:type="dxa"/>
            <w:hideMark/>
          </w:tcPr>
          <w:p w14:paraId="64773721"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70 137 364</w:t>
            </w:r>
          </w:p>
        </w:tc>
        <w:tc>
          <w:tcPr>
            <w:tcW w:w="1600" w:type="dxa"/>
            <w:hideMark/>
          </w:tcPr>
          <w:p w14:paraId="4C8AE938"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91 099 446</w:t>
            </w:r>
          </w:p>
        </w:tc>
        <w:tc>
          <w:tcPr>
            <w:tcW w:w="1240" w:type="dxa"/>
            <w:hideMark/>
          </w:tcPr>
          <w:p w14:paraId="0821E955"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0</w:t>
            </w:r>
          </w:p>
        </w:tc>
      </w:tr>
      <w:tr w:rsidR="00DA0C45" w:rsidRPr="00DA0C45" w14:paraId="183A9F20" w14:textId="77777777" w:rsidTr="00DA0C45">
        <w:trPr>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7AC88ACF" w14:textId="77777777" w:rsidR="00DA0C45" w:rsidRPr="00DA0C45" w:rsidRDefault="00DA0C45" w:rsidP="00DA0C45">
            <w:pPr>
              <w:jc w:val="left"/>
              <w:rPr>
                <w:rFonts w:ascii="Times New Roman" w:hAnsi="Times New Roman"/>
                <w:i/>
                <w:iCs/>
                <w:sz w:val="18"/>
                <w:szCs w:val="18"/>
                <w:lang w:val="en-GB"/>
              </w:rPr>
            </w:pPr>
            <w:r w:rsidRPr="00DA0C45">
              <w:rPr>
                <w:rFonts w:ascii="Times New Roman" w:hAnsi="Times New Roman"/>
                <w:i/>
                <w:iCs/>
                <w:sz w:val="18"/>
                <w:szCs w:val="18"/>
                <w:lang w:val="en-GB"/>
              </w:rPr>
              <w:t>Total contributions through bilateral, regional and other channels</w:t>
            </w:r>
          </w:p>
        </w:tc>
        <w:tc>
          <w:tcPr>
            <w:tcW w:w="1420" w:type="dxa"/>
            <w:hideMark/>
          </w:tcPr>
          <w:p w14:paraId="7A821424"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6B4BAD79"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2 821 914 779</w:t>
            </w:r>
          </w:p>
        </w:tc>
        <w:tc>
          <w:tcPr>
            <w:tcW w:w="1600" w:type="dxa"/>
            <w:hideMark/>
          </w:tcPr>
          <w:p w14:paraId="514AF9A9"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1 840 040 308</w:t>
            </w:r>
          </w:p>
        </w:tc>
        <w:tc>
          <w:tcPr>
            <w:tcW w:w="1240" w:type="dxa"/>
            <w:hideMark/>
          </w:tcPr>
          <w:p w14:paraId="4458A83A"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108 387 150</w:t>
            </w:r>
          </w:p>
        </w:tc>
      </w:tr>
      <w:tr w:rsidR="00DA0C45" w:rsidRPr="00DA0C45" w14:paraId="6C727410"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1BF7513D" w14:textId="77777777" w:rsidR="00DA0C45" w:rsidRPr="00DA0C45" w:rsidRDefault="00DA0C45" w:rsidP="00DA0C45">
            <w:pPr>
              <w:jc w:val="left"/>
              <w:rPr>
                <w:rFonts w:ascii="Times New Roman" w:hAnsi="Times New Roman"/>
                <w:sz w:val="18"/>
                <w:szCs w:val="18"/>
                <w:lang w:val="en-GB"/>
              </w:rPr>
            </w:pPr>
            <w:r w:rsidRPr="00DA0C45">
              <w:rPr>
                <w:rFonts w:ascii="Times New Roman" w:hAnsi="Times New Roman"/>
                <w:sz w:val="18"/>
                <w:szCs w:val="18"/>
                <w:lang w:val="en-GB"/>
              </w:rPr>
              <w:t>Total climate specific by funding type (total for mitigation, adaptation, crosscutting)</w:t>
            </w:r>
          </w:p>
        </w:tc>
        <w:tc>
          <w:tcPr>
            <w:tcW w:w="1420" w:type="dxa"/>
            <w:hideMark/>
          </w:tcPr>
          <w:p w14:paraId="79F456FD"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rPr>
            </w:pPr>
            <w:r w:rsidRPr="00DA0C45">
              <w:rPr>
                <w:rFonts w:ascii="Times New Roman" w:hAnsi="Times New Roman"/>
                <w:sz w:val="18"/>
                <w:szCs w:val="18"/>
                <w:lang w:val="en-GB"/>
              </w:rPr>
              <w:t> </w:t>
            </w:r>
          </w:p>
        </w:tc>
        <w:tc>
          <w:tcPr>
            <w:tcW w:w="1600" w:type="dxa"/>
            <w:hideMark/>
          </w:tcPr>
          <w:p w14:paraId="2DBA3334"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2 934 063 743</w:t>
            </w:r>
          </w:p>
        </w:tc>
        <w:tc>
          <w:tcPr>
            <w:tcW w:w="1600" w:type="dxa"/>
            <w:hideMark/>
          </w:tcPr>
          <w:p w14:paraId="5B4B1F24"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1 967 998 154</w:t>
            </w:r>
          </w:p>
        </w:tc>
        <w:tc>
          <w:tcPr>
            <w:tcW w:w="1240" w:type="dxa"/>
            <w:hideMark/>
          </w:tcPr>
          <w:p w14:paraId="6BF68C54" w14:textId="77777777" w:rsidR="00DA0C45" w:rsidRPr="00DA0C45"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152 255 150</w:t>
            </w:r>
          </w:p>
        </w:tc>
      </w:tr>
      <w:tr w:rsidR="00DA0C45" w:rsidRPr="00DA0C45" w14:paraId="11D0BD87"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7DDB8C42" w14:textId="77777777" w:rsidR="00DA0C45" w:rsidRPr="00DA0C45" w:rsidRDefault="00DA0C45" w:rsidP="00DA0C45">
            <w:pPr>
              <w:jc w:val="left"/>
              <w:rPr>
                <w:rFonts w:ascii="Times New Roman" w:hAnsi="Times New Roman"/>
                <w:sz w:val="18"/>
                <w:szCs w:val="18"/>
              </w:rPr>
            </w:pPr>
            <w:r w:rsidRPr="00DA0C45">
              <w:rPr>
                <w:rFonts w:ascii="Times New Roman" w:hAnsi="Times New Roman"/>
                <w:sz w:val="18"/>
                <w:szCs w:val="18"/>
              </w:rPr>
              <w:t>Total climate specific finance</w:t>
            </w:r>
          </w:p>
        </w:tc>
        <w:tc>
          <w:tcPr>
            <w:tcW w:w="1420" w:type="dxa"/>
            <w:hideMark/>
          </w:tcPr>
          <w:p w14:paraId="6AA0C951" w14:textId="77777777" w:rsidR="00DA0C45" w:rsidRPr="00DA0C45"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c>
          <w:tcPr>
            <w:tcW w:w="4440" w:type="dxa"/>
            <w:gridSpan w:val="3"/>
            <w:hideMark/>
          </w:tcPr>
          <w:p w14:paraId="355826AE"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A0C45">
              <w:rPr>
                <w:rFonts w:ascii="Times New Roman" w:hAnsi="Times New Roman"/>
                <w:b/>
                <w:bCs/>
                <w:sz w:val="18"/>
                <w:szCs w:val="18"/>
              </w:rPr>
              <w:t>5 054 317 047</w:t>
            </w:r>
          </w:p>
        </w:tc>
      </w:tr>
    </w:tbl>
    <w:p w14:paraId="0BD38EB9" w14:textId="72F5EFC0" w:rsidR="00DA0C45" w:rsidRDefault="00DA0C45" w:rsidP="00DA0C45"/>
    <w:p w14:paraId="5FFB8ADD" w14:textId="305C1DB9" w:rsidR="00DA0C45" w:rsidRDefault="00DA0C45" w:rsidP="00DA0C45"/>
    <w:tbl>
      <w:tblPr>
        <w:tblStyle w:val="ListTable4-Accent1"/>
        <w:tblW w:w="13320" w:type="dxa"/>
        <w:tblLook w:val="04A0" w:firstRow="1" w:lastRow="0" w:firstColumn="1" w:lastColumn="0" w:noHBand="0" w:noVBand="1"/>
      </w:tblPr>
      <w:tblGrid>
        <w:gridCol w:w="4240"/>
        <w:gridCol w:w="3020"/>
        <w:gridCol w:w="2840"/>
        <w:gridCol w:w="3220"/>
      </w:tblGrid>
      <w:tr w:rsidR="00DA0C45" w:rsidRPr="00DA0C45" w14:paraId="245CAD92" w14:textId="77777777" w:rsidTr="00DA0C4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260" w:type="dxa"/>
            <w:gridSpan w:val="2"/>
            <w:vMerge w:val="restart"/>
            <w:hideMark/>
          </w:tcPr>
          <w:p w14:paraId="6E57ECE6" w14:textId="77777777" w:rsidR="00DA0C45" w:rsidRPr="00DA0C45" w:rsidRDefault="00DA0C45" w:rsidP="00DA0C45">
            <w:pPr>
              <w:jc w:val="center"/>
              <w:rPr>
                <w:rFonts w:ascii="Times New Roman" w:hAnsi="Times New Roman"/>
                <w:sz w:val="18"/>
                <w:szCs w:val="18"/>
                <w:lang w:val="en-GB"/>
              </w:rPr>
            </w:pPr>
            <w:r w:rsidRPr="00DA0C45">
              <w:rPr>
                <w:rFonts w:ascii="Times New Roman" w:hAnsi="Times New Roman"/>
                <w:sz w:val="18"/>
                <w:szCs w:val="18"/>
                <w:lang w:val="en-GB"/>
              </w:rPr>
              <w:t>Total climate specific by funding source (EUR)</w:t>
            </w:r>
          </w:p>
        </w:tc>
        <w:tc>
          <w:tcPr>
            <w:tcW w:w="6060" w:type="dxa"/>
            <w:gridSpan w:val="2"/>
            <w:vMerge w:val="restart"/>
            <w:hideMark/>
          </w:tcPr>
          <w:p w14:paraId="3E281FE7" w14:textId="77777777" w:rsidR="00DA0C45" w:rsidRPr="00DA0C45"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Total climate specific by financial instrument (MEUR)</w:t>
            </w:r>
          </w:p>
        </w:tc>
      </w:tr>
      <w:tr w:rsidR="00DA0C45" w:rsidRPr="00DA0C45" w14:paraId="3F534DB4" w14:textId="77777777" w:rsidTr="00DA0C4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60" w:type="dxa"/>
            <w:gridSpan w:val="2"/>
            <w:vMerge/>
            <w:hideMark/>
          </w:tcPr>
          <w:p w14:paraId="127B8CEA" w14:textId="77777777" w:rsidR="00DA0C45" w:rsidRPr="00DA0C45" w:rsidRDefault="00DA0C45" w:rsidP="00DA0C45">
            <w:pPr>
              <w:jc w:val="left"/>
              <w:rPr>
                <w:rFonts w:ascii="Times New Roman" w:hAnsi="Times New Roman"/>
                <w:sz w:val="18"/>
                <w:szCs w:val="18"/>
              </w:rPr>
            </w:pPr>
          </w:p>
        </w:tc>
        <w:tc>
          <w:tcPr>
            <w:tcW w:w="6060" w:type="dxa"/>
            <w:gridSpan w:val="2"/>
            <w:vMerge/>
            <w:hideMark/>
          </w:tcPr>
          <w:p w14:paraId="28D99C70" w14:textId="77777777" w:rsidR="00DA0C45" w:rsidRPr="00DA0C45"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DA0C45" w:rsidRPr="00DA0C45" w14:paraId="1210BFCC"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79D8C422" w14:textId="77777777" w:rsidR="00DA0C45" w:rsidRPr="00DA0C45" w:rsidRDefault="00DA0C45" w:rsidP="00DA0C45">
            <w:pPr>
              <w:jc w:val="center"/>
              <w:rPr>
                <w:rFonts w:ascii="Times New Roman" w:hAnsi="Times New Roman"/>
                <w:sz w:val="18"/>
                <w:szCs w:val="18"/>
              </w:rPr>
            </w:pPr>
            <w:r w:rsidRPr="00DA0C45">
              <w:rPr>
                <w:rFonts w:ascii="Times New Roman" w:hAnsi="Times New Roman"/>
                <w:sz w:val="18"/>
                <w:szCs w:val="18"/>
              </w:rPr>
              <w:t>ODA</w:t>
            </w:r>
          </w:p>
        </w:tc>
        <w:tc>
          <w:tcPr>
            <w:tcW w:w="3020" w:type="dxa"/>
            <w:noWrap/>
            <w:hideMark/>
          </w:tcPr>
          <w:p w14:paraId="0BE95313"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287 705 390</w:t>
            </w:r>
          </w:p>
        </w:tc>
        <w:tc>
          <w:tcPr>
            <w:tcW w:w="2840" w:type="dxa"/>
            <w:hideMark/>
          </w:tcPr>
          <w:p w14:paraId="1124CA29"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Grant</w:t>
            </w:r>
          </w:p>
        </w:tc>
        <w:tc>
          <w:tcPr>
            <w:tcW w:w="3220" w:type="dxa"/>
            <w:noWrap/>
            <w:hideMark/>
          </w:tcPr>
          <w:p w14:paraId="4B6C3A98"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284 290 458</w:t>
            </w:r>
          </w:p>
        </w:tc>
      </w:tr>
      <w:tr w:rsidR="00DA0C45" w:rsidRPr="00DA0C45" w14:paraId="7170EBBA" w14:textId="77777777" w:rsidTr="00DA0C4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40" w:type="dxa"/>
            <w:hideMark/>
          </w:tcPr>
          <w:p w14:paraId="279AC223" w14:textId="77777777" w:rsidR="00DA0C45" w:rsidRPr="00DA0C45" w:rsidRDefault="00DA0C45" w:rsidP="00DA0C45">
            <w:pPr>
              <w:jc w:val="center"/>
              <w:rPr>
                <w:rFonts w:ascii="Times New Roman" w:hAnsi="Times New Roman"/>
                <w:sz w:val="18"/>
                <w:szCs w:val="18"/>
              </w:rPr>
            </w:pPr>
            <w:r w:rsidRPr="00DA0C45">
              <w:rPr>
                <w:rFonts w:ascii="Times New Roman" w:hAnsi="Times New Roman"/>
                <w:sz w:val="18"/>
                <w:szCs w:val="18"/>
              </w:rPr>
              <w:t>OOF</w:t>
            </w:r>
          </w:p>
        </w:tc>
        <w:tc>
          <w:tcPr>
            <w:tcW w:w="3020" w:type="dxa"/>
            <w:noWrap/>
            <w:hideMark/>
          </w:tcPr>
          <w:p w14:paraId="77168810"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1 039 762</w:t>
            </w:r>
          </w:p>
        </w:tc>
        <w:tc>
          <w:tcPr>
            <w:tcW w:w="2840" w:type="dxa"/>
            <w:hideMark/>
          </w:tcPr>
          <w:p w14:paraId="366EB55D"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Concessional loan</w:t>
            </w:r>
          </w:p>
        </w:tc>
        <w:tc>
          <w:tcPr>
            <w:tcW w:w="3220" w:type="dxa"/>
            <w:hideMark/>
          </w:tcPr>
          <w:p w14:paraId="50308BD3"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3 657 665</w:t>
            </w:r>
          </w:p>
        </w:tc>
      </w:tr>
      <w:tr w:rsidR="00DA0C45" w:rsidRPr="00DA0C45" w14:paraId="2AEAE48C"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141022C1" w14:textId="77777777" w:rsidR="00DA0C45" w:rsidRPr="00DA0C45" w:rsidRDefault="00DA0C45" w:rsidP="00DA0C45">
            <w:pPr>
              <w:jc w:val="center"/>
              <w:rPr>
                <w:rFonts w:ascii="Times New Roman" w:hAnsi="Times New Roman"/>
                <w:sz w:val="18"/>
                <w:szCs w:val="18"/>
              </w:rPr>
            </w:pPr>
            <w:r w:rsidRPr="00DA0C45">
              <w:rPr>
                <w:rFonts w:ascii="Times New Roman" w:hAnsi="Times New Roman"/>
                <w:sz w:val="18"/>
                <w:szCs w:val="18"/>
              </w:rPr>
              <w:t> </w:t>
            </w:r>
          </w:p>
        </w:tc>
        <w:tc>
          <w:tcPr>
            <w:tcW w:w="3020" w:type="dxa"/>
            <w:noWrap/>
            <w:hideMark/>
          </w:tcPr>
          <w:p w14:paraId="4A11F40B"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DA0C45">
              <w:rPr>
                <w:rFonts w:ascii="Times New Roman" w:hAnsi="Times New Roman"/>
                <w:szCs w:val="22"/>
              </w:rPr>
              <w:t> </w:t>
            </w:r>
          </w:p>
        </w:tc>
        <w:tc>
          <w:tcPr>
            <w:tcW w:w="2840" w:type="dxa"/>
            <w:hideMark/>
          </w:tcPr>
          <w:p w14:paraId="2DCC3119"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Non-concessional loan</w:t>
            </w:r>
          </w:p>
        </w:tc>
        <w:tc>
          <w:tcPr>
            <w:tcW w:w="3220" w:type="dxa"/>
            <w:noWrap/>
            <w:hideMark/>
          </w:tcPr>
          <w:p w14:paraId="0D846387" w14:textId="77777777" w:rsidR="00DA0C45" w:rsidRPr="00DA0C45"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0</w:t>
            </w:r>
          </w:p>
        </w:tc>
      </w:tr>
      <w:tr w:rsidR="00DA0C45" w:rsidRPr="00DA0C45" w14:paraId="3194B780" w14:textId="77777777" w:rsidTr="00DA0C4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04E92AC" w14:textId="77777777" w:rsidR="00DA0C45" w:rsidRPr="00DA0C45" w:rsidRDefault="00DA0C45" w:rsidP="00DA0C45">
            <w:pPr>
              <w:jc w:val="left"/>
              <w:rPr>
                <w:rFonts w:ascii="Times New Roman" w:hAnsi="Times New Roman"/>
                <w:sz w:val="18"/>
                <w:szCs w:val="18"/>
              </w:rPr>
            </w:pPr>
            <w:r w:rsidRPr="00DA0C45">
              <w:rPr>
                <w:rFonts w:ascii="Times New Roman" w:hAnsi="Times New Roman"/>
                <w:sz w:val="18"/>
                <w:szCs w:val="18"/>
              </w:rPr>
              <w:t> </w:t>
            </w:r>
          </w:p>
        </w:tc>
        <w:tc>
          <w:tcPr>
            <w:tcW w:w="3020" w:type="dxa"/>
            <w:hideMark/>
          </w:tcPr>
          <w:p w14:paraId="315D92B9"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 </w:t>
            </w:r>
          </w:p>
        </w:tc>
        <w:tc>
          <w:tcPr>
            <w:tcW w:w="2840" w:type="dxa"/>
            <w:noWrap/>
            <w:hideMark/>
          </w:tcPr>
          <w:p w14:paraId="6DD28C8F"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Other</w:t>
            </w:r>
          </w:p>
        </w:tc>
        <w:tc>
          <w:tcPr>
            <w:tcW w:w="3220" w:type="dxa"/>
            <w:noWrap/>
            <w:hideMark/>
          </w:tcPr>
          <w:p w14:paraId="4167437C" w14:textId="77777777" w:rsidR="00DA0C45" w:rsidRPr="00DA0C45"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A0C45">
              <w:rPr>
                <w:rFonts w:ascii="Times New Roman" w:hAnsi="Times New Roman"/>
                <w:sz w:val="18"/>
                <w:szCs w:val="18"/>
              </w:rPr>
              <w:t>174 989</w:t>
            </w:r>
          </w:p>
        </w:tc>
      </w:tr>
    </w:tbl>
    <w:p w14:paraId="58ED1F91" w14:textId="77777777" w:rsidR="00DA0C45" w:rsidRPr="00DA0C45" w:rsidRDefault="00DA0C45" w:rsidP="00DA0C45"/>
    <w:p w14:paraId="61E8FB1A" w14:textId="77777777" w:rsidR="00DA0C45" w:rsidRPr="00DA0C45" w:rsidRDefault="00DA0C45" w:rsidP="00DA0C45"/>
    <w:p w14:paraId="61E53417" w14:textId="432885AF" w:rsidR="001808DF" w:rsidRDefault="001808DF" w:rsidP="001808DF">
      <w:pPr>
        <w:pStyle w:val="Caption"/>
      </w:pPr>
      <w:bookmarkStart w:id="312" w:name="_Toc123916672"/>
      <w:r>
        <w:t xml:space="preserve">Tableau </w:t>
      </w:r>
      <w:fldSimple w:instr=" SEQ Tableau \* ARABIC ">
        <w:r w:rsidR="00677B3C">
          <w:rPr>
            <w:noProof/>
          </w:rPr>
          <w:t>37</w:t>
        </w:r>
      </w:fldSimple>
      <w:r>
        <w:t xml:space="preserve"> : Table CTF 7a – Résumé du soutien financier </w:t>
      </w:r>
      <w:r w:rsidR="00DA0C45">
        <w:t xml:space="preserve">multilatéral </w:t>
      </w:r>
      <w:r>
        <w:t>aux pays en développement en 2019</w:t>
      </w:r>
      <w:bookmarkEnd w:id="312"/>
    </w:p>
    <w:p w14:paraId="5B438C01" w14:textId="6F018658" w:rsidR="001808DF" w:rsidRDefault="001808DF" w:rsidP="001808DF"/>
    <w:tbl>
      <w:tblPr>
        <w:tblStyle w:val="GridTable5Dark-Accent1"/>
        <w:tblW w:w="12905" w:type="dxa"/>
        <w:tblLook w:val="04A0" w:firstRow="1" w:lastRow="0" w:firstColumn="1" w:lastColumn="0" w:noHBand="0" w:noVBand="1"/>
      </w:tblPr>
      <w:tblGrid>
        <w:gridCol w:w="1856"/>
        <w:gridCol w:w="1504"/>
        <w:gridCol w:w="1251"/>
        <w:gridCol w:w="1251"/>
        <w:gridCol w:w="1161"/>
        <w:gridCol w:w="1341"/>
        <w:gridCol w:w="898"/>
        <w:gridCol w:w="976"/>
        <w:gridCol w:w="1016"/>
        <w:gridCol w:w="853"/>
        <w:gridCol w:w="798"/>
      </w:tblGrid>
      <w:tr w:rsidR="001808DF" w:rsidRPr="001808DF" w14:paraId="43E42C08" w14:textId="77777777" w:rsidTr="001808D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vMerge w:val="restart"/>
            <w:hideMark/>
          </w:tcPr>
          <w:p w14:paraId="33E42133" w14:textId="77777777" w:rsidR="001808DF" w:rsidRPr="001808DF" w:rsidRDefault="001808DF" w:rsidP="001808DF">
            <w:pPr>
              <w:jc w:val="center"/>
              <w:rPr>
                <w:rFonts w:ascii="Times New Roman" w:hAnsi="Times New Roman"/>
                <w:i/>
                <w:iCs/>
                <w:color w:val="000000"/>
                <w:sz w:val="18"/>
                <w:szCs w:val="18"/>
              </w:rPr>
            </w:pPr>
            <w:r w:rsidRPr="001808DF">
              <w:rPr>
                <w:rFonts w:ascii="Times New Roman" w:hAnsi="Times New Roman"/>
                <w:i/>
                <w:iCs/>
                <w:color w:val="000000"/>
                <w:sz w:val="18"/>
                <w:szCs w:val="18"/>
              </w:rPr>
              <w:t>Allocation channels</w:t>
            </w:r>
          </w:p>
        </w:tc>
        <w:tc>
          <w:tcPr>
            <w:tcW w:w="10377" w:type="dxa"/>
            <w:gridSpan w:val="10"/>
            <w:hideMark/>
          </w:tcPr>
          <w:p w14:paraId="51DA6F14" w14:textId="0CBF67C4"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Year</w:t>
            </w:r>
            <w:r>
              <w:rPr>
                <w:rFonts w:ascii="Times New Roman" w:hAnsi="Times New Roman"/>
                <w:i/>
                <w:iCs/>
                <w:color w:val="000000"/>
                <w:sz w:val="18"/>
                <w:szCs w:val="18"/>
              </w:rPr>
              <w:t xml:space="preserve"> 2019</w:t>
            </w:r>
          </w:p>
        </w:tc>
      </w:tr>
      <w:tr w:rsidR="001808DF" w:rsidRPr="001808DF" w14:paraId="6D9A565F"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vMerge/>
            <w:hideMark/>
          </w:tcPr>
          <w:p w14:paraId="2379F99D" w14:textId="77777777" w:rsidR="001808DF" w:rsidRPr="001808DF" w:rsidRDefault="001808DF" w:rsidP="001808DF">
            <w:pPr>
              <w:jc w:val="left"/>
              <w:rPr>
                <w:rFonts w:ascii="Times New Roman" w:hAnsi="Times New Roman"/>
                <w:i/>
                <w:iCs/>
                <w:color w:val="000000"/>
                <w:sz w:val="18"/>
                <w:szCs w:val="18"/>
              </w:rPr>
            </w:pPr>
          </w:p>
        </w:tc>
        <w:tc>
          <w:tcPr>
            <w:tcW w:w="5579" w:type="dxa"/>
            <w:gridSpan w:val="5"/>
            <w:hideMark/>
          </w:tcPr>
          <w:p w14:paraId="1969B32F"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European euro - EUR</w:t>
            </w:r>
          </w:p>
        </w:tc>
        <w:tc>
          <w:tcPr>
            <w:tcW w:w="4798" w:type="dxa"/>
            <w:gridSpan w:val="5"/>
            <w:hideMark/>
          </w:tcPr>
          <w:p w14:paraId="070BDFEE"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USD</w:t>
            </w:r>
            <w:r w:rsidRPr="001808DF">
              <w:rPr>
                <w:rFonts w:ascii="Times New Roman" w:hAnsi="Times New Roman"/>
                <w:i/>
                <w:iCs/>
                <w:color w:val="000000"/>
                <w:sz w:val="18"/>
                <w:szCs w:val="18"/>
                <w:vertAlign w:val="superscript"/>
              </w:rPr>
              <w:t>b</w:t>
            </w:r>
          </w:p>
        </w:tc>
      </w:tr>
      <w:tr w:rsidR="001808DF" w:rsidRPr="001808DF" w14:paraId="278C8147"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vMerge/>
            <w:hideMark/>
          </w:tcPr>
          <w:p w14:paraId="54F05B18" w14:textId="77777777" w:rsidR="001808DF" w:rsidRPr="001808DF" w:rsidRDefault="001808DF" w:rsidP="001808DF">
            <w:pPr>
              <w:jc w:val="left"/>
              <w:rPr>
                <w:rFonts w:ascii="Times New Roman" w:hAnsi="Times New Roman"/>
                <w:i/>
                <w:iCs/>
                <w:color w:val="000000"/>
                <w:sz w:val="18"/>
                <w:szCs w:val="18"/>
              </w:rPr>
            </w:pPr>
          </w:p>
        </w:tc>
        <w:tc>
          <w:tcPr>
            <w:tcW w:w="1710" w:type="dxa"/>
            <w:vMerge w:val="restart"/>
            <w:hideMark/>
          </w:tcPr>
          <w:p w14:paraId="23E386CE"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Core/ general</w:t>
            </w:r>
            <w:r w:rsidRPr="001808DF">
              <w:rPr>
                <w:rFonts w:ascii="Times New Roman" w:hAnsi="Times New Roman"/>
                <w:i/>
                <w:iCs/>
                <w:color w:val="000000"/>
                <w:sz w:val="18"/>
                <w:szCs w:val="18"/>
                <w:vertAlign w:val="superscript"/>
              </w:rPr>
              <w:t>c, 1</w:t>
            </w:r>
          </w:p>
        </w:tc>
        <w:tc>
          <w:tcPr>
            <w:tcW w:w="3868" w:type="dxa"/>
            <w:gridSpan w:val="4"/>
            <w:hideMark/>
          </w:tcPr>
          <w:p w14:paraId="6AB75391"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Climate-specific</w:t>
            </w:r>
            <w:r w:rsidRPr="001808DF">
              <w:rPr>
                <w:rFonts w:ascii="Times New Roman" w:hAnsi="Times New Roman"/>
                <w:i/>
                <w:iCs/>
                <w:color w:val="000000"/>
                <w:sz w:val="18"/>
                <w:szCs w:val="18"/>
                <w:vertAlign w:val="superscript"/>
              </w:rPr>
              <w:t>d, 2</w:t>
            </w:r>
          </w:p>
        </w:tc>
        <w:tc>
          <w:tcPr>
            <w:tcW w:w="959" w:type="dxa"/>
            <w:vMerge w:val="restart"/>
            <w:hideMark/>
          </w:tcPr>
          <w:p w14:paraId="160DCD80"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Core/ general</w:t>
            </w:r>
            <w:r w:rsidRPr="001808DF">
              <w:rPr>
                <w:rFonts w:ascii="Times New Roman" w:hAnsi="Times New Roman"/>
                <w:i/>
                <w:iCs/>
                <w:color w:val="000000"/>
                <w:sz w:val="18"/>
                <w:szCs w:val="18"/>
                <w:vertAlign w:val="superscript"/>
              </w:rPr>
              <w:t>c, 1</w:t>
            </w:r>
          </w:p>
        </w:tc>
        <w:tc>
          <w:tcPr>
            <w:tcW w:w="3838" w:type="dxa"/>
            <w:gridSpan w:val="4"/>
            <w:hideMark/>
          </w:tcPr>
          <w:p w14:paraId="2A916997"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Climate-specific</w:t>
            </w:r>
            <w:r w:rsidRPr="001808DF">
              <w:rPr>
                <w:rFonts w:ascii="Times New Roman" w:hAnsi="Times New Roman"/>
                <w:i/>
                <w:iCs/>
                <w:color w:val="000000"/>
                <w:sz w:val="18"/>
                <w:szCs w:val="18"/>
                <w:vertAlign w:val="superscript"/>
              </w:rPr>
              <w:t>d, 2</w:t>
            </w:r>
          </w:p>
        </w:tc>
      </w:tr>
      <w:tr w:rsidR="001808DF" w:rsidRPr="001808DF" w14:paraId="219447D7"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vMerge/>
            <w:hideMark/>
          </w:tcPr>
          <w:p w14:paraId="544835D7" w14:textId="77777777" w:rsidR="001808DF" w:rsidRPr="001808DF" w:rsidRDefault="001808DF" w:rsidP="001808DF">
            <w:pPr>
              <w:jc w:val="left"/>
              <w:rPr>
                <w:rFonts w:ascii="Times New Roman" w:hAnsi="Times New Roman"/>
                <w:i/>
                <w:iCs/>
                <w:color w:val="000000"/>
                <w:sz w:val="18"/>
                <w:szCs w:val="18"/>
              </w:rPr>
            </w:pPr>
          </w:p>
        </w:tc>
        <w:tc>
          <w:tcPr>
            <w:tcW w:w="1710" w:type="dxa"/>
            <w:vMerge/>
            <w:hideMark/>
          </w:tcPr>
          <w:p w14:paraId="71466A0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62" w:type="dxa"/>
            <w:hideMark/>
          </w:tcPr>
          <w:p w14:paraId="355E37C1"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Mitigation</w:t>
            </w:r>
          </w:p>
        </w:tc>
        <w:tc>
          <w:tcPr>
            <w:tcW w:w="962" w:type="dxa"/>
            <w:hideMark/>
          </w:tcPr>
          <w:p w14:paraId="7A8DBD5A"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Adaptation</w:t>
            </w:r>
          </w:p>
        </w:tc>
        <w:tc>
          <w:tcPr>
            <w:tcW w:w="962" w:type="dxa"/>
            <w:hideMark/>
          </w:tcPr>
          <w:p w14:paraId="2AA62886"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Cross-cutting</w:t>
            </w:r>
            <w:r w:rsidRPr="001808DF">
              <w:rPr>
                <w:rFonts w:ascii="Times New Roman" w:hAnsi="Times New Roman"/>
                <w:i/>
                <w:iCs/>
                <w:color w:val="000000"/>
                <w:sz w:val="18"/>
                <w:szCs w:val="18"/>
                <w:vertAlign w:val="superscript"/>
              </w:rPr>
              <w:t>e</w:t>
            </w:r>
          </w:p>
        </w:tc>
        <w:tc>
          <w:tcPr>
            <w:tcW w:w="982" w:type="dxa"/>
            <w:hideMark/>
          </w:tcPr>
          <w:p w14:paraId="436D55DA"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Other</w:t>
            </w:r>
            <w:r w:rsidRPr="001808DF">
              <w:rPr>
                <w:rFonts w:ascii="Times New Roman" w:hAnsi="Times New Roman"/>
                <w:i/>
                <w:iCs/>
                <w:color w:val="000000"/>
                <w:sz w:val="18"/>
                <w:szCs w:val="18"/>
                <w:vertAlign w:val="superscript"/>
              </w:rPr>
              <w:t>f</w:t>
            </w:r>
          </w:p>
        </w:tc>
        <w:tc>
          <w:tcPr>
            <w:tcW w:w="959" w:type="dxa"/>
            <w:vMerge/>
            <w:hideMark/>
          </w:tcPr>
          <w:p w14:paraId="5483566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60" w:type="dxa"/>
            <w:hideMark/>
          </w:tcPr>
          <w:p w14:paraId="4D9573F8"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Mitigation</w:t>
            </w:r>
          </w:p>
        </w:tc>
        <w:tc>
          <w:tcPr>
            <w:tcW w:w="960" w:type="dxa"/>
            <w:hideMark/>
          </w:tcPr>
          <w:p w14:paraId="798EDBCA"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Adaptation</w:t>
            </w:r>
          </w:p>
        </w:tc>
        <w:tc>
          <w:tcPr>
            <w:tcW w:w="958" w:type="dxa"/>
            <w:hideMark/>
          </w:tcPr>
          <w:p w14:paraId="7892C765"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Cross-cutting</w:t>
            </w:r>
            <w:r w:rsidRPr="001808DF">
              <w:rPr>
                <w:rFonts w:ascii="Times New Roman" w:hAnsi="Times New Roman"/>
                <w:i/>
                <w:iCs/>
                <w:color w:val="000000"/>
                <w:sz w:val="18"/>
                <w:szCs w:val="18"/>
                <w:vertAlign w:val="superscript"/>
              </w:rPr>
              <w:t>e</w:t>
            </w:r>
          </w:p>
        </w:tc>
        <w:tc>
          <w:tcPr>
            <w:tcW w:w="958" w:type="dxa"/>
            <w:hideMark/>
          </w:tcPr>
          <w:p w14:paraId="31F86700"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Other</w:t>
            </w:r>
            <w:r w:rsidRPr="001808DF">
              <w:rPr>
                <w:rFonts w:ascii="Times New Roman" w:hAnsi="Times New Roman"/>
                <w:i/>
                <w:iCs/>
                <w:color w:val="000000"/>
                <w:sz w:val="18"/>
                <w:szCs w:val="18"/>
                <w:vertAlign w:val="superscript"/>
              </w:rPr>
              <w:t>f</w:t>
            </w:r>
          </w:p>
        </w:tc>
      </w:tr>
      <w:tr w:rsidR="001808DF" w:rsidRPr="001808DF" w14:paraId="71A8038B"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5094B89B" w14:textId="77777777" w:rsidR="001808DF" w:rsidRPr="001808DF" w:rsidRDefault="001808DF" w:rsidP="001808DF">
            <w:pPr>
              <w:jc w:val="left"/>
              <w:rPr>
                <w:rFonts w:ascii="Times New Roman" w:hAnsi="Times New Roman"/>
                <w:i/>
                <w:iCs/>
                <w:color w:val="000000"/>
                <w:sz w:val="18"/>
                <w:szCs w:val="18"/>
                <w:lang w:val="en-GB"/>
              </w:rPr>
            </w:pPr>
            <w:r w:rsidRPr="001808DF">
              <w:rPr>
                <w:rFonts w:ascii="Times New Roman" w:hAnsi="Times New Roman"/>
                <w:i/>
                <w:iCs/>
                <w:color w:val="000000"/>
                <w:sz w:val="18"/>
                <w:szCs w:val="18"/>
                <w:lang w:val="en-GB"/>
              </w:rPr>
              <w:t>Total contributions through multilateral channels:</w:t>
            </w:r>
          </w:p>
        </w:tc>
        <w:tc>
          <w:tcPr>
            <w:tcW w:w="1710" w:type="dxa"/>
            <w:hideMark/>
          </w:tcPr>
          <w:p w14:paraId="747AE04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493,530,000.00</w:t>
            </w:r>
          </w:p>
        </w:tc>
        <w:tc>
          <w:tcPr>
            <w:tcW w:w="962" w:type="dxa"/>
            <w:hideMark/>
          </w:tcPr>
          <w:p w14:paraId="28FC13E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11,350,000.00</w:t>
            </w:r>
          </w:p>
        </w:tc>
        <w:tc>
          <w:tcPr>
            <w:tcW w:w="962" w:type="dxa"/>
            <w:hideMark/>
          </w:tcPr>
          <w:p w14:paraId="6994A9F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20,970,000.00</w:t>
            </w:r>
          </w:p>
        </w:tc>
        <w:tc>
          <w:tcPr>
            <w:tcW w:w="962" w:type="dxa"/>
            <w:hideMark/>
          </w:tcPr>
          <w:p w14:paraId="074A084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7,060,000.00</w:t>
            </w:r>
          </w:p>
        </w:tc>
        <w:tc>
          <w:tcPr>
            <w:tcW w:w="982" w:type="dxa"/>
            <w:hideMark/>
          </w:tcPr>
          <w:p w14:paraId="3E2D776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367,770,000.00</w:t>
            </w:r>
          </w:p>
        </w:tc>
        <w:tc>
          <w:tcPr>
            <w:tcW w:w="959" w:type="dxa"/>
            <w:hideMark/>
          </w:tcPr>
          <w:p w14:paraId="714B30F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6CA25F8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2C388CC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107C643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0F1D49E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r w:rsidR="001808DF" w:rsidRPr="001808DF" w14:paraId="2258AD56"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559CDE49"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color w:val="000000"/>
                <w:sz w:val="18"/>
                <w:szCs w:val="18"/>
              </w:rPr>
              <w:t>Multilateral climate change funds</w:t>
            </w:r>
            <w:r w:rsidRPr="001808DF">
              <w:rPr>
                <w:rFonts w:ascii="Times New Roman" w:hAnsi="Times New Roman"/>
                <w:i/>
                <w:iCs/>
                <w:color w:val="000000"/>
                <w:sz w:val="18"/>
                <w:szCs w:val="18"/>
                <w:vertAlign w:val="superscript"/>
              </w:rPr>
              <w:t>g</w:t>
            </w:r>
          </w:p>
        </w:tc>
        <w:tc>
          <w:tcPr>
            <w:tcW w:w="1710" w:type="dxa"/>
            <w:hideMark/>
          </w:tcPr>
          <w:p w14:paraId="7E087AD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2" w:type="dxa"/>
            <w:hideMark/>
          </w:tcPr>
          <w:p w14:paraId="265DB8F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11,350,000.00</w:t>
            </w:r>
          </w:p>
        </w:tc>
        <w:tc>
          <w:tcPr>
            <w:tcW w:w="962" w:type="dxa"/>
            <w:hideMark/>
          </w:tcPr>
          <w:p w14:paraId="748E99F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15,960,000.00</w:t>
            </w:r>
          </w:p>
        </w:tc>
        <w:tc>
          <w:tcPr>
            <w:tcW w:w="962" w:type="dxa"/>
            <w:hideMark/>
          </w:tcPr>
          <w:p w14:paraId="1DB4E98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7,060,000.00</w:t>
            </w:r>
          </w:p>
        </w:tc>
        <w:tc>
          <w:tcPr>
            <w:tcW w:w="982" w:type="dxa"/>
            <w:hideMark/>
          </w:tcPr>
          <w:p w14:paraId="406FA96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203,500,000.00</w:t>
            </w:r>
          </w:p>
        </w:tc>
        <w:tc>
          <w:tcPr>
            <w:tcW w:w="959" w:type="dxa"/>
            <w:hideMark/>
          </w:tcPr>
          <w:p w14:paraId="16C2813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3EE4596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5945806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5A5BE90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130783D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r w:rsidR="001808DF" w:rsidRPr="001808DF" w14:paraId="3618F642"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3EFE8FDD" w14:textId="77777777" w:rsidR="001808DF" w:rsidRPr="001808DF" w:rsidRDefault="001808DF" w:rsidP="001808DF">
            <w:pPr>
              <w:jc w:val="left"/>
              <w:rPr>
                <w:rFonts w:ascii="Times New Roman" w:hAnsi="Times New Roman"/>
                <w:color w:val="000000"/>
                <w:sz w:val="18"/>
                <w:szCs w:val="18"/>
                <w:lang w:val="en-GB"/>
              </w:rPr>
            </w:pPr>
            <w:r w:rsidRPr="001808DF">
              <w:rPr>
                <w:rFonts w:ascii="Times New Roman" w:hAnsi="Times New Roman"/>
                <w:color w:val="000000"/>
                <w:sz w:val="18"/>
                <w:szCs w:val="18"/>
                <w:lang w:val="en-GB"/>
              </w:rPr>
              <w:t xml:space="preserve">         Other multilateral climate change funds</w:t>
            </w:r>
            <w:r w:rsidRPr="001808DF">
              <w:rPr>
                <w:rFonts w:ascii="Times New Roman" w:hAnsi="Times New Roman"/>
                <w:i/>
                <w:iCs/>
                <w:color w:val="000000"/>
                <w:sz w:val="18"/>
                <w:szCs w:val="18"/>
                <w:vertAlign w:val="superscript"/>
                <w:lang w:val="en-GB"/>
              </w:rPr>
              <w:t>h</w:t>
            </w:r>
          </w:p>
        </w:tc>
        <w:tc>
          <w:tcPr>
            <w:tcW w:w="1710" w:type="dxa"/>
            <w:hideMark/>
          </w:tcPr>
          <w:p w14:paraId="46E1E00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color w:val="000000"/>
                <w:sz w:val="18"/>
                <w:szCs w:val="18"/>
                <w:lang w:val="en-GB"/>
              </w:rPr>
              <w:t> </w:t>
            </w:r>
          </w:p>
        </w:tc>
        <w:tc>
          <w:tcPr>
            <w:tcW w:w="962" w:type="dxa"/>
            <w:hideMark/>
          </w:tcPr>
          <w:p w14:paraId="625C8F6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11,350,000.00</w:t>
            </w:r>
          </w:p>
        </w:tc>
        <w:tc>
          <w:tcPr>
            <w:tcW w:w="962" w:type="dxa"/>
            <w:hideMark/>
          </w:tcPr>
          <w:p w14:paraId="13F7912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3,460,000.00</w:t>
            </w:r>
          </w:p>
        </w:tc>
        <w:tc>
          <w:tcPr>
            <w:tcW w:w="962" w:type="dxa"/>
            <w:hideMark/>
          </w:tcPr>
          <w:p w14:paraId="1B89753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7,060,000.00</w:t>
            </w:r>
          </w:p>
        </w:tc>
        <w:tc>
          <w:tcPr>
            <w:tcW w:w="982" w:type="dxa"/>
            <w:hideMark/>
          </w:tcPr>
          <w:p w14:paraId="0362A13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9" w:type="dxa"/>
            <w:hideMark/>
          </w:tcPr>
          <w:p w14:paraId="79CF737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268DE78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2CF75E7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28F0A95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339D56D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r w:rsidR="001808DF" w:rsidRPr="001808DF" w14:paraId="1BF897FA"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28" w:type="dxa"/>
            <w:hideMark/>
          </w:tcPr>
          <w:p w14:paraId="76AC036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color w:val="000000"/>
                <w:sz w:val="18"/>
                <w:szCs w:val="18"/>
                <w:lang w:val="en-GB"/>
              </w:rPr>
              <w:t>Multilateral financial institutions, including regional development banks</w:t>
            </w:r>
          </w:p>
        </w:tc>
        <w:tc>
          <w:tcPr>
            <w:tcW w:w="1710" w:type="dxa"/>
            <w:hideMark/>
          </w:tcPr>
          <w:p w14:paraId="400ADCC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493,530,000.00</w:t>
            </w:r>
          </w:p>
        </w:tc>
        <w:tc>
          <w:tcPr>
            <w:tcW w:w="962" w:type="dxa"/>
            <w:hideMark/>
          </w:tcPr>
          <w:p w14:paraId="7BC3D89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2" w:type="dxa"/>
            <w:hideMark/>
          </w:tcPr>
          <w:p w14:paraId="2359EC9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5,010,000.00</w:t>
            </w:r>
          </w:p>
        </w:tc>
        <w:tc>
          <w:tcPr>
            <w:tcW w:w="962" w:type="dxa"/>
            <w:hideMark/>
          </w:tcPr>
          <w:p w14:paraId="4BD5D92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2" w:type="dxa"/>
            <w:hideMark/>
          </w:tcPr>
          <w:p w14:paraId="65F9BDB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164,270,000.00</w:t>
            </w:r>
          </w:p>
        </w:tc>
        <w:tc>
          <w:tcPr>
            <w:tcW w:w="959" w:type="dxa"/>
            <w:hideMark/>
          </w:tcPr>
          <w:p w14:paraId="38F0B11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04C6600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495EA78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4F4D248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5D803ED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r w:rsidR="001808DF" w:rsidRPr="001808DF" w14:paraId="14262CF2"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2AEB16AE" w14:textId="77777777" w:rsidR="001808DF" w:rsidRPr="001808DF" w:rsidRDefault="001808DF" w:rsidP="001808DF">
            <w:pPr>
              <w:jc w:val="left"/>
              <w:rPr>
                <w:rFonts w:ascii="Times New Roman" w:hAnsi="Times New Roman"/>
                <w:color w:val="000000"/>
                <w:sz w:val="18"/>
                <w:szCs w:val="18"/>
              </w:rPr>
            </w:pPr>
            <w:r w:rsidRPr="001808DF">
              <w:rPr>
                <w:rFonts w:ascii="Times New Roman" w:hAnsi="Times New Roman"/>
                <w:color w:val="000000"/>
                <w:sz w:val="18"/>
                <w:szCs w:val="18"/>
              </w:rPr>
              <w:t xml:space="preserve">   Specialized United Nations bodies</w:t>
            </w:r>
          </w:p>
        </w:tc>
        <w:tc>
          <w:tcPr>
            <w:tcW w:w="1710" w:type="dxa"/>
            <w:hideMark/>
          </w:tcPr>
          <w:p w14:paraId="17D1E84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2" w:type="dxa"/>
            <w:hideMark/>
          </w:tcPr>
          <w:p w14:paraId="6AC8C82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2" w:type="dxa"/>
            <w:hideMark/>
          </w:tcPr>
          <w:p w14:paraId="33B4652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2" w:type="dxa"/>
            <w:hideMark/>
          </w:tcPr>
          <w:p w14:paraId="2A98635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2" w:type="dxa"/>
            <w:hideMark/>
          </w:tcPr>
          <w:p w14:paraId="33284EA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9" w:type="dxa"/>
            <w:hideMark/>
          </w:tcPr>
          <w:p w14:paraId="2C5E708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3E0EC6C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57ED7A5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4C7A591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0CB8447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r w:rsidR="001808DF" w:rsidRPr="001808DF" w14:paraId="70388491"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28" w:type="dxa"/>
            <w:hideMark/>
          </w:tcPr>
          <w:p w14:paraId="1796F27E" w14:textId="77777777" w:rsidR="001808DF" w:rsidRPr="001808DF" w:rsidRDefault="001808DF" w:rsidP="001808DF">
            <w:pPr>
              <w:jc w:val="left"/>
              <w:rPr>
                <w:rFonts w:ascii="Times New Roman" w:hAnsi="Times New Roman"/>
                <w:i/>
                <w:iCs/>
                <w:color w:val="000000"/>
                <w:sz w:val="18"/>
                <w:szCs w:val="18"/>
                <w:lang w:val="en-GB"/>
              </w:rPr>
            </w:pPr>
            <w:r w:rsidRPr="001808DF">
              <w:rPr>
                <w:rFonts w:ascii="Times New Roman" w:hAnsi="Times New Roman"/>
                <w:i/>
                <w:iCs/>
                <w:color w:val="000000"/>
                <w:sz w:val="18"/>
                <w:szCs w:val="18"/>
                <w:lang w:val="en-GB"/>
              </w:rPr>
              <w:t>Total contributions through bilateral, regional and other channels</w:t>
            </w:r>
          </w:p>
        </w:tc>
        <w:tc>
          <w:tcPr>
            <w:tcW w:w="1710" w:type="dxa"/>
            <w:hideMark/>
          </w:tcPr>
          <w:p w14:paraId="14E1968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color w:val="000000"/>
                <w:sz w:val="18"/>
                <w:szCs w:val="18"/>
                <w:lang w:val="en-GB"/>
              </w:rPr>
              <w:t> </w:t>
            </w:r>
          </w:p>
        </w:tc>
        <w:tc>
          <w:tcPr>
            <w:tcW w:w="962" w:type="dxa"/>
            <w:hideMark/>
          </w:tcPr>
          <w:p w14:paraId="2D5983B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2,610,876.03</w:t>
            </w:r>
          </w:p>
        </w:tc>
        <w:tc>
          <w:tcPr>
            <w:tcW w:w="962" w:type="dxa"/>
            <w:hideMark/>
          </w:tcPr>
          <w:p w14:paraId="5E1E5A1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1,358,523.80</w:t>
            </w:r>
          </w:p>
        </w:tc>
        <w:tc>
          <w:tcPr>
            <w:tcW w:w="962" w:type="dxa"/>
            <w:hideMark/>
          </w:tcPr>
          <w:p w14:paraId="4D7426E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2" w:type="dxa"/>
            <w:hideMark/>
          </w:tcPr>
          <w:p w14:paraId="7C0595B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1,582,252.77</w:t>
            </w:r>
          </w:p>
        </w:tc>
        <w:tc>
          <w:tcPr>
            <w:tcW w:w="959" w:type="dxa"/>
            <w:hideMark/>
          </w:tcPr>
          <w:p w14:paraId="7D4D0B2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0FB1E59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36C250B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579E408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6D1F98D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r w:rsidR="001808DF" w:rsidRPr="001808DF" w14:paraId="04083D2E"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43429BB2" w14:textId="77777777" w:rsidR="001808DF" w:rsidRPr="001808DF" w:rsidRDefault="001808DF" w:rsidP="001808DF">
            <w:pPr>
              <w:jc w:val="left"/>
              <w:rPr>
                <w:rFonts w:ascii="Times New Roman" w:hAnsi="Times New Roman"/>
                <w:color w:val="000000"/>
                <w:sz w:val="18"/>
                <w:szCs w:val="18"/>
              </w:rPr>
            </w:pPr>
            <w:r w:rsidRPr="001808DF">
              <w:rPr>
                <w:rFonts w:ascii="Times New Roman" w:hAnsi="Times New Roman"/>
                <w:color w:val="000000"/>
                <w:sz w:val="18"/>
                <w:szCs w:val="18"/>
              </w:rPr>
              <w:t>Total</w:t>
            </w:r>
          </w:p>
        </w:tc>
        <w:tc>
          <w:tcPr>
            <w:tcW w:w="1710" w:type="dxa"/>
            <w:hideMark/>
          </w:tcPr>
          <w:p w14:paraId="6D5BE09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493,530,000.00</w:t>
            </w:r>
          </w:p>
        </w:tc>
        <w:tc>
          <w:tcPr>
            <w:tcW w:w="962" w:type="dxa"/>
            <w:hideMark/>
          </w:tcPr>
          <w:p w14:paraId="78C3F46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13,960,876.03</w:t>
            </w:r>
          </w:p>
        </w:tc>
        <w:tc>
          <w:tcPr>
            <w:tcW w:w="962" w:type="dxa"/>
            <w:hideMark/>
          </w:tcPr>
          <w:p w14:paraId="1083A42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22,328,523.80</w:t>
            </w:r>
          </w:p>
        </w:tc>
        <w:tc>
          <w:tcPr>
            <w:tcW w:w="962" w:type="dxa"/>
            <w:hideMark/>
          </w:tcPr>
          <w:p w14:paraId="253C4CF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7,060,000.00</w:t>
            </w:r>
          </w:p>
        </w:tc>
        <w:tc>
          <w:tcPr>
            <w:tcW w:w="982" w:type="dxa"/>
            <w:hideMark/>
          </w:tcPr>
          <w:p w14:paraId="1560BA4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369,352,252.77</w:t>
            </w:r>
          </w:p>
        </w:tc>
        <w:tc>
          <w:tcPr>
            <w:tcW w:w="959" w:type="dxa"/>
            <w:hideMark/>
          </w:tcPr>
          <w:p w14:paraId="3AD711E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67D5C7A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60" w:type="dxa"/>
            <w:hideMark/>
          </w:tcPr>
          <w:p w14:paraId="0F58D5C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5E0E7FD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8" w:type="dxa"/>
            <w:hideMark/>
          </w:tcPr>
          <w:p w14:paraId="6D4B7D0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bl>
    <w:p w14:paraId="288BC3F3" w14:textId="77777777" w:rsidR="001808DF" w:rsidRPr="001808DF" w:rsidRDefault="001808DF" w:rsidP="001808DF">
      <w:pPr>
        <w:sectPr w:rsidR="001808DF" w:rsidRPr="001808DF" w:rsidSect="001808DF">
          <w:pgSz w:w="16838" w:h="11906" w:orient="landscape" w:code="9"/>
          <w:pgMar w:top="1049" w:right="1229" w:bottom="907" w:left="1648" w:header="284" w:footer="284" w:gutter="0"/>
          <w:cols w:space="708"/>
          <w:titlePg/>
          <w:docGrid w:linePitch="360"/>
        </w:sectPr>
      </w:pPr>
    </w:p>
    <w:p w14:paraId="12D0C391" w14:textId="35466BA0" w:rsidR="00C430E9" w:rsidRPr="0098629B" w:rsidRDefault="00C430E9" w:rsidP="00C430E9">
      <w:pPr>
        <w:pStyle w:val="Textedesaisie"/>
      </w:pPr>
    </w:p>
    <w:p w14:paraId="759CC215" w14:textId="12C8F522" w:rsidR="001808DF" w:rsidRDefault="001808DF">
      <w:pPr>
        <w:spacing w:line="240" w:lineRule="atLeast"/>
        <w:jc w:val="left"/>
      </w:pPr>
      <w:r>
        <w:br w:type="page"/>
      </w:r>
    </w:p>
    <w:p w14:paraId="25A13578" w14:textId="48106C95" w:rsidR="001808DF" w:rsidRDefault="001808DF" w:rsidP="001808DF">
      <w:pPr>
        <w:pStyle w:val="Caption"/>
      </w:pPr>
      <w:bookmarkStart w:id="313" w:name="_Toc123916673"/>
      <w:r>
        <w:t xml:space="preserve">Tableau </w:t>
      </w:r>
      <w:fldSimple w:instr=" SEQ Tableau \* ARABIC ">
        <w:r w:rsidR="00677B3C">
          <w:rPr>
            <w:noProof/>
          </w:rPr>
          <w:t>38</w:t>
        </w:r>
      </w:fldSimple>
      <w:r>
        <w:t xml:space="preserve"> : Table CTF 7a – Résumé du soutien financier </w:t>
      </w:r>
      <w:r w:rsidR="00DA0C45">
        <w:t xml:space="preserve">multilatéral </w:t>
      </w:r>
      <w:r>
        <w:t>aux pays en développement en 2020</w:t>
      </w:r>
      <w:bookmarkEnd w:id="313"/>
    </w:p>
    <w:p w14:paraId="4270E6D4" w14:textId="72164A62" w:rsidR="001808DF" w:rsidRDefault="001808DF" w:rsidP="001808DF">
      <w:pPr>
        <w:pStyle w:val="Caption"/>
        <w:rPr>
          <w:rFonts w:eastAsiaTheme="majorEastAsia" w:cstheme="majorBidi"/>
          <w:bCs/>
          <w:spacing w:val="-10"/>
          <w:kern w:val="28"/>
          <w:sz w:val="48"/>
          <w:szCs w:val="56"/>
        </w:rPr>
      </w:pPr>
    </w:p>
    <w:tbl>
      <w:tblPr>
        <w:tblStyle w:val="GridTable5Dark-Accent1"/>
        <w:tblW w:w="12905" w:type="dxa"/>
        <w:tblLook w:val="04A0" w:firstRow="1" w:lastRow="0" w:firstColumn="1" w:lastColumn="0" w:noHBand="0" w:noVBand="1"/>
      </w:tblPr>
      <w:tblGrid>
        <w:gridCol w:w="1625"/>
        <w:gridCol w:w="1218"/>
        <w:gridCol w:w="1476"/>
        <w:gridCol w:w="1476"/>
        <w:gridCol w:w="1341"/>
        <w:gridCol w:w="1341"/>
        <w:gridCol w:w="877"/>
        <w:gridCol w:w="976"/>
        <w:gridCol w:w="1016"/>
        <w:gridCol w:w="817"/>
        <w:gridCol w:w="742"/>
      </w:tblGrid>
      <w:tr w:rsidR="001808DF" w:rsidRPr="001808DF" w14:paraId="31551AF7" w14:textId="77777777" w:rsidTr="001808D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vMerge w:val="restart"/>
            <w:hideMark/>
          </w:tcPr>
          <w:p w14:paraId="19CEA48E" w14:textId="77777777" w:rsidR="001808DF" w:rsidRPr="001808DF" w:rsidRDefault="001808DF" w:rsidP="001808DF">
            <w:pPr>
              <w:jc w:val="center"/>
              <w:rPr>
                <w:rFonts w:ascii="Times New Roman" w:hAnsi="Times New Roman"/>
                <w:i/>
                <w:iCs/>
                <w:color w:val="000000"/>
                <w:sz w:val="18"/>
                <w:szCs w:val="18"/>
              </w:rPr>
            </w:pPr>
            <w:r w:rsidRPr="001808DF">
              <w:rPr>
                <w:rFonts w:ascii="Times New Roman" w:hAnsi="Times New Roman"/>
                <w:i/>
                <w:iCs/>
                <w:color w:val="000000"/>
                <w:sz w:val="18"/>
                <w:szCs w:val="18"/>
              </w:rPr>
              <w:t>Allocation channels</w:t>
            </w:r>
          </w:p>
        </w:tc>
        <w:tc>
          <w:tcPr>
            <w:tcW w:w="11049" w:type="dxa"/>
            <w:gridSpan w:val="10"/>
            <w:hideMark/>
          </w:tcPr>
          <w:p w14:paraId="278B980E" w14:textId="4C79CD6D"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Year</w:t>
            </w:r>
            <w:r>
              <w:rPr>
                <w:rFonts w:ascii="Times New Roman" w:hAnsi="Times New Roman"/>
                <w:i/>
                <w:iCs/>
                <w:color w:val="000000"/>
                <w:sz w:val="18"/>
                <w:szCs w:val="18"/>
              </w:rPr>
              <w:t xml:space="preserve"> 2020</w:t>
            </w:r>
          </w:p>
        </w:tc>
      </w:tr>
      <w:tr w:rsidR="001808DF" w:rsidRPr="001808DF" w14:paraId="336E8397"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vMerge/>
            <w:hideMark/>
          </w:tcPr>
          <w:p w14:paraId="28F85351" w14:textId="77777777" w:rsidR="001808DF" w:rsidRPr="001808DF" w:rsidRDefault="001808DF" w:rsidP="001808DF">
            <w:pPr>
              <w:jc w:val="left"/>
              <w:rPr>
                <w:rFonts w:ascii="Times New Roman" w:hAnsi="Times New Roman"/>
                <w:i/>
                <w:iCs/>
                <w:color w:val="000000"/>
                <w:sz w:val="18"/>
                <w:szCs w:val="18"/>
              </w:rPr>
            </w:pPr>
          </w:p>
        </w:tc>
        <w:tc>
          <w:tcPr>
            <w:tcW w:w="6508" w:type="dxa"/>
            <w:gridSpan w:val="5"/>
            <w:hideMark/>
          </w:tcPr>
          <w:p w14:paraId="59A11F3E"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European euro - EUR</w:t>
            </w:r>
          </w:p>
        </w:tc>
        <w:tc>
          <w:tcPr>
            <w:tcW w:w="4541" w:type="dxa"/>
            <w:gridSpan w:val="5"/>
            <w:hideMark/>
          </w:tcPr>
          <w:p w14:paraId="15387F0B"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USD</w:t>
            </w:r>
            <w:r w:rsidRPr="001808DF">
              <w:rPr>
                <w:rFonts w:ascii="Times New Roman" w:hAnsi="Times New Roman"/>
                <w:i/>
                <w:iCs/>
                <w:color w:val="000000"/>
                <w:sz w:val="18"/>
                <w:szCs w:val="18"/>
                <w:vertAlign w:val="superscript"/>
              </w:rPr>
              <w:t>b</w:t>
            </w:r>
          </w:p>
        </w:tc>
      </w:tr>
      <w:tr w:rsidR="001808DF" w:rsidRPr="001808DF" w14:paraId="289638A1"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vMerge/>
            <w:hideMark/>
          </w:tcPr>
          <w:p w14:paraId="31BB1358" w14:textId="77777777" w:rsidR="001808DF" w:rsidRPr="001808DF" w:rsidRDefault="001808DF" w:rsidP="001808DF">
            <w:pPr>
              <w:jc w:val="left"/>
              <w:rPr>
                <w:rFonts w:ascii="Times New Roman" w:hAnsi="Times New Roman"/>
                <w:i/>
                <w:iCs/>
                <w:color w:val="000000"/>
                <w:sz w:val="18"/>
                <w:szCs w:val="18"/>
              </w:rPr>
            </w:pPr>
          </w:p>
        </w:tc>
        <w:tc>
          <w:tcPr>
            <w:tcW w:w="1504" w:type="dxa"/>
            <w:vMerge w:val="restart"/>
            <w:hideMark/>
          </w:tcPr>
          <w:p w14:paraId="70E1E87D"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Core/ general</w:t>
            </w:r>
            <w:r w:rsidRPr="001808DF">
              <w:rPr>
                <w:rFonts w:ascii="Times New Roman" w:hAnsi="Times New Roman"/>
                <w:i/>
                <w:iCs/>
                <w:color w:val="000000"/>
                <w:sz w:val="18"/>
                <w:szCs w:val="18"/>
                <w:vertAlign w:val="superscript"/>
              </w:rPr>
              <w:t>c, 1</w:t>
            </w:r>
          </w:p>
        </w:tc>
        <w:tc>
          <w:tcPr>
            <w:tcW w:w="5004" w:type="dxa"/>
            <w:gridSpan w:val="4"/>
            <w:hideMark/>
          </w:tcPr>
          <w:p w14:paraId="25A0F53A"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Climate-specific</w:t>
            </w:r>
            <w:r w:rsidRPr="001808DF">
              <w:rPr>
                <w:rFonts w:ascii="Times New Roman" w:hAnsi="Times New Roman"/>
                <w:i/>
                <w:iCs/>
                <w:color w:val="000000"/>
                <w:sz w:val="18"/>
                <w:szCs w:val="18"/>
                <w:vertAlign w:val="superscript"/>
              </w:rPr>
              <w:t>d, 2</w:t>
            </w:r>
          </w:p>
        </w:tc>
        <w:tc>
          <w:tcPr>
            <w:tcW w:w="898" w:type="dxa"/>
            <w:vMerge w:val="restart"/>
            <w:hideMark/>
          </w:tcPr>
          <w:p w14:paraId="2AEC889D"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Core/ general</w:t>
            </w:r>
            <w:r w:rsidRPr="001808DF">
              <w:rPr>
                <w:rFonts w:ascii="Times New Roman" w:hAnsi="Times New Roman"/>
                <w:i/>
                <w:iCs/>
                <w:color w:val="000000"/>
                <w:sz w:val="18"/>
                <w:szCs w:val="18"/>
                <w:vertAlign w:val="superscript"/>
              </w:rPr>
              <w:t>c, 1</w:t>
            </w:r>
          </w:p>
        </w:tc>
        <w:tc>
          <w:tcPr>
            <w:tcW w:w="3643" w:type="dxa"/>
            <w:gridSpan w:val="4"/>
            <w:hideMark/>
          </w:tcPr>
          <w:p w14:paraId="4F41C102"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Climate-specific</w:t>
            </w:r>
            <w:r w:rsidRPr="001808DF">
              <w:rPr>
                <w:rFonts w:ascii="Times New Roman" w:hAnsi="Times New Roman"/>
                <w:i/>
                <w:iCs/>
                <w:color w:val="000000"/>
                <w:sz w:val="18"/>
                <w:szCs w:val="18"/>
                <w:vertAlign w:val="superscript"/>
              </w:rPr>
              <w:t>d, 2</w:t>
            </w:r>
          </w:p>
        </w:tc>
      </w:tr>
      <w:tr w:rsidR="001808DF" w:rsidRPr="001808DF" w14:paraId="4F9F76E4"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vMerge/>
            <w:hideMark/>
          </w:tcPr>
          <w:p w14:paraId="2607363B" w14:textId="77777777" w:rsidR="001808DF" w:rsidRPr="001808DF" w:rsidRDefault="001808DF" w:rsidP="001808DF">
            <w:pPr>
              <w:jc w:val="left"/>
              <w:rPr>
                <w:rFonts w:ascii="Times New Roman" w:hAnsi="Times New Roman"/>
                <w:i/>
                <w:iCs/>
                <w:color w:val="000000"/>
                <w:sz w:val="18"/>
                <w:szCs w:val="18"/>
              </w:rPr>
            </w:pPr>
          </w:p>
        </w:tc>
        <w:tc>
          <w:tcPr>
            <w:tcW w:w="1504" w:type="dxa"/>
            <w:vMerge/>
            <w:hideMark/>
          </w:tcPr>
          <w:p w14:paraId="7DB842A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251" w:type="dxa"/>
            <w:hideMark/>
          </w:tcPr>
          <w:p w14:paraId="20E317D5"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Mitigation</w:t>
            </w:r>
          </w:p>
        </w:tc>
        <w:tc>
          <w:tcPr>
            <w:tcW w:w="1251" w:type="dxa"/>
            <w:hideMark/>
          </w:tcPr>
          <w:p w14:paraId="4315FB5A"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Adaptation</w:t>
            </w:r>
          </w:p>
        </w:tc>
        <w:tc>
          <w:tcPr>
            <w:tcW w:w="1161" w:type="dxa"/>
            <w:hideMark/>
          </w:tcPr>
          <w:p w14:paraId="3D5895A5"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Cross-cutting</w:t>
            </w:r>
            <w:r w:rsidRPr="001808DF">
              <w:rPr>
                <w:rFonts w:ascii="Times New Roman" w:hAnsi="Times New Roman"/>
                <w:i/>
                <w:iCs/>
                <w:color w:val="000000"/>
                <w:sz w:val="18"/>
                <w:szCs w:val="18"/>
                <w:vertAlign w:val="superscript"/>
              </w:rPr>
              <w:t>e</w:t>
            </w:r>
          </w:p>
        </w:tc>
        <w:tc>
          <w:tcPr>
            <w:tcW w:w="1341" w:type="dxa"/>
            <w:hideMark/>
          </w:tcPr>
          <w:p w14:paraId="0A71AEA4"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Other</w:t>
            </w:r>
            <w:r w:rsidRPr="001808DF">
              <w:rPr>
                <w:rFonts w:ascii="Times New Roman" w:hAnsi="Times New Roman"/>
                <w:i/>
                <w:iCs/>
                <w:color w:val="000000"/>
                <w:sz w:val="18"/>
                <w:szCs w:val="18"/>
                <w:vertAlign w:val="superscript"/>
              </w:rPr>
              <w:t>f</w:t>
            </w:r>
          </w:p>
        </w:tc>
        <w:tc>
          <w:tcPr>
            <w:tcW w:w="898" w:type="dxa"/>
            <w:vMerge/>
            <w:hideMark/>
          </w:tcPr>
          <w:p w14:paraId="464578E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76" w:type="dxa"/>
            <w:hideMark/>
          </w:tcPr>
          <w:p w14:paraId="723D3ADE"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Mitigation</w:t>
            </w:r>
          </w:p>
        </w:tc>
        <w:tc>
          <w:tcPr>
            <w:tcW w:w="1016" w:type="dxa"/>
            <w:hideMark/>
          </w:tcPr>
          <w:p w14:paraId="320852E1"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Adaptation</w:t>
            </w:r>
          </w:p>
        </w:tc>
        <w:tc>
          <w:tcPr>
            <w:tcW w:w="853" w:type="dxa"/>
            <w:hideMark/>
          </w:tcPr>
          <w:p w14:paraId="046061E0"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Cross-cutting</w:t>
            </w:r>
            <w:r w:rsidRPr="001808DF">
              <w:rPr>
                <w:rFonts w:ascii="Times New Roman" w:hAnsi="Times New Roman"/>
                <w:i/>
                <w:iCs/>
                <w:color w:val="000000"/>
                <w:sz w:val="18"/>
                <w:szCs w:val="18"/>
                <w:vertAlign w:val="superscript"/>
              </w:rPr>
              <w:t>e</w:t>
            </w:r>
          </w:p>
        </w:tc>
        <w:tc>
          <w:tcPr>
            <w:tcW w:w="798" w:type="dxa"/>
            <w:hideMark/>
          </w:tcPr>
          <w:p w14:paraId="00978394"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Other</w:t>
            </w:r>
            <w:r w:rsidRPr="001808DF">
              <w:rPr>
                <w:rFonts w:ascii="Times New Roman" w:hAnsi="Times New Roman"/>
                <w:i/>
                <w:iCs/>
                <w:color w:val="000000"/>
                <w:sz w:val="18"/>
                <w:szCs w:val="18"/>
                <w:vertAlign w:val="superscript"/>
              </w:rPr>
              <w:t>f</w:t>
            </w:r>
          </w:p>
        </w:tc>
      </w:tr>
      <w:tr w:rsidR="001808DF" w:rsidRPr="001808DF" w14:paraId="24553615"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33A0F686" w14:textId="77777777" w:rsidR="001808DF" w:rsidRPr="001808DF" w:rsidRDefault="001808DF" w:rsidP="001808DF">
            <w:pPr>
              <w:jc w:val="left"/>
              <w:rPr>
                <w:rFonts w:ascii="Times New Roman" w:hAnsi="Times New Roman"/>
                <w:i/>
                <w:iCs/>
                <w:color w:val="000000"/>
                <w:sz w:val="18"/>
                <w:szCs w:val="18"/>
                <w:lang w:val="en-GB"/>
              </w:rPr>
            </w:pPr>
            <w:r w:rsidRPr="001808DF">
              <w:rPr>
                <w:rFonts w:ascii="Times New Roman" w:hAnsi="Times New Roman"/>
                <w:i/>
                <w:iCs/>
                <w:color w:val="000000"/>
                <w:sz w:val="18"/>
                <w:szCs w:val="18"/>
                <w:lang w:val="en-GB"/>
              </w:rPr>
              <w:t>Total contributions through multilateral channels:</w:t>
            </w:r>
          </w:p>
        </w:tc>
        <w:tc>
          <w:tcPr>
            <w:tcW w:w="1504" w:type="dxa"/>
            <w:hideMark/>
          </w:tcPr>
          <w:p w14:paraId="411E54FC" w14:textId="69433476"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color w:val="000000"/>
                <w:sz w:val="18"/>
                <w:szCs w:val="18"/>
                <w:lang w:val="en-GB"/>
              </w:rPr>
              <w:t> </w:t>
            </w:r>
          </w:p>
        </w:tc>
        <w:tc>
          <w:tcPr>
            <w:tcW w:w="1251" w:type="dxa"/>
            <w:hideMark/>
          </w:tcPr>
          <w:p w14:paraId="43AF2D60" w14:textId="0F9C6AA4"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color w:val="000000"/>
                <w:sz w:val="18"/>
                <w:szCs w:val="18"/>
                <w:lang w:val="en-GB"/>
              </w:rPr>
              <w:t> </w:t>
            </w:r>
          </w:p>
        </w:tc>
        <w:tc>
          <w:tcPr>
            <w:tcW w:w="1251" w:type="dxa"/>
            <w:hideMark/>
          </w:tcPr>
          <w:p w14:paraId="326C8FF2" w14:textId="52BC09AE"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7,332,500.00</w:t>
            </w:r>
          </w:p>
        </w:tc>
        <w:tc>
          <w:tcPr>
            <w:tcW w:w="1161" w:type="dxa"/>
            <w:hideMark/>
          </w:tcPr>
          <w:p w14:paraId="09DB091D" w14:textId="3E52B246"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30,716,000.00</w:t>
            </w:r>
          </w:p>
        </w:tc>
        <w:tc>
          <w:tcPr>
            <w:tcW w:w="1341" w:type="dxa"/>
            <w:hideMark/>
          </w:tcPr>
          <w:p w14:paraId="32F95AFA" w14:textId="3509F7C6"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288,719,733.00</w:t>
            </w:r>
          </w:p>
        </w:tc>
        <w:tc>
          <w:tcPr>
            <w:tcW w:w="898" w:type="dxa"/>
            <w:hideMark/>
          </w:tcPr>
          <w:p w14:paraId="23240090" w14:textId="0F01FFDA"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976" w:type="dxa"/>
            <w:hideMark/>
          </w:tcPr>
          <w:p w14:paraId="373662B0" w14:textId="37CC07C8"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016" w:type="dxa"/>
            <w:hideMark/>
          </w:tcPr>
          <w:p w14:paraId="3C74D3A1" w14:textId="7B1786C2"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53" w:type="dxa"/>
            <w:hideMark/>
          </w:tcPr>
          <w:p w14:paraId="68E78B39" w14:textId="34A72ECA"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798" w:type="dxa"/>
            <w:hideMark/>
          </w:tcPr>
          <w:p w14:paraId="15D4EB57" w14:textId="72BE897A"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r>
      <w:tr w:rsidR="001808DF" w:rsidRPr="001808DF" w14:paraId="00ED173B"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7408966C"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color w:val="000000"/>
                <w:sz w:val="18"/>
                <w:szCs w:val="18"/>
              </w:rPr>
              <w:t>Multilateral climate change funds</w:t>
            </w:r>
            <w:r w:rsidRPr="001808DF">
              <w:rPr>
                <w:rFonts w:ascii="Times New Roman" w:hAnsi="Times New Roman"/>
                <w:i/>
                <w:iCs/>
                <w:color w:val="000000"/>
                <w:sz w:val="18"/>
                <w:szCs w:val="18"/>
                <w:vertAlign w:val="superscript"/>
              </w:rPr>
              <w:t>g</w:t>
            </w:r>
          </w:p>
        </w:tc>
        <w:tc>
          <w:tcPr>
            <w:tcW w:w="1504" w:type="dxa"/>
            <w:hideMark/>
          </w:tcPr>
          <w:p w14:paraId="087FA26D" w14:textId="11BC1893"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251" w:type="dxa"/>
            <w:hideMark/>
          </w:tcPr>
          <w:p w14:paraId="2386E65F" w14:textId="507017AD"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251" w:type="dxa"/>
            <w:hideMark/>
          </w:tcPr>
          <w:p w14:paraId="09409BE3" w14:textId="4EB1CB2C"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4,340,000.00</w:t>
            </w:r>
          </w:p>
        </w:tc>
        <w:tc>
          <w:tcPr>
            <w:tcW w:w="1161" w:type="dxa"/>
            <w:hideMark/>
          </w:tcPr>
          <w:p w14:paraId="0EA910FC" w14:textId="58AA3B98"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30,716,000.00</w:t>
            </w:r>
          </w:p>
        </w:tc>
        <w:tc>
          <w:tcPr>
            <w:tcW w:w="1341" w:type="dxa"/>
            <w:hideMark/>
          </w:tcPr>
          <w:p w14:paraId="06FD4BE6" w14:textId="13E1014F"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87,682,000.00</w:t>
            </w:r>
          </w:p>
        </w:tc>
        <w:tc>
          <w:tcPr>
            <w:tcW w:w="898" w:type="dxa"/>
            <w:hideMark/>
          </w:tcPr>
          <w:p w14:paraId="3E555A72" w14:textId="131C55C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976" w:type="dxa"/>
            <w:hideMark/>
          </w:tcPr>
          <w:p w14:paraId="6B7BA17A" w14:textId="20A521E1"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016" w:type="dxa"/>
            <w:hideMark/>
          </w:tcPr>
          <w:p w14:paraId="00EEABE7" w14:textId="09F74AB9"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53" w:type="dxa"/>
            <w:hideMark/>
          </w:tcPr>
          <w:p w14:paraId="5F4563A8" w14:textId="151950B2"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798" w:type="dxa"/>
            <w:hideMark/>
          </w:tcPr>
          <w:p w14:paraId="040CFA5B" w14:textId="42F456B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r>
      <w:tr w:rsidR="001808DF" w:rsidRPr="001808DF" w14:paraId="443C2DB2"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22A0DF51" w14:textId="77777777" w:rsidR="001808DF" w:rsidRPr="001808DF" w:rsidRDefault="001808DF" w:rsidP="001808DF">
            <w:pPr>
              <w:jc w:val="left"/>
              <w:rPr>
                <w:rFonts w:ascii="Times New Roman" w:hAnsi="Times New Roman"/>
                <w:color w:val="000000"/>
                <w:sz w:val="18"/>
                <w:szCs w:val="18"/>
                <w:lang w:val="en-GB"/>
              </w:rPr>
            </w:pPr>
            <w:r w:rsidRPr="001808DF">
              <w:rPr>
                <w:rFonts w:ascii="Times New Roman" w:hAnsi="Times New Roman"/>
                <w:color w:val="000000"/>
                <w:sz w:val="18"/>
                <w:szCs w:val="18"/>
                <w:lang w:val="en-GB"/>
              </w:rPr>
              <w:t xml:space="preserve">         Other multilateral climate change funds</w:t>
            </w:r>
            <w:r w:rsidRPr="001808DF">
              <w:rPr>
                <w:rFonts w:ascii="Times New Roman" w:hAnsi="Times New Roman"/>
                <w:i/>
                <w:iCs/>
                <w:color w:val="000000"/>
                <w:sz w:val="18"/>
                <w:szCs w:val="18"/>
                <w:vertAlign w:val="superscript"/>
                <w:lang w:val="en-GB"/>
              </w:rPr>
              <w:t>h</w:t>
            </w:r>
          </w:p>
        </w:tc>
        <w:tc>
          <w:tcPr>
            <w:tcW w:w="1504" w:type="dxa"/>
            <w:hideMark/>
          </w:tcPr>
          <w:p w14:paraId="10A3F8B4" w14:textId="108B6573"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color w:val="000000"/>
                <w:sz w:val="18"/>
                <w:szCs w:val="18"/>
                <w:lang w:val="en-GB"/>
              </w:rPr>
              <w:t> </w:t>
            </w:r>
          </w:p>
        </w:tc>
        <w:tc>
          <w:tcPr>
            <w:tcW w:w="1251" w:type="dxa"/>
            <w:hideMark/>
          </w:tcPr>
          <w:p w14:paraId="7D88BAEF" w14:textId="29E39EBC"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color w:val="000000"/>
                <w:sz w:val="18"/>
                <w:szCs w:val="18"/>
                <w:lang w:val="en-GB"/>
              </w:rPr>
              <w:t> </w:t>
            </w:r>
          </w:p>
        </w:tc>
        <w:tc>
          <w:tcPr>
            <w:tcW w:w="1251" w:type="dxa"/>
            <w:hideMark/>
          </w:tcPr>
          <w:p w14:paraId="01786B76" w14:textId="5CD93ED3"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4,340,000.00</w:t>
            </w:r>
          </w:p>
        </w:tc>
        <w:tc>
          <w:tcPr>
            <w:tcW w:w="1161" w:type="dxa"/>
            <w:hideMark/>
          </w:tcPr>
          <w:p w14:paraId="03BF36B5" w14:textId="1EC28135"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30,716,000.00</w:t>
            </w:r>
          </w:p>
        </w:tc>
        <w:tc>
          <w:tcPr>
            <w:tcW w:w="1341" w:type="dxa"/>
            <w:hideMark/>
          </w:tcPr>
          <w:p w14:paraId="59A27101" w14:textId="0372D7E6"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11,350,000.00</w:t>
            </w:r>
          </w:p>
        </w:tc>
        <w:tc>
          <w:tcPr>
            <w:tcW w:w="898" w:type="dxa"/>
            <w:hideMark/>
          </w:tcPr>
          <w:p w14:paraId="47D621FD" w14:textId="63476944"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976" w:type="dxa"/>
            <w:hideMark/>
          </w:tcPr>
          <w:p w14:paraId="7CE2D3B4" w14:textId="6208685B"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016" w:type="dxa"/>
            <w:hideMark/>
          </w:tcPr>
          <w:p w14:paraId="24E096B4" w14:textId="27BA7BAD"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53" w:type="dxa"/>
            <w:hideMark/>
          </w:tcPr>
          <w:p w14:paraId="57024A09" w14:textId="5B25C644"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798" w:type="dxa"/>
            <w:hideMark/>
          </w:tcPr>
          <w:p w14:paraId="0DDF2286" w14:textId="0DA46938"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r>
      <w:tr w:rsidR="001808DF" w:rsidRPr="001808DF" w14:paraId="5D0BD1F8"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56" w:type="dxa"/>
            <w:hideMark/>
          </w:tcPr>
          <w:p w14:paraId="53B1D64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color w:val="000000"/>
                <w:sz w:val="18"/>
                <w:szCs w:val="18"/>
                <w:lang w:val="en-GB"/>
              </w:rPr>
              <w:t>Multilateral financial institutions, including regional development banks</w:t>
            </w:r>
          </w:p>
        </w:tc>
        <w:tc>
          <w:tcPr>
            <w:tcW w:w="1504" w:type="dxa"/>
            <w:hideMark/>
          </w:tcPr>
          <w:p w14:paraId="68769971" w14:textId="05396F2B"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color w:val="000000"/>
                <w:sz w:val="18"/>
                <w:szCs w:val="18"/>
                <w:lang w:val="en-GB"/>
              </w:rPr>
              <w:t> </w:t>
            </w:r>
          </w:p>
        </w:tc>
        <w:tc>
          <w:tcPr>
            <w:tcW w:w="1251" w:type="dxa"/>
            <w:hideMark/>
          </w:tcPr>
          <w:p w14:paraId="28E9659C" w14:textId="1935384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color w:val="000000"/>
                <w:sz w:val="18"/>
                <w:szCs w:val="18"/>
                <w:lang w:val="en-GB"/>
              </w:rPr>
              <w:t> </w:t>
            </w:r>
          </w:p>
        </w:tc>
        <w:tc>
          <w:tcPr>
            <w:tcW w:w="1251" w:type="dxa"/>
            <w:hideMark/>
          </w:tcPr>
          <w:p w14:paraId="1CEBD82F" w14:textId="45EA83C2"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2,992,500.00</w:t>
            </w:r>
          </w:p>
        </w:tc>
        <w:tc>
          <w:tcPr>
            <w:tcW w:w="1161" w:type="dxa"/>
            <w:hideMark/>
          </w:tcPr>
          <w:p w14:paraId="1ED133A1" w14:textId="752E2360"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341" w:type="dxa"/>
            <w:hideMark/>
          </w:tcPr>
          <w:p w14:paraId="5AB675F0" w14:textId="2EE2AFC3"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201,037,733.00</w:t>
            </w:r>
          </w:p>
        </w:tc>
        <w:tc>
          <w:tcPr>
            <w:tcW w:w="898" w:type="dxa"/>
            <w:hideMark/>
          </w:tcPr>
          <w:p w14:paraId="24D758D9" w14:textId="707B61B9"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976" w:type="dxa"/>
            <w:hideMark/>
          </w:tcPr>
          <w:p w14:paraId="74783C71" w14:textId="476D3369"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016" w:type="dxa"/>
            <w:hideMark/>
          </w:tcPr>
          <w:p w14:paraId="43B3C36C" w14:textId="73C05996"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53" w:type="dxa"/>
            <w:hideMark/>
          </w:tcPr>
          <w:p w14:paraId="625CD030" w14:textId="03DF287D"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798" w:type="dxa"/>
            <w:hideMark/>
          </w:tcPr>
          <w:p w14:paraId="1DABA5FE" w14:textId="43EB45C8"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r>
      <w:tr w:rsidR="001808DF" w:rsidRPr="001808DF" w14:paraId="32DD3096"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298308FD" w14:textId="77777777" w:rsidR="001808DF" w:rsidRPr="001808DF" w:rsidRDefault="001808DF" w:rsidP="001808DF">
            <w:pPr>
              <w:jc w:val="left"/>
              <w:rPr>
                <w:rFonts w:ascii="Times New Roman" w:hAnsi="Times New Roman"/>
                <w:color w:val="000000"/>
                <w:sz w:val="18"/>
                <w:szCs w:val="18"/>
              </w:rPr>
            </w:pPr>
            <w:r w:rsidRPr="001808DF">
              <w:rPr>
                <w:rFonts w:ascii="Times New Roman" w:hAnsi="Times New Roman"/>
                <w:color w:val="000000"/>
                <w:sz w:val="18"/>
                <w:szCs w:val="18"/>
              </w:rPr>
              <w:t xml:space="preserve">   Specialized United Nations bodies</w:t>
            </w:r>
          </w:p>
        </w:tc>
        <w:tc>
          <w:tcPr>
            <w:tcW w:w="1504" w:type="dxa"/>
            <w:hideMark/>
          </w:tcPr>
          <w:p w14:paraId="22FC88FC" w14:textId="55E32C8A"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251" w:type="dxa"/>
            <w:hideMark/>
          </w:tcPr>
          <w:p w14:paraId="4D1FF26E" w14:textId="6DD03BC5"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251" w:type="dxa"/>
            <w:hideMark/>
          </w:tcPr>
          <w:p w14:paraId="5DA4395B" w14:textId="4020757E"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161" w:type="dxa"/>
            <w:hideMark/>
          </w:tcPr>
          <w:p w14:paraId="00393845" w14:textId="451C5249"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341" w:type="dxa"/>
            <w:hideMark/>
          </w:tcPr>
          <w:p w14:paraId="2E306B3C" w14:textId="560B2D60"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98" w:type="dxa"/>
            <w:hideMark/>
          </w:tcPr>
          <w:p w14:paraId="128EB12C" w14:textId="6283ED2D"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976" w:type="dxa"/>
            <w:hideMark/>
          </w:tcPr>
          <w:p w14:paraId="072F94B8" w14:textId="6CA3AC5B"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016" w:type="dxa"/>
            <w:hideMark/>
          </w:tcPr>
          <w:p w14:paraId="4768FF01" w14:textId="5DBC275D"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53" w:type="dxa"/>
            <w:hideMark/>
          </w:tcPr>
          <w:p w14:paraId="220BB0FE" w14:textId="087D8CD3"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798" w:type="dxa"/>
            <w:hideMark/>
          </w:tcPr>
          <w:p w14:paraId="3591BBC4" w14:textId="60403763"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r>
      <w:tr w:rsidR="001808DF" w:rsidRPr="001808DF" w14:paraId="31D17DAB"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56" w:type="dxa"/>
            <w:hideMark/>
          </w:tcPr>
          <w:p w14:paraId="6A9DB0EC" w14:textId="77777777" w:rsidR="001808DF" w:rsidRPr="001808DF" w:rsidRDefault="001808DF" w:rsidP="001808DF">
            <w:pPr>
              <w:jc w:val="left"/>
              <w:rPr>
                <w:rFonts w:ascii="Times New Roman" w:hAnsi="Times New Roman"/>
                <w:i/>
                <w:iCs/>
                <w:color w:val="000000"/>
                <w:sz w:val="18"/>
                <w:szCs w:val="18"/>
                <w:lang w:val="en-GB"/>
              </w:rPr>
            </w:pPr>
            <w:r w:rsidRPr="001808DF">
              <w:rPr>
                <w:rFonts w:ascii="Times New Roman" w:hAnsi="Times New Roman"/>
                <w:i/>
                <w:iCs/>
                <w:color w:val="000000"/>
                <w:sz w:val="18"/>
                <w:szCs w:val="18"/>
                <w:lang w:val="en-GB"/>
              </w:rPr>
              <w:t>Total contributions through bilateral, regional and other channels</w:t>
            </w:r>
          </w:p>
        </w:tc>
        <w:tc>
          <w:tcPr>
            <w:tcW w:w="1504" w:type="dxa"/>
            <w:hideMark/>
          </w:tcPr>
          <w:p w14:paraId="3E99440C" w14:textId="1739EFFB"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color w:val="000000"/>
                <w:sz w:val="18"/>
                <w:szCs w:val="18"/>
                <w:lang w:val="en-GB"/>
              </w:rPr>
              <w:t> </w:t>
            </w:r>
          </w:p>
        </w:tc>
        <w:tc>
          <w:tcPr>
            <w:tcW w:w="1251" w:type="dxa"/>
            <w:hideMark/>
          </w:tcPr>
          <w:p w14:paraId="18D452EF" w14:textId="490027C3"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2,821,914,779.30</w:t>
            </w:r>
          </w:p>
        </w:tc>
        <w:tc>
          <w:tcPr>
            <w:tcW w:w="1251" w:type="dxa"/>
            <w:hideMark/>
          </w:tcPr>
          <w:p w14:paraId="247E54BF" w14:textId="3FBA25BC"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1,840,040,308.01</w:t>
            </w:r>
          </w:p>
        </w:tc>
        <w:tc>
          <w:tcPr>
            <w:tcW w:w="1161" w:type="dxa"/>
            <w:hideMark/>
          </w:tcPr>
          <w:p w14:paraId="1D85E686" w14:textId="229A1CC6"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108,177,150.00</w:t>
            </w:r>
          </w:p>
        </w:tc>
        <w:tc>
          <w:tcPr>
            <w:tcW w:w="1341" w:type="dxa"/>
            <w:hideMark/>
          </w:tcPr>
          <w:p w14:paraId="34E972EE" w14:textId="1E294E33"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sz w:val="18"/>
                <w:szCs w:val="18"/>
              </w:rPr>
              <w:t>210,000.00</w:t>
            </w:r>
          </w:p>
        </w:tc>
        <w:tc>
          <w:tcPr>
            <w:tcW w:w="898" w:type="dxa"/>
            <w:hideMark/>
          </w:tcPr>
          <w:p w14:paraId="7AEADC8A" w14:textId="57037CD5"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976" w:type="dxa"/>
            <w:hideMark/>
          </w:tcPr>
          <w:p w14:paraId="1F1B904C" w14:textId="0BE7149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016" w:type="dxa"/>
            <w:hideMark/>
          </w:tcPr>
          <w:p w14:paraId="7F7B7851" w14:textId="16098A7D"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53" w:type="dxa"/>
            <w:hideMark/>
          </w:tcPr>
          <w:p w14:paraId="3EC3AAEB" w14:textId="72329942"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798" w:type="dxa"/>
            <w:hideMark/>
          </w:tcPr>
          <w:p w14:paraId="7380DDFF" w14:textId="02451E66"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color w:val="000000"/>
                <w:sz w:val="18"/>
                <w:szCs w:val="18"/>
              </w:rPr>
              <w:t> </w:t>
            </w:r>
          </w:p>
        </w:tc>
      </w:tr>
      <w:tr w:rsidR="001808DF" w:rsidRPr="001808DF" w14:paraId="50FCC1A5"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4CCED0AD" w14:textId="77777777" w:rsidR="001808DF" w:rsidRPr="001808DF" w:rsidRDefault="001808DF" w:rsidP="001808DF">
            <w:pPr>
              <w:jc w:val="left"/>
              <w:rPr>
                <w:rFonts w:ascii="Times New Roman" w:hAnsi="Times New Roman"/>
                <w:color w:val="000000"/>
                <w:sz w:val="18"/>
                <w:szCs w:val="18"/>
              </w:rPr>
            </w:pPr>
            <w:r w:rsidRPr="001808DF">
              <w:rPr>
                <w:rFonts w:ascii="Times New Roman" w:hAnsi="Times New Roman"/>
                <w:color w:val="000000"/>
                <w:sz w:val="18"/>
                <w:szCs w:val="18"/>
              </w:rPr>
              <w:t>Total</w:t>
            </w:r>
          </w:p>
        </w:tc>
        <w:tc>
          <w:tcPr>
            <w:tcW w:w="1504" w:type="dxa"/>
            <w:hideMark/>
          </w:tcPr>
          <w:p w14:paraId="35286898" w14:textId="4BD97BB2"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251" w:type="dxa"/>
            <w:hideMark/>
          </w:tcPr>
          <w:p w14:paraId="6A4170B3" w14:textId="375DF9A4"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2,821,914,779.30</w:t>
            </w:r>
          </w:p>
        </w:tc>
        <w:tc>
          <w:tcPr>
            <w:tcW w:w="1251" w:type="dxa"/>
            <w:hideMark/>
          </w:tcPr>
          <w:p w14:paraId="6B8D68ED" w14:textId="26AEF27A"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1,847,372,808.01</w:t>
            </w:r>
          </w:p>
        </w:tc>
        <w:tc>
          <w:tcPr>
            <w:tcW w:w="1161" w:type="dxa"/>
            <w:hideMark/>
          </w:tcPr>
          <w:p w14:paraId="2AFF4D80" w14:textId="264142F0"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138,893,150.00</w:t>
            </w:r>
          </w:p>
        </w:tc>
        <w:tc>
          <w:tcPr>
            <w:tcW w:w="1341" w:type="dxa"/>
            <w:hideMark/>
          </w:tcPr>
          <w:p w14:paraId="1F4CF5A7" w14:textId="2AF85491"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sz w:val="18"/>
                <w:szCs w:val="18"/>
              </w:rPr>
              <w:t>288,929,733.00</w:t>
            </w:r>
          </w:p>
        </w:tc>
        <w:tc>
          <w:tcPr>
            <w:tcW w:w="898" w:type="dxa"/>
            <w:hideMark/>
          </w:tcPr>
          <w:p w14:paraId="6678CC73" w14:textId="577293F4"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976" w:type="dxa"/>
            <w:hideMark/>
          </w:tcPr>
          <w:p w14:paraId="43484E3D" w14:textId="3DD8328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1016" w:type="dxa"/>
            <w:hideMark/>
          </w:tcPr>
          <w:p w14:paraId="47EE5AAB" w14:textId="5A77E2E4"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853" w:type="dxa"/>
            <w:hideMark/>
          </w:tcPr>
          <w:p w14:paraId="1E192A2A" w14:textId="1F8DC39F"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c>
          <w:tcPr>
            <w:tcW w:w="798" w:type="dxa"/>
            <w:hideMark/>
          </w:tcPr>
          <w:p w14:paraId="46735125" w14:textId="50FD4C92"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color w:val="000000"/>
                <w:sz w:val="18"/>
                <w:szCs w:val="18"/>
              </w:rPr>
              <w:t> </w:t>
            </w:r>
          </w:p>
        </w:tc>
      </w:tr>
    </w:tbl>
    <w:p w14:paraId="44C57E2E" w14:textId="7FEAAF8D" w:rsidR="001808DF" w:rsidRDefault="001808DF">
      <w:pPr>
        <w:spacing w:line="240" w:lineRule="atLeast"/>
        <w:jc w:val="left"/>
        <w:rPr>
          <w:rFonts w:eastAsiaTheme="majorEastAsia" w:cstheme="majorBidi"/>
          <w:bCs/>
          <w:spacing w:val="-10"/>
          <w:kern w:val="28"/>
          <w:sz w:val="48"/>
          <w:szCs w:val="56"/>
        </w:rPr>
      </w:pPr>
    </w:p>
    <w:p w14:paraId="695DA06B" w14:textId="77777777" w:rsidR="001808DF" w:rsidRDefault="001808DF">
      <w:pPr>
        <w:spacing w:line="240" w:lineRule="atLeast"/>
        <w:jc w:val="left"/>
        <w:rPr>
          <w:rFonts w:eastAsiaTheme="majorEastAsia" w:cstheme="majorBidi"/>
          <w:bCs/>
          <w:spacing w:val="-10"/>
          <w:kern w:val="28"/>
          <w:sz w:val="48"/>
          <w:szCs w:val="56"/>
        </w:rPr>
      </w:pPr>
      <w:r>
        <w:rPr>
          <w:rFonts w:eastAsiaTheme="majorEastAsia" w:cstheme="majorBidi"/>
          <w:bCs/>
          <w:spacing w:val="-10"/>
          <w:kern w:val="28"/>
          <w:sz w:val="48"/>
          <w:szCs w:val="56"/>
        </w:rPr>
        <w:br w:type="page"/>
      </w:r>
    </w:p>
    <w:p w14:paraId="00C0CFA5" w14:textId="7D77E02B" w:rsidR="001808DF" w:rsidRDefault="001808DF" w:rsidP="001808DF">
      <w:pPr>
        <w:pStyle w:val="Caption"/>
      </w:pPr>
      <w:bookmarkStart w:id="314" w:name="_Toc123916674"/>
      <w:r>
        <w:t xml:space="preserve">Tableau </w:t>
      </w:r>
      <w:fldSimple w:instr=" SEQ Tableau \* ARABIC ">
        <w:r w:rsidR="00677B3C">
          <w:rPr>
            <w:noProof/>
          </w:rPr>
          <w:t>39</w:t>
        </w:r>
      </w:fldSimple>
      <w:r>
        <w:t> : Table CTF 7b - C</w:t>
      </w:r>
      <w:r w:rsidRPr="001808DF">
        <w:t>ontributions bilatérales, régionales et autres</w:t>
      </w:r>
      <w:r>
        <w:t xml:space="preserve"> en 2019</w:t>
      </w:r>
      <w:bookmarkEnd w:id="314"/>
    </w:p>
    <w:p w14:paraId="510EF95B" w14:textId="77777777" w:rsidR="001808DF" w:rsidRPr="001808DF" w:rsidRDefault="001808DF" w:rsidP="001808DF"/>
    <w:tbl>
      <w:tblPr>
        <w:tblStyle w:val="ListTable4-Accent1"/>
        <w:tblW w:w="12420" w:type="dxa"/>
        <w:tblLook w:val="04A0" w:firstRow="1" w:lastRow="0" w:firstColumn="1" w:lastColumn="0" w:noHBand="0" w:noVBand="1"/>
      </w:tblPr>
      <w:tblGrid>
        <w:gridCol w:w="2566"/>
        <w:gridCol w:w="1161"/>
        <w:gridCol w:w="897"/>
        <w:gridCol w:w="1026"/>
        <w:gridCol w:w="912"/>
        <w:gridCol w:w="1176"/>
        <w:gridCol w:w="1246"/>
        <w:gridCol w:w="1316"/>
        <w:gridCol w:w="2120"/>
      </w:tblGrid>
      <w:tr w:rsidR="001808DF" w:rsidRPr="001808DF" w14:paraId="797E591A" w14:textId="77777777" w:rsidTr="00927E59">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vMerge w:val="restart"/>
            <w:hideMark/>
          </w:tcPr>
          <w:p w14:paraId="78CC0804" w14:textId="77777777" w:rsidR="001808DF" w:rsidRPr="001808DF" w:rsidRDefault="001808DF" w:rsidP="001808DF">
            <w:pPr>
              <w:jc w:val="center"/>
              <w:rPr>
                <w:rFonts w:ascii="Times New Roman" w:hAnsi="Times New Roman"/>
                <w:i/>
                <w:iCs/>
                <w:color w:val="000000"/>
                <w:sz w:val="18"/>
                <w:szCs w:val="18"/>
                <w:lang w:val="en-GB"/>
              </w:rPr>
            </w:pPr>
            <w:r w:rsidRPr="001808DF">
              <w:rPr>
                <w:rFonts w:ascii="Times New Roman" w:hAnsi="Times New Roman"/>
                <w:i/>
                <w:iCs/>
                <w:color w:val="000000"/>
                <w:sz w:val="18"/>
                <w:szCs w:val="18"/>
                <w:lang w:val="en-GB"/>
              </w:rPr>
              <w:t>Recipient country/ region/project/programme</w:t>
            </w:r>
            <w:r w:rsidRPr="001808DF">
              <w:rPr>
                <w:rFonts w:ascii="Times New Roman" w:hAnsi="Times New Roman"/>
                <w:i/>
                <w:iCs/>
                <w:color w:val="000000"/>
                <w:sz w:val="18"/>
                <w:szCs w:val="18"/>
                <w:vertAlign w:val="superscript"/>
                <w:lang w:val="en-GB"/>
              </w:rPr>
              <w:t>b</w:t>
            </w:r>
          </w:p>
        </w:tc>
        <w:tc>
          <w:tcPr>
            <w:tcW w:w="1934" w:type="dxa"/>
            <w:gridSpan w:val="2"/>
            <w:noWrap/>
            <w:hideMark/>
          </w:tcPr>
          <w:p w14:paraId="465C6C9A"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Total amount</w:t>
            </w:r>
          </w:p>
        </w:tc>
        <w:tc>
          <w:tcPr>
            <w:tcW w:w="950" w:type="dxa"/>
            <w:vMerge w:val="restart"/>
            <w:hideMark/>
          </w:tcPr>
          <w:p w14:paraId="62BF2031"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Status</w:t>
            </w:r>
            <w:r w:rsidRPr="001808DF">
              <w:rPr>
                <w:rFonts w:ascii="Times New Roman" w:hAnsi="Times New Roman"/>
                <w:i/>
                <w:iCs/>
                <w:color w:val="000000"/>
                <w:sz w:val="18"/>
                <w:szCs w:val="18"/>
                <w:vertAlign w:val="superscript"/>
              </w:rPr>
              <w:t>c, 3</w:t>
            </w:r>
          </w:p>
        </w:tc>
        <w:tc>
          <w:tcPr>
            <w:tcW w:w="935" w:type="dxa"/>
            <w:vMerge w:val="restart"/>
            <w:hideMark/>
          </w:tcPr>
          <w:p w14:paraId="5942E63E"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Funding source</w:t>
            </w:r>
            <w:r w:rsidRPr="001808DF">
              <w:rPr>
                <w:rFonts w:ascii="Times New Roman" w:hAnsi="Times New Roman"/>
                <w:i/>
                <w:iCs/>
                <w:color w:val="000000"/>
                <w:sz w:val="18"/>
                <w:szCs w:val="18"/>
                <w:vertAlign w:val="superscript"/>
              </w:rPr>
              <w:t>g, 4</w:t>
            </w:r>
          </w:p>
        </w:tc>
        <w:tc>
          <w:tcPr>
            <w:tcW w:w="1073" w:type="dxa"/>
            <w:vMerge w:val="restart"/>
            <w:hideMark/>
          </w:tcPr>
          <w:p w14:paraId="7687CEAF"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Financial instrument</w:t>
            </w:r>
            <w:r w:rsidRPr="001808DF">
              <w:rPr>
                <w:rFonts w:ascii="Times New Roman" w:hAnsi="Times New Roman"/>
                <w:i/>
                <w:iCs/>
                <w:color w:val="000000"/>
                <w:sz w:val="18"/>
                <w:szCs w:val="18"/>
                <w:vertAlign w:val="superscript"/>
              </w:rPr>
              <w:t>g, 5</w:t>
            </w:r>
          </w:p>
        </w:tc>
        <w:tc>
          <w:tcPr>
            <w:tcW w:w="1060" w:type="dxa"/>
            <w:vMerge w:val="restart"/>
            <w:hideMark/>
          </w:tcPr>
          <w:p w14:paraId="5310FA92"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Type of support</w:t>
            </w:r>
            <w:r w:rsidRPr="001808DF">
              <w:rPr>
                <w:rFonts w:ascii="Times New Roman" w:hAnsi="Times New Roman"/>
                <w:i/>
                <w:iCs/>
                <w:color w:val="000000"/>
                <w:sz w:val="18"/>
                <w:szCs w:val="18"/>
                <w:vertAlign w:val="superscript"/>
              </w:rPr>
              <w:t>g, h, 6</w:t>
            </w:r>
          </w:p>
        </w:tc>
        <w:tc>
          <w:tcPr>
            <w:tcW w:w="1130" w:type="dxa"/>
            <w:vMerge w:val="restart"/>
            <w:noWrap/>
            <w:hideMark/>
          </w:tcPr>
          <w:p w14:paraId="4D699B90"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Sector</w:t>
            </w:r>
            <w:r w:rsidRPr="001808DF">
              <w:rPr>
                <w:rFonts w:ascii="Times New Roman" w:hAnsi="Times New Roman"/>
                <w:i/>
                <w:iCs/>
                <w:color w:val="000000"/>
                <w:sz w:val="18"/>
                <w:szCs w:val="18"/>
                <w:vertAlign w:val="superscript"/>
              </w:rPr>
              <w:t>d, g, 7</w:t>
            </w:r>
          </w:p>
        </w:tc>
        <w:tc>
          <w:tcPr>
            <w:tcW w:w="2601" w:type="dxa"/>
            <w:vMerge w:val="restart"/>
            <w:hideMark/>
          </w:tcPr>
          <w:p w14:paraId="6781CC0F"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Additional information</w:t>
            </w:r>
            <w:r w:rsidRPr="001808DF">
              <w:rPr>
                <w:rFonts w:ascii="Times New Roman" w:hAnsi="Times New Roman"/>
                <w:i/>
                <w:iCs/>
                <w:color w:val="000000"/>
                <w:sz w:val="18"/>
                <w:szCs w:val="18"/>
                <w:vertAlign w:val="superscript"/>
              </w:rPr>
              <w:t>e</w:t>
            </w:r>
          </w:p>
        </w:tc>
      </w:tr>
      <w:tr w:rsidR="001808DF" w:rsidRPr="001808DF" w14:paraId="0E6F1B7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vMerge/>
            <w:hideMark/>
          </w:tcPr>
          <w:p w14:paraId="7F2D2BBC" w14:textId="77777777" w:rsidR="001808DF" w:rsidRPr="001808DF" w:rsidRDefault="001808DF" w:rsidP="001808DF">
            <w:pPr>
              <w:jc w:val="left"/>
              <w:rPr>
                <w:rFonts w:ascii="Times New Roman" w:hAnsi="Times New Roman"/>
                <w:i/>
                <w:iCs/>
                <w:color w:val="000000"/>
                <w:sz w:val="18"/>
                <w:szCs w:val="18"/>
              </w:rPr>
            </w:pPr>
          </w:p>
        </w:tc>
        <w:tc>
          <w:tcPr>
            <w:tcW w:w="1934" w:type="dxa"/>
            <w:gridSpan w:val="2"/>
            <w:hideMark/>
          </w:tcPr>
          <w:p w14:paraId="02F3BDB7"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Climate-specific</w:t>
            </w:r>
            <w:r w:rsidRPr="001808DF">
              <w:rPr>
                <w:rFonts w:ascii="Times New Roman" w:hAnsi="Times New Roman"/>
                <w:i/>
                <w:iCs/>
                <w:color w:val="000000"/>
                <w:sz w:val="18"/>
                <w:szCs w:val="18"/>
                <w:vertAlign w:val="superscript"/>
              </w:rPr>
              <w:t>f, 2</w:t>
            </w:r>
          </w:p>
        </w:tc>
        <w:tc>
          <w:tcPr>
            <w:tcW w:w="950" w:type="dxa"/>
            <w:vMerge/>
            <w:hideMark/>
          </w:tcPr>
          <w:p w14:paraId="5BC1D70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35" w:type="dxa"/>
            <w:vMerge/>
            <w:hideMark/>
          </w:tcPr>
          <w:p w14:paraId="3663985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073" w:type="dxa"/>
            <w:vMerge/>
            <w:hideMark/>
          </w:tcPr>
          <w:p w14:paraId="25D910B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060" w:type="dxa"/>
            <w:vMerge/>
            <w:hideMark/>
          </w:tcPr>
          <w:p w14:paraId="1361EEC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130" w:type="dxa"/>
            <w:vMerge/>
            <w:hideMark/>
          </w:tcPr>
          <w:p w14:paraId="2F13178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2601" w:type="dxa"/>
            <w:vMerge/>
            <w:hideMark/>
          </w:tcPr>
          <w:p w14:paraId="0A7A3C7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r>
      <w:tr w:rsidR="001808DF" w:rsidRPr="001808DF" w14:paraId="5E2BA74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vMerge/>
            <w:hideMark/>
          </w:tcPr>
          <w:p w14:paraId="577E7E53" w14:textId="77777777" w:rsidR="001808DF" w:rsidRPr="001808DF" w:rsidRDefault="001808DF" w:rsidP="001808DF">
            <w:pPr>
              <w:jc w:val="left"/>
              <w:rPr>
                <w:rFonts w:ascii="Times New Roman" w:hAnsi="Times New Roman"/>
                <w:i/>
                <w:iCs/>
                <w:color w:val="000000"/>
                <w:sz w:val="18"/>
                <w:szCs w:val="18"/>
              </w:rPr>
            </w:pPr>
          </w:p>
        </w:tc>
        <w:tc>
          <w:tcPr>
            <w:tcW w:w="975" w:type="dxa"/>
            <w:hideMark/>
          </w:tcPr>
          <w:p w14:paraId="2AC10FEB"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European euro - EUR</w:t>
            </w:r>
          </w:p>
        </w:tc>
        <w:tc>
          <w:tcPr>
            <w:tcW w:w="959" w:type="dxa"/>
            <w:hideMark/>
          </w:tcPr>
          <w:p w14:paraId="4B8C7513"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USD</w:t>
            </w:r>
          </w:p>
        </w:tc>
        <w:tc>
          <w:tcPr>
            <w:tcW w:w="950" w:type="dxa"/>
            <w:vMerge/>
            <w:hideMark/>
          </w:tcPr>
          <w:p w14:paraId="6674376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935" w:type="dxa"/>
            <w:vMerge/>
            <w:hideMark/>
          </w:tcPr>
          <w:p w14:paraId="137EAB5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073" w:type="dxa"/>
            <w:vMerge/>
            <w:hideMark/>
          </w:tcPr>
          <w:p w14:paraId="7D80B7B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060" w:type="dxa"/>
            <w:vMerge/>
            <w:hideMark/>
          </w:tcPr>
          <w:p w14:paraId="4E14083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130" w:type="dxa"/>
            <w:vMerge/>
            <w:hideMark/>
          </w:tcPr>
          <w:p w14:paraId="718D37F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2601" w:type="dxa"/>
            <w:vMerge/>
            <w:hideMark/>
          </w:tcPr>
          <w:p w14:paraId="51A9123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r>
      <w:tr w:rsidR="001808DF" w:rsidRPr="001808DF" w14:paraId="7E815B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BBC776D" w14:textId="77777777" w:rsidR="001808DF" w:rsidRPr="001808DF" w:rsidRDefault="001808DF" w:rsidP="001808DF">
            <w:pPr>
              <w:jc w:val="left"/>
              <w:rPr>
                <w:rFonts w:ascii="Times New Roman" w:hAnsi="Times New Roman"/>
                <w:color w:val="000000"/>
                <w:sz w:val="18"/>
                <w:szCs w:val="18"/>
                <w:lang w:val="en-GB"/>
              </w:rPr>
            </w:pPr>
            <w:r w:rsidRPr="001808DF">
              <w:rPr>
                <w:rFonts w:ascii="Times New Roman" w:hAnsi="Times New Roman"/>
                <w:sz w:val="18"/>
                <w:szCs w:val="18"/>
                <w:lang w:val="en-GB"/>
              </w:rPr>
              <w:t>Total contributions through bilateral, regional and other channels</w:t>
            </w:r>
          </w:p>
        </w:tc>
        <w:tc>
          <w:tcPr>
            <w:tcW w:w="975" w:type="dxa"/>
            <w:hideMark/>
          </w:tcPr>
          <w:p w14:paraId="183E726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5,551,652.60</w:t>
            </w:r>
          </w:p>
        </w:tc>
        <w:tc>
          <w:tcPr>
            <w:tcW w:w="959" w:type="dxa"/>
            <w:hideMark/>
          </w:tcPr>
          <w:p w14:paraId="2EB6CEA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622A7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35" w:type="dxa"/>
            <w:hideMark/>
          </w:tcPr>
          <w:p w14:paraId="6A76054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1073" w:type="dxa"/>
            <w:hideMark/>
          </w:tcPr>
          <w:p w14:paraId="4CB5714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1060" w:type="dxa"/>
            <w:hideMark/>
          </w:tcPr>
          <w:p w14:paraId="67C672C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1130" w:type="dxa"/>
            <w:hideMark/>
          </w:tcPr>
          <w:p w14:paraId="432DFD8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2601" w:type="dxa"/>
            <w:hideMark/>
          </w:tcPr>
          <w:p w14:paraId="5665127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r>
      <w:tr w:rsidR="001808DF" w:rsidRPr="001808DF" w14:paraId="2CE6A94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39D77C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Regeneration of city centres, including energy efficiency</w:t>
            </w:r>
          </w:p>
        </w:tc>
        <w:tc>
          <w:tcPr>
            <w:tcW w:w="975" w:type="dxa"/>
            <w:hideMark/>
          </w:tcPr>
          <w:p w14:paraId="0B081D6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63,169.20</w:t>
            </w:r>
          </w:p>
        </w:tc>
        <w:tc>
          <w:tcPr>
            <w:tcW w:w="959" w:type="dxa"/>
            <w:hideMark/>
          </w:tcPr>
          <w:p w14:paraId="515DB12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2629EE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C76ED6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97EF21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61B576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1F57AA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216EA61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63875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F807D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Angola / Improving resilience of the agricultural sector</w:t>
            </w:r>
          </w:p>
        </w:tc>
        <w:tc>
          <w:tcPr>
            <w:tcW w:w="975" w:type="dxa"/>
            <w:hideMark/>
          </w:tcPr>
          <w:p w14:paraId="7151AC2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38,073.00</w:t>
            </w:r>
          </w:p>
        </w:tc>
        <w:tc>
          <w:tcPr>
            <w:tcW w:w="959" w:type="dxa"/>
            <w:hideMark/>
          </w:tcPr>
          <w:p w14:paraId="6546475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42B68C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05ED55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12C001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00B574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E1F32C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DEADD4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F67E57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F0118A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Benin / "Reinventing Ganvié" - promotion of sustainable tourism for the development of the city of Ganvié</w:t>
            </w:r>
          </w:p>
        </w:tc>
        <w:tc>
          <w:tcPr>
            <w:tcW w:w="975" w:type="dxa"/>
            <w:hideMark/>
          </w:tcPr>
          <w:p w14:paraId="381C88E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10,005.00</w:t>
            </w:r>
          </w:p>
        </w:tc>
        <w:tc>
          <w:tcPr>
            <w:tcW w:w="959" w:type="dxa"/>
            <w:hideMark/>
          </w:tcPr>
          <w:p w14:paraId="39BBE60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874363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D4FD0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A02F69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EBA093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2007C7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27B2BF7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3D1EB9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FDBBB2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Benin / "Reinventing Ganvié" - promotion of sustainable tourism for the development of the city of Ganvié</w:t>
            </w:r>
          </w:p>
        </w:tc>
        <w:tc>
          <w:tcPr>
            <w:tcW w:w="975" w:type="dxa"/>
            <w:hideMark/>
          </w:tcPr>
          <w:p w14:paraId="4BA7EA1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1,015.00</w:t>
            </w:r>
          </w:p>
        </w:tc>
        <w:tc>
          <w:tcPr>
            <w:tcW w:w="959" w:type="dxa"/>
            <w:hideMark/>
          </w:tcPr>
          <w:p w14:paraId="03CB3D4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6FBBCD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288665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5CAD01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09E4DA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415380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7D13989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E923E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746E65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Benin / Sanitation of a river basin in Cotonou</w:t>
            </w:r>
          </w:p>
        </w:tc>
        <w:tc>
          <w:tcPr>
            <w:tcW w:w="975" w:type="dxa"/>
            <w:hideMark/>
          </w:tcPr>
          <w:p w14:paraId="55FEF77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w:t>
            </w:r>
          </w:p>
        </w:tc>
        <w:tc>
          <w:tcPr>
            <w:tcW w:w="959" w:type="dxa"/>
            <w:hideMark/>
          </w:tcPr>
          <w:p w14:paraId="316846A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86A63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47378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CEB2E0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55237E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E38A0C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D7D64D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B846E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72EAB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Benin / Supporting the transition to agroecology in the cotton sector</w:t>
            </w:r>
          </w:p>
        </w:tc>
        <w:tc>
          <w:tcPr>
            <w:tcW w:w="975" w:type="dxa"/>
            <w:hideMark/>
          </w:tcPr>
          <w:p w14:paraId="72A4458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w:t>
            </w:r>
          </w:p>
        </w:tc>
        <w:tc>
          <w:tcPr>
            <w:tcW w:w="959" w:type="dxa"/>
            <w:hideMark/>
          </w:tcPr>
          <w:p w14:paraId="230B2E7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F028BE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FBD32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83C755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26F8DF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CA6D98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7F420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0ED641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27D087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Yeleen projet: building solar power plants and rural electrification</w:t>
            </w:r>
          </w:p>
        </w:tc>
        <w:tc>
          <w:tcPr>
            <w:tcW w:w="975" w:type="dxa"/>
            <w:hideMark/>
          </w:tcPr>
          <w:p w14:paraId="21BB5B1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w:t>
            </w:r>
          </w:p>
        </w:tc>
        <w:tc>
          <w:tcPr>
            <w:tcW w:w="959" w:type="dxa"/>
            <w:hideMark/>
          </w:tcPr>
          <w:p w14:paraId="2BA20CE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2D585F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481D1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34AAFB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342D2E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5A2755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47D2B2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BD4EA9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E268A6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Yeleen projet: building solar power plants and rural electrification</w:t>
            </w:r>
          </w:p>
        </w:tc>
        <w:tc>
          <w:tcPr>
            <w:tcW w:w="975" w:type="dxa"/>
            <w:hideMark/>
          </w:tcPr>
          <w:p w14:paraId="47991B9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57C3445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921C66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FC6110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C86F8E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1078FD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A25B70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3EB101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A43FB1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238917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Ohango project - improve water and sanitation through a market-based approach</w:t>
            </w:r>
          </w:p>
        </w:tc>
        <w:tc>
          <w:tcPr>
            <w:tcW w:w="975" w:type="dxa"/>
            <w:hideMark/>
          </w:tcPr>
          <w:p w14:paraId="0F30C68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2,460.00</w:t>
            </w:r>
          </w:p>
        </w:tc>
        <w:tc>
          <w:tcPr>
            <w:tcW w:w="959" w:type="dxa"/>
            <w:hideMark/>
          </w:tcPr>
          <w:p w14:paraId="5D3C725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2FB833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5E6C33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0DC82E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695C06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A0371D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133C61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4BE6A0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D0354F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Improve access to water and sanitation in 32 communities</w:t>
            </w:r>
          </w:p>
        </w:tc>
        <w:tc>
          <w:tcPr>
            <w:tcW w:w="975" w:type="dxa"/>
            <w:hideMark/>
          </w:tcPr>
          <w:p w14:paraId="63DEE62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3,350.00</w:t>
            </w:r>
          </w:p>
        </w:tc>
        <w:tc>
          <w:tcPr>
            <w:tcW w:w="959" w:type="dxa"/>
            <w:hideMark/>
          </w:tcPr>
          <w:p w14:paraId="7930A4B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A2BB09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92235A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070DBE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4B0E20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0DC91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8C766C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A513D3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F6A64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Supporting sustainable waste management</w:t>
            </w:r>
          </w:p>
        </w:tc>
        <w:tc>
          <w:tcPr>
            <w:tcW w:w="975" w:type="dxa"/>
            <w:hideMark/>
          </w:tcPr>
          <w:p w14:paraId="0C559E7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510.00</w:t>
            </w:r>
          </w:p>
        </w:tc>
        <w:tc>
          <w:tcPr>
            <w:tcW w:w="959" w:type="dxa"/>
            <w:hideMark/>
          </w:tcPr>
          <w:p w14:paraId="4BAC858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48A9D0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4B5DB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FB2707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B90D96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EF0EDE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BE48F1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46759C3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A6501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Cameroon / Supporting sustainable waste management</w:t>
            </w:r>
          </w:p>
        </w:tc>
        <w:tc>
          <w:tcPr>
            <w:tcW w:w="975" w:type="dxa"/>
            <w:hideMark/>
          </w:tcPr>
          <w:p w14:paraId="3C5BEF9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225.00</w:t>
            </w:r>
          </w:p>
        </w:tc>
        <w:tc>
          <w:tcPr>
            <w:tcW w:w="959" w:type="dxa"/>
            <w:hideMark/>
          </w:tcPr>
          <w:p w14:paraId="2E02DD7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EF6791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08F576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619805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B5D1C4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E1218F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5753D74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619B559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8F62439" w14:textId="77777777" w:rsidR="001808DF" w:rsidRPr="001808DF" w:rsidRDefault="001808DF" w:rsidP="001808DF">
            <w:pPr>
              <w:ind w:firstLineChars="100" w:firstLine="181"/>
              <w:jc w:val="left"/>
              <w:rPr>
                <w:rFonts w:ascii="Times New Roman" w:hAnsi="Times New Roman"/>
                <w:color w:val="000000"/>
                <w:sz w:val="18"/>
                <w:szCs w:val="18"/>
                <w:lang w:val="en-GB"/>
              </w:rPr>
            </w:pPr>
            <w:bookmarkStart w:id="315" w:name="RANGE!A20"/>
            <w:r w:rsidRPr="001808DF">
              <w:rPr>
                <w:rFonts w:ascii="Times New Roman" w:hAnsi="Times New Roman"/>
                <w:sz w:val="18"/>
                <w:szCs w:val="18"/>
                <w:lang w:val="en-GB"/>
              </w:rPr>
              <w:t>Central African Republic / Renovation works for Baoli hydroelectric power plant</w:t>
            </w:r>
            <w:bookmarkEnd w:id="315"/>
          </w:p>
        </w:tc>
        <w:tc>
          <w:tcPr>
            <w:tcW w:w="975" w:type="dxa"/>
            <w:hideMark/>
          </w:tcPr>
          <w:p w14:paraId="05D8746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w:t>
            </w:r>
          </w:p>
        </w:tc>
        <w:tc>
          <w:tcPr>
            <w:tcW w:w="959" w:type="dxa"/>
            <w:hideMark/>
          </w:tcPr>
          <w:p w14:paraId="5BF74BA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91DCEC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793BB2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980C7B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C79FE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F2F456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3871E1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C5738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F2F62E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Central African Republic / Promoting local initiatives for sustainable flood management</w:t>
            </w:r>
          </w:p>
        </w:tc>
        <w:tc>
          <w:tcPr>
            <w:tcW w:w="975" w:type="dxa"/>
            <w:hideMark/>
          </w:tcPr>
          <w:p w14:paraId="77F180E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06EBAB2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11299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F766C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D2611B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881FBA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DA050F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5A500ED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EE08D6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1AEA5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Central African Republic / Local development taking into account adaptation issues in North-West of Central African Republic</w:t>
            </w:r>
          </w:p>
        </w:tc>
        <w:tc>
          <w:tcPr>
            <w:tcW w:w="975" w:type="dxa"/>
            <w:hideMark/>
          </w:tcPr>
          <w:p w14:paraId="289D8E5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4,950.00</w:t>
            </w:r>
          </w:p>
        </w:tc>
        <w:tc>
          <w:tcPr>
            <w:tcW w:w="959" w:type="dxa"/>
            <w:hideMark/>
          </w:tcPr>
          <w:p w14:paraId="3F6A349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87032E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35EEFD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C24C07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8F92EA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A7FEC8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8A1B66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C2ADB3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9E64F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Comoros / Support to rural export food chains</w:t>
            </w:r>
          </w:p>
        </w:tc>
        <w:tc>
          <w:tcPr>
            <w:tcW w:w="975" w:type="dxa"/>
            <w:hideMark/>
          </w:tcPr>
          <w:p w14:paraId="5295286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w:t>
            </w:r>
          </w:p>
        </w:tc>
        <w:tc>
          <w:tcPr>
            <w:tcW w:w="959" w:type="dxa"/>
            <w:hideMark/>
          </w:tcPr>
          <w:p w14:paraId="3F3B15B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8BCC65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D123F5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015B65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C01F6F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26CFC4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A17552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57155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2988B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Comoros / Support to rural export food chains</w:t>
            </w:r>
          </w:p>
        </w:tc>
        <w:tc>
          <w:tcPr>
            <w:tcW w:w="975" w:type="dxa"/>
            <w:hideMark/>
          </w:tcPr>
          <w:p w14:paraId="0B6F320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w:t>
            </w:r>
          </w:p>
        </w:tc>
        <w:tc>
          <w:tcPr>
            <w:tcW w:w="959" w:type="dxa"/>
            <w:hideMark/>
          </w:tcPr>
          <w:p w14:paraId="43DFAE1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727210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32B77A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59A987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6D8C42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4EB119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90DE75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1E450D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7E2D44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Comoros / Supporting the setting up of a broad healthcare system</w:t>
            </w:r>
          </w:p>
        </w:tc>
        <w:tc>
          <w:tcPr>
            <w:tcW w:w="975" w:type="dxa"/>
            <w:hideMark/>
          </w:tcPr>
          <w:p w14:paraId="63F7599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w:t>
            </w:r>
          </w:p>
        </w:tc>
        <w:tc>
          <w:tcPr>
            <w:tcW w:w="959" w:type="dxa"/>
            <w:hideMark/>
          </w:tcPr>
          <w:p w14:paraId="233440C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6A707F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0E93C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EB4E76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D1E286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9016E1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56E8F3F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BD5CB5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FE9A47"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 xml:space="preserve">Comoros / Strenghtening community health </w:t>
            </w:r>
          </w:p>
        </w:tc>
        <w:tc>
          <w:tcPr>
            <w:tcW w:w="975" w:type="dxa"/>
            <w:hideMark/>
          </w:tcPr>
          <w:p w14:paraId="387182E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w:t>
            </w:r>
          </w:p>
        </w:tc>
        <w:tc>
          <w:tcPr>
            <w:tcW w:w="959" w:type="dxa"/>
            <w:hideMark/>
          </w:tcPr>
          <w:p w14:paraId="75B72A4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EDE1AF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9BD7E0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598958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9AD44D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737D6F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43F4F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B815B5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E6361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Comoros / Sustainable production of ylang-ylang essential oil, by increasing energy efficiency of the production processes</w:t>
            </w:r>
          </w:p>
        </w:tc>
        <w:tc>
          <w:tcPr>
            <w:tcW w:w="975" w:type="dxa"/>
            <w:hideMark/>
          </w:tcPr>
          <w:p w14:paraId="51B63C1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288.00</w:t>
            </w:r>
          </w:p>
        </w:tc>
        <w:tc>
          <w:tcPr>
            <w:tcW w:w="959" w:type="dxa"/>
            <w:hideMark/>
          </w:tcPr>
          <w:p w14:paraId="572C247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38072A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1BA4C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30A25D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75A260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87206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98196C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254DC42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9990F6"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Côte D'ivoire / Biomass power plant</w:t>
            </w:r>
          </w:p>
        </w:tc>
        <w:tc>
          <w:tcPr>
            <w:tcW w:w="975" w:type="dxa"/>
            <w:hideMark/>
          </w:tcPr>
          <w:p w14:paraId="2A5B195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135,000.00</w:t>
            </w:r>
          </w:p>
        </w:tc>
        <w:tc>
          <w:tcPr>
            <w:tcW w:w="959" w:type="dxa"/>
            <w:hideMark/>
          </w:tcPr>
          <w:p w14:paraId="03E7EEB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3BD4FE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0AF029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5036B8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F4183A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F651E9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7553A78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4BAA1F8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69C56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Côte D'ivoire / Resilient buildings for the marketplaces of Bouake and Yopongon</w:t>
            </w:r>
          </w:p>
        </w:tc>
        <w:tc>
          <w:tcPr>
            <w:tcW w:w="975" w:type="dxa"/>
            <w:hideMark/>
          </w:tcPr>
          <w:p w14:paraId="7BC61E8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15,300.00</w:t>
            </w:r>
          </w:p>
        </w:tc>
        <w:tc>
          <w:tcPr>
            <w:tcW w:w="959" w:type="dxa"/>
            <w:hideMark/>
          </w:tcPr>
          <w:p w14:paraId="7A8F4B9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6547CA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23F22E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B2AEB0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886859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BBEDD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643E78B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A87CB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88790F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Côte D'ivoire / Rehabilitation of the road between Bouaké and Ferkessédougou </w:t>
            </w:r>
          </w:p>
        </w:tc>
        <w:tc>
          <w:tcPr>
            <w:tcW w:w="975" w:type="dxa"/>
            <w:hideMark/>
          </w:tcPr>
          <w:p w14:paraId="63D0822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33,000.00</w:t>
            </w:r>
          </w:p>
        </w:tc>
        <w:tc>
          <w:tcPr>
            <w:tcW w:w="959" w:type="dxa"/>
            <w:hideMark/>
          </w:tcPr>
          <w:p w14:paraId="511D339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851B8A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2265F8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52B64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CC0633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BABBA1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660F78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306E31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6A2C53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Côte D'ivoire / Innovative monitoring of rainfall</w:t>
            </w:r>
          </w:p>
        </w:tc>
        <w:tc>
          <w:tcPr>
            <w:tcW w:w="975" w:type="dxa"/>
            <w:hideMark/>
          </w:tcPr>
          <w:p w14:paraId="6D7513D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28,000.00</w:t>
            </w:r>
          </w:p>
        </w:tc>
        <w:tc>
          <w:tcPr>
            <w:tcW w:w="959" w:type="dxa"/>
            <w:hideMark/>
          </w:tcPr>
          <w:p w14:paraId="3F86194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684CFC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023B8F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57CCED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0184E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F7DBE7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25FFD7C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A66F30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438AE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Côte D'ivoire / ACE Impact: high-level education in relation to mitigation, climate risk management and agroecology</w:t>
            </w:r>
          </w:p>
        </w:tc>
        <w:tc>
          <w:tcPr>
            <w:tcW w:w="975" w:type="dxa"/>
            <w:hideMark/>
          </w:tcPr>
          <w:p w14:paraId="2C33AE2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6,171.00</w:t>
            </w:r>
          </w:p>
        </w:tc>
        <w:tc>
          <w:tcPr>
            <w:tcW w:w="959" w:type="dxa"/>
            <w:hideMark/>
          </w:tcPr>
          <w:p w14:paraId="55AE0FB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19F07F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D00CEE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30DE3F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6EF13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CD5C69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502FF21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4AEDD0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8761B6"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 xml:space="preserve">Côte D'ivoire / Access to solar energy </w:t>
            </w:r>
          </w:p>
        </w:tc>
        <w:tc>
          <w:tcPr>
            <w:tcW w:w="975" w:type="dxa"/>
            <w:hideMark/>
          </w:tcPr>
          <w:p w14:paraId="76BC661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98,000.00</w:t>
            </w:r>
          </w:p>
        </w:tc>
        <w:tc>
          <w:tcPr>
            <w:tcW w:w="959" w:type="dxa"/>
            <w:hideMark/>
          </w:tcPr>
          <w:p w14:paraId="34A5A4E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1B3E0E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CC7AD1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34968B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243D27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EEE9EE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3523B0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AABD60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362F1F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Côte D'ivoire / Urban mobility in Abidjan</w:t>
            </w:r>
          </w:p>
        </w:tc>
        <w:tc>
          <w:tcPr>
            <w:tcW w:w="975" w:type="dxa"/>
            <w:hideMark/>
          </w:tcPr>
          <w:p w14:paraId="65E9A46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77,400.00</w:t>
            </w:r>
          </w:p>
        </w:tc>
        <w:tc>
          <w:tcPr>
            <w:tcW w:w="959" w:type="dxa"/>
            <w:hideMark/>
          </w:tcPr>
          <w:p w14:paraId="4F5550D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70C57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F763CF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60E86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65499F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6A287B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443E721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AF13F0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3F16E0"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Côte D'ivoire / Biomass power plant</w:t>
            </w:r>
          </w:p>
        </w:tc>
        <w:tc>
          <w:tcPr>
            <w:tcW w:w="975" w:type="dxa"/>
            <w:hideMark/>
          </w:tcPr>
          <w:p w14:paraId="185D4FA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4EC600C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D17B7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E16C8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00D74C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F45A1D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D5E09F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1BB0712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4067165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40BDE4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Djibouti / Extending the sanitation network in Djibouti</w:t>
            </w:r>
          </w:p>
        </w:tc>
        <w:tc>
          <w:tcPr>
            <w:tcW w:w="975" w:type="dxa"/>
            <w:hideMark/>
          </w:tcPr>
          <w:p w14:paraId="065B823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7,370.00</w:t>
            </w:r>
          </w:p>
        </w:tc>
        <w:tc>
          <w:tcPr>
            <w:tcW w:w="959" w:type="dxa"/>
            <w:hideMark/>
          </w:tcPr>
          <w:p w14:paraId="7F9E6C6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BB102F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0CB478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18497E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6C4752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9CF12C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8109D1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DEBD59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D07D5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Djibouti / Integrated urban development in Balbala</w:t>
            </w:r>
          </w:p>
        </w:tc>
        <w:tc>
          <w:tcPr>
            <w:tcW w:w="975" w:type="dxa"/>
            <w:hideMark/>
          </w:tcPr>
          <w:p w14:paraId="526550D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210.00</w:t>
            </w:r>
          </w:p>
        </w:tc>
        <w:tc>
          <w:tcPr>
            <w:tcW w:w="959" w:type="dxa"/>
            <w:hideMark/>
          </w:tcPr>
          <w:p w14:paraId="13DC1B7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E1623E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26D45C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51B389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057BDE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11CD2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29BFCB6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1A4F8B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6CBB4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Egypt / Financial intermediation to support climate finance</w:t>
            </w:r>
          </w:p>
        </w:tc>
        <w:tc>
          <w:tcPr>
            <w:tcW w:w="975" w:type="dxa"/>
            <w:hideMark/>
          </w:tcPr>
          <w:p w14:paraId="355A1F1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72,000.00</w:t>
            </w:r>
          </w:p>
        </w:tc>
        <w:tc>
          <w:tcPr>
            <w:tcW w:w="959" w:type="dxa"/>
            <w:hideMark/>
          </w:tcPr>
          <w:p w14:paraId="5D68607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849B9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F632DC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ADF1DE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C8B0A2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D1033F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01A7138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4E4E9A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0E7243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Egypt / Financial intermediation to support climate finance</w:t>
            </w:r>
          </w:p>
        </w:tc>
        <w:tc>
          <w:tcPr>
            <w:tcW w:w="975" w:type="dxa"/>
            <w:hideMark/>
          </w:tcPr>
          <w:p w14:paraId="2E64D76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6DA8B3A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C0090A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CB93DE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9881FB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63622D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5E3B77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4C02723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2D685B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CE533B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Egypt / Supporting the development of public policies related to the energy sector</w:t>
            </w:r>
          </w:p>
        </w:tc>
        <w:tc>
          <w:tcPr>
            <w:tcW w:w="975" w:type="dxa"/>
            <w:hideMark/>
          </w:tcPr>
          <w:p w14:paraId="6FFDD13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50,250.00</w:t>
            </w:r>
          </w:p>
        </w:tc>
        <w:tc>
          <w:tcPr>
            <w:tcW w:w="959" w:type="dxa"/>
            <w:hideMark/>
          </w:tcPr>
          <w:p w14:paraId="77500DB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52BCE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CA6589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4A05F7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77BE35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6CDBC3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7DBAD05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104EFC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AD3E89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Egypt / Supporting the development of public policies related to the energy sector</w:t>
            </w:r>
          </w:p>
        </w:tc>
        <w:tc>
          <w:tcPr>
            <w:tcW w:w="975" w:type="dxa"/>
            <w:hideMark/>
          </w:tcPr>
          <w:p w14:paraId="2E8EA40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670.00</w:t>
            </w:r>
          </w:p>
        </w:tc>
        <w:tc>
          <w:tcPr>
            <w:tcW w:w="959" w:type="dxa"/>
            <w:hideMark/>
          </w:tcPr>
          <w:p w14:paraId="3138644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B6CFF8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F935C7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34F48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39F24D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B55EB6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1A33D1D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6A86D5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56F8F9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Egypt / Financial intermediation to support climate finance</w:t>
            </w:r>
          </w:p>
        </w:tc>
        <w:tc>
          <w:tcPr>
            <w:tcW w:w="975" w:type="dxa"/>
            <w:hideMark/>
          </w:tcPr>
          <w:p w14:paraId="63E5709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36,200.00</w:t>
            </w:r>
          </w:p>
        </w:tc>
        <w:tc>
          <w:tcPr>
            <w:tcW w:w="959" w:type="dxa"/>
            <w:hideMark/>
          </w:tcPr>
          <w:p w14:paraId="741C788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34833E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3FADCA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9EF1EE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5814B8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C3BD08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1DBCFFA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2586C5D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6770A2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Egypt / Water recycling for re-use in production processes</w:t>
            </w:r>
          </w:p>
        </w:tc>
        <w:tc>
          <w:tcPr>
            <w:tcW w:w="975" w:type="dxa"/>
            <w:hideMark/>
          </w:tcPr>
          <w:p w14:paraId="0FCE587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542.35</w:t>
            </w:r>
          </w:p>
        </w:tc>
        <w:tc>
          <w:tcPr>
            <w:tcW w:w="959" w:type="dxa"/>
            <w:hideMark/>
          </w:tcPr>
          <w:p w14:paraId="7A2460D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0A4C86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CA8708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54F1E0D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5E4B138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139458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D2D7FA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1DC5156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60B9D6"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Ethiopia / Budgetary programme</w:t>
            </w:r>
          </w:p>
        </w:tc>
        <w:tc>
          <w:tcPr>
            <w:tcW w:w="975" w:type="dxa"/>
            <w:hideMark/>
          </w:tcPr>
          <w:p w14:paraId="1FC6181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11,900.00</w:t>
            </w:r>
          </w:p>
        </w:tc>
        <w:tc>
          <w:tcPr>
            <w:tcW w:w="959" w:type="dxa"/>
            <w:hideMark/>
          </w:tcPr>
          <w:p w14:paraId="0D96847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263C05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7D6828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B5B36D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2554756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427F3F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BC7098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26B393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CD2BB0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Ethiopia / Public policies directed towards sustainable development</w:t>
            </w:r>
          </w:p>
        </w:tc>
        <w:tc>
          <w:tcPr>
            <w:tcW w:w="975" w:type="dxa"/>
            <w:hideMark/>
          </w:tcPr>
          <w:p w14:paraId="2B5EC92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910.00</w:t>
            </w:r>
          </w:p>
        </w:tc>
        <w:tc>
          <w:tcPr>
            <w:tcW w:w="959" w:type="dxa"/>
            <w:hideMark/>
          </w:tcPr>
          <w:p w14:paraId="6E569D9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BE7FF2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E341A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FE064C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E877B2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E8CD5A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1BEDF20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00B30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67E7C5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Ethiopia / Public policies directed towards sustainable development</w:t>
            </w:r>
          </w:p>
        </w:tc>
        <w:tc>
          <w:tcPr>
            <w:tcW w:w="975" w:type="dxa"/>
            <w:hideMark/>
          </w:tcPr>
          <w:p w14:paraId="2D7530D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770.00</w:t>
            </w:r>
          </w:p>
        </w:tc>
        <w:tc>
          <w:tcPr>
            <w:tcW w:w="959" w:type="dxa"/>
            <w:hideMark/>
          </w:tcPr>
          <w:p w14:paraId="03E0293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998D1E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6BA79D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AE119E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8AB82D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6C8513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1DE0B1A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45859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8553A5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Ethiopia / Public policies directed towards sustainable development</w:t>
            </w:r>
          </w:p>
        </w:tc>
        <w:tc>
          <w:tcPr>
            <w:tcW w:w="975" w:type="dxa"/>
            <w:hideMark/>
          </w:tcPr>
          <w:p w14:paraId="58AD3CF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420.00</w:t>
            </w:r>
          </w:p>
        </w:tc>
        <w:tc>
          <w:tcPr>
            <w:tcW w:w="959" w:type="dxa"/>
            <w:hideMark/>
          </w:tcPr>
          <w:p w14:paraId="090852C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F5D6D7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E3D7D1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7F5D0A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C52479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B91839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4871E48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A0B2DE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676F8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Ethiopia / Sanitation for clean water</w:t>
            </w:r>
          </w:p>
        </w:tc>
        <w:tc>
          <w:tcPr>
            <w:tcW w:w="975" w:type="dxa"/>
            <w:hideMark/>
          </w:tcPr>
          <w:p w14:paraId="072FB9D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w:t>
            </w:r>
          </w:p>
        </w:tc>
        <w:tc>
          <w:tcPr>
            <w:tcW w:w="959" w:type="dxa"/>
            <w:hideMark/>
          </w:tcPr>
          <w:p w14:paraId="4CF8138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411763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CF0C5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BD53E6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EC6CD4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BBE05E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3F5DC2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AC48D3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9ED45D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Gabon / Investments for the development of sustainable agriculture</w:t>
            </w:r>
          </w:p>
        </w:tc>
        <w:tc>
          <w:tcPr>
            <w:tcW w:w="975" w:type="dxa"/>
            <w:hideMark/>
          </w:tcPr>
          <w:p w14:paraId="0E9E4A0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w:t>
            </w:r>
          </w:p>
        </w:tc>
        <w:tc>
          <w:tcPr>
            <w:tcW w:w="959" w:type="dxa"/>
            <w:hideMark/>
          </w:tcPr>
          <w:p w14:paraId="698A324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5B88C4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3EBB8D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51E2F8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211FC5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70AC5E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35764D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2F8B29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16A02E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Gambia / Water supply in Banjul</w:t>
            </w:r>
          </w:p>
        </w:tc>
        <w:tc>
          <w:tcPr>
            <w:tcW w:w="975" w:type="dxa"/>
            <w:hideMark/>
          </w:tcPr>
          <w:p w14:paraId="3AFDE08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6,600.00</w:t>
            </w:r>
          </w:p>
        </w:tc>
        <w:tc>
          <w:tcPr>
            <w:tcW w:w="959" w:type="dxa"/>
            <w:hideMark/>
          </w:tcPr>
          <w:p w14:paraId="389BBD5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9BB76B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7C6289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81008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A132F0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CFFDC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EC4E7A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C36683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E7FD0F"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Guinea / Hydrolectrical power plan</w:t>
            </w:r>
          </w:p>
        </w:tc>
        <w:tc>
          <w:tcPr>
            <w:tcW w:w="975" w:type="dxa"/>
            <w:hideMark/>
          </w:tcPr>
          <w:p w14:paraId="13E3F6C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w:t>
            </w:r>
          </w:p>
        </w:tc>
        <w:tc>
          <w:tcPr>
            <w:tcW w:w="959" w:type="dxa"/>
            <w:hideMark/>
          </w:tcPr>
          <w:p w14:paraId="2B7DF67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6547D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A80D7D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BE4644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3E82BE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CE9C9A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FEB2D5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E33C2B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4A215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Kenya / Energy-efficient building of the Nairobi university</w:t>
            </w:r>
          </w:p>
        </w:tc>
        <w:tc>
          <w:tcPr>
            <w:tcW w:w="975" w:type="dxa"/>
            <w:hideMark/>
          </w:tcPr>
          <w:p w14:paraId="7CEDC22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16,800.00</w:t>
            </w:r>
          </w:p>
        </w:tc>
        <w:tc>
          <w:tcPr>
            <w:tcW w:w="959" w:type="dxa"/>
            <w:hideMark/>
          </w:tcPr>
          <w:p w14:paraId="483EFB6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33FB48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DFC65A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46D542C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7E7007E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AEC6F4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B74E2F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E21C60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2C2E8E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Kenya / Accounting for environmental issues within university education in Nairobi</w:t>
            </w:r>
          </w:p>
        </w:tc>
        <w:tc>
          <w:tcPr>
            <w:tcW w:w="975" w:type="dxa"/>
            <w:hideMark/>
          </w:tcPr>
          <w:p w14:paraId="0A6D1B9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2,800.00</w:t>
            </w:r>
          </w:p>
        </w:tc>
        <w:tc>
          <w:tcPr>
            <w:tcW w:w="959" w:type="dxa"/>
            <w:hideMark/>
          </w:tcPr>
          <w:p w14:paraId="16C8428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BAC26B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6573A7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B6A33C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451C50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000153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E3B25B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65C7EB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B7B6F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Kenya / Sustainable forestry in Mau</w:t>
            </w:r>
          </w:p>
        </w:tc>
        <w:tc>
          <w:tcPr>
            <w:tcW w:w="975" w:type="dxa"/>
            <w:hideMark/>
          </w:tcPr>
          <w:p w14:paraId="42F2FE4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1,300.00</w:t>
            </w:r>
          </w:p>
        </w:tc>
        <w:tc>
          <w:tcPr>
            <w:tcW w:w="959" w:type="dxa"/>
            <w:hideMark/>
          </w:tcPr>
          <w:p w14:paraId="7F115D0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82BC09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1877CD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5CC980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4F1E5B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F058F4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1356072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F831B0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750FE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Kenya / Ecological continuities in Nothern Kenya</w:t>
            </w:r>
          </w:p>
        </w:tc>
        <w:tc>
          <w:tcPr>
            <w:tcW w:w="975" w:type="dxa"/>
            <w:hideMark/>
          </w:tcPr>
          <w:p w14:paraId="76EF4B2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3,700.00</w:t>
            </w:r>
          </w:p>
        </w:tc>
        <w:tc>
          <w:tcPr>
            <w:tcW w:w="959" w:type="dxa"/>
            <w:hideMark/>
          </w:tcPr>
          <w:p w14:paraId="5523399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3660E1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D37117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4A7152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8E213E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421CC3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0FA3871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D94269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B1D8C7"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Kenya / Wind power plant</w:t>
            </w:r>
          </w:p>
        </w:tc>
        <w:tc>
          <w:tcPr>
            <w:tcW w:w="975" w:type="dxa"/>
            <w:hideMark/>
          </w:tcPr>
          <w:p w14:paraId="48D62B5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24,274.03</w:t>
            </w:r>
          </w:p>
        </w:tc>
        <w:tc>
          <w:tcPr>
            <w:tcW w:w="959" w:type="dxa"/>
            <w:hideMark/>
          </w:tcPr>
          <w:p w14:paraId="5B48F19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869BB1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B3A93B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01423FE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659977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B8A3E6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1188864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112E07C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9A202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Kenya / Financial intermediation for agriculture</w:t>
            </w:r>
          </w:p>
        </w:tc>
        <w:tc>
          <w:tcPr>
            <w:tcW w:w="975" w:type="dxa"/>
            <w:hideMark/>
          </w:tcPr>
          <w:p w14:paraId="6ED1B26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3,687.97</w:t>
            </w:r>
          </w:p>
        </w:tc>
        <w:tc>
          <w:tcPr>
            <w:tcW w:w="959" w:type="dxa"/>
            <w:hideMark/>
          </w:tcPr>
          <w:p w14:paraId="7DB5A85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D077E0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37B82F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45C8AE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3D48E6A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0C66E3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77FE98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78C79B9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ED382F"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Liberia / Supporting youth integration</w:t>
            </w:r>
          </w:p>
        </w:tc>
        <w:tc>
          <w:tcPr>
            <w:tcW w:w="975" w:type="dxa"/>
            <w:hideMark/>
          </w:tcPr>
          <w:p w14:paraId="0091233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1,100.00</w:t>
            </w:r>
          </w:p>
        </w:tc>
        <w:tc>
          <w:tcPr>
            <w:tcW w:w="959" w:type="dxa"/>
            <w:hideMark/>
          </w:tcPr>
          <w:p w14:paraId="5B00BB0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614421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238D2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8E06C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4AAD60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8E0952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0AC6697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CBDFFC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CA9E38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Madagascar / Support the Sectorial Education Plan          </w:t>
            </w:r>
          </w:p>
        </w:tc>
        <w:tc>
          <w:tcPr>
            <w:tcW w:w="975" w:type="dxa"/>
            <w:hideMark/>
          </w:tcPr>
          <w:p w14:paraId="3C897CF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1,144.00</w:t>
            </w:r>
          </w:p>
        </w:tc>
        <w:tc>
          <w:tcPr>
            <w:tcW w:w="959" w:type="dxa"/>
            <w:hideMark/>
          </w:tcPr>
          <w:p w14:paraId="018B026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CE886A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F83A9D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916656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B3C2BC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E676C1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0A9CA2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1EDFC4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0B6B8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Madagascar / Support the Sectorial Education Plan          </w:t>
            </w:r>
          </w:p>
        </w:tc>
        <w:tc>
          <w:tcPr>
            <w:tcW w:w="975" w:type="dxa"/>
            <w:hideMark/>
          </w:tcPr>
          <w:p w14:paraId="312A321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w:t>
            </w:r>
          </w:p>
        </w:tc>
        <w:tc>
          <w:tcPr>
            <w:tcW w:w="959" w:type="dxa"/>
            <w:hideMark/>
          </w:tcPr>
          <w:p w14:paraId="3AD0F18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CCE98F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CCF1C2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078486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17E8CC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EEAB32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CE9019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699835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1F5141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Madagascar / Public policy reform to support disaster-risk management </w:t>
            </w:r>
          </w:p>
        </w:tc>
        <w:tc>
          <w:tcPr>
            <w:tcW w:w="975" w:type="dxa"/>
            <w:hideMark/>
          </w:tcPr>
          <w:p w14:paraId="121011A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w:t>
            </w:r>
          </w:p>
        </w:tc>
        <w:tc>
          <w:tcPr>
            <w:tcW w:w="959" w:type="dxa"/>
            <w:hideMark/>
          </w:tcPr>
          <w:p w14:paraId="0D819A4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0080CC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FDFF61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DF1374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9E2BE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AABF84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525F8C6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7FDA25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505E1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Madagascar / Public policy reform to support disaster-risk management </w:t>
            </w:r>
          </w:p>
        </w:tc>
        <w:tc>
          <w:tcPr>
            <w:tcW w:w="975" w:type="dxa"/>
            <w:hideMark/>
          </w:tcPr>
          <w:p w14:paraId="3837A9F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4A807FB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EB0432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B0E224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8463DE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9C1E2F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E2E11D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86EA6B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F3B337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84B210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Organisation of agricultural producers in northern Antananarivo</w:t>
            </w:r>
          </w:p>
        </w:tc>
        <w:tc>
          <w:tcPr>
            <w:tcW w:w="975" w:type="dxa"/>
            <w:hideMark/>
          </w:tcPr>
          <w:p w14:paraId="553FEA6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495.00</w:t>
            </w:r>
          </w:p>
        </w:tc>
        <w:tc>
          <w:tcPr>
            <w:tcW w:w="959" w:type="dxa"/>
            <w:hideMark/>
          </w:tcPr>
          <w:p w14:paraId="100F725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BA24B0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C25E4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4B148E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045C85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0237AF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C31028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33FC4BE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D31183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Contribution to the Foundation for Biodiversity and Protected Areas, aiming to support the creation of at least two new protected areas, in regions vulnerable to deforestation</w:t>
            </w:r>
          </w:p>
        </w:tc>
        <w:tc>
          <w:tcPr>
            <w:tcW w:w="975" w:type="dxa"/>
            <w:hideMark/>
          </w:tcPr>
          <w:p w14:paraId="0F7AEF9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w:t>
            </w:r>
          </w:p>
        </w:tc>
        <w:tc>
          <w:tcPr>
            <w:tcW w:w="959" w:type="dxa"/>
            <w:hideMark/>
          </w:tcPr>
          <w:p w14:paraId="7A46463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500044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CB09A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E2C3B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1F7EDC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F69827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6DBE2E1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4F658D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F7D0E0"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Madagascar / Women Solar Entrepreneurs</w:t>
            </w:r>
          </w:p>
        </w:tc>
        <w:tc>
          <w:tcPr>
            <w:tcW w:w="975" w:type="dxa"/>
            <w:hideMark/>
          </w:tcPr>
          <w:p w14:paraId="6E150EE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w:t>
            </w:r>
          </w:p>
        </w:tc>
        <w:tc>
          <w:tcPr>
            <w:tcW w:w="959" w:type="dxa"/>
            <w:hideMark/>
          </w:tcPr>
          <w:p w14:paraId="38EA3CC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D2AEF1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32434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F04D3F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743A64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94E066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1592BE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30B7E63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9BB301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Access to clean drinking water</w:t>
            </w:r>
          </w:p>
        </w:tc>
        <w:tc>
          <w:tcPr>
            <w:tcW w:w="975" w:type="dxa"/>
            <w:hideMark/>
          </w:tcPr>
          <w:p w14:paraId="0D3078C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w:t>
            </w:r>
          </w:p>
        </w:tc>
        <w:tc>
          <w:tcPr>
            <w:tcW w:w="959" w:type="dxa"/>
            <w:hideMark/>
          </w:tcPr>
          <w:p w14:paraId="1795903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FCAF48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81402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2A0E96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227AF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7847E1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0E733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3A74743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06E987"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Agriculture &amp; rural development</w:t>
            </w:r>
          </w:p>
        </w:tc>
        <w:tc>
          <w:tcPr>
            <w:tcW w:w="975" w:type="dxa"/>
            <w:hideMark/>
          </w:tcPr>
          <w:p w14:paraId="16399FF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4,745.00</w:t>
            </w:r>
          </w:p>
        </w:tc>
        <w:tc>
          <w:tcPr>
            <w:tcW w:w="959" w:type="dxa"/>
            <w:hideMark/>
          </w:tcPr>
          <w:p w14:paraId="3BBA518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5D63B2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6A806D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71BE8A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4BA55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B68ED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37213F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AC9CA2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9C715A"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Drinking water supply</w:t>
            </w:r>
          </w:p>
        </w:tc>
        <w:tc>
          <w:tcPr>
            <w:tcW w:w="975" w:type="dxa"/>
            <w:hideMark/>
          </w:tcPr>
          <w:p w14:paraId="2CB542B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w:t>
            </w:r>
          </w:p>
        </w:tc>
        <w:tc>
          <w:tcPr>
            <w:tcW w:w="959" w:type="dxa"/>
            <w:hideMark/>
          </w:tcPr>
          <w:p w14:paraId="40CD491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E79AC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CD4FC7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1E634E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7893DD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7154CF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736C2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61D4D2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A5C6E57"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Electricity distribution grid</w:t>
            </w:r>
          </w:p>
        </w:tc>
        <w:tc>
          <w:tcPr>
            <w:tcW w:w="975" w:type="dxa"/>
            <w:hideMark/>
          </w:tcPr>
          <w:p w14:paraId="5701E05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27,500.00</w:t>
            </w:r>
          </w:p>
        </w:tc>
        <w:tc>
          <w:tcPr>
            <w:tcW w:w="959" w:type="dxa"/>
            <w:hideMark/>
          </w:tcPr>
          <w:p w14:paraId="7E08302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B2D7F5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B7A5D8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063F89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64470D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AA942C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0A742E3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087146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26410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Sustainable production of cotton</w:t>
            </w:r>
          </w:p>
        </w:tc>
        <w:tc>
          <w:tcPr>
            <w:tcW w:w="975" w:type="dxa"/>
            <w:hideMark/>
          </w:tcPr>
          <w:p w14:paraId="4F98FA7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9,250.00</w:t>
            </w:r>
          </w:p>
        </w:tc>
        <w:tc>
          <w:tcPr>
            <w:tcW w:w="959" w:type="dxa"/>
            <w:hideMark/>
          </w:tcPr>
          <w:p w14:paraId="3ACE648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F4589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AF6FA1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FE3F88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7C310A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16322A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33417E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BD879C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2762F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Water in northern Mali</w:t>
            </w:r>
          </w:p>
        </w:tc>
        <w:tc>
          <w:tcPr>
            <w:tcW w:w="975" w:type="dxa"/>
            <w:hideMark/>
          </w:tcPr>
          <w:p w14:paraId="070BFDD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630.00</w:t>
            </w:r>
          </w:p>
        </w:tc>
        <w:tc>
          <w:tcPr>
            <w:tcW w:w="959" w:type="dxa"/>
            <w:hideMark/>
          </w:tcPr>
          <w:p w14:paraId="7214DFD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5DD10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CC287F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DE6944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1D32C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D539A8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B5B625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3BEBA4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C4769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Water management in Menaka Region</w:t>
            </w:r>
          </w:p>
        </w:tc>
        <w:tc>
          <w:tcPr>
            <w:tcW w:w="975" w:type="dxa"/>
            <w:hideMark/>
          </w:tcPr>
          <w:p w14:paraId="1E05B08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1,680.00</w:t>
            </w:r>
          </w:p>
        </w:tc>
        <w:tc>
          <w:tcPr>
            <w:tcW w:w="959" w:type="dxa"/>
            <w:hideMark/>
          </w:tcPr>
          <w:p w14:paraId="5B53188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DE167F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B5F001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6927DF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CF84FD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D1AD6E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19B3047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554833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6FBD023"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Social protection mechanism</w:t>
            </w:r>
          </w:p>
        </w:tc>
        <w:tc>
          <w:tcPr>
            <w:tcW w:w="975" w:type="dxa"/>
            <w:hideMark/>
          </w:tcPr>
          <w:p w14:paraId="456CB2F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761AAF4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8C3392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475028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7EFFCF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CC97C6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8B67D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BF3717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D8A4B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3A125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Morocco / Extension of the Rabat tramway</w:t>
            </w:r>
          </w:p>
        </w:tc>
        <w:tc>
          <w:tcPr>
            <w:tcW w:w="975" w:type="dxa"/>
            <w:hideMark/>
          </w:tcPr>
          <w:p w14:paraId="1CDF8DF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w:t>
            </w:r>
          </w:p>
        </w:tc>
        <w:tc>
          <w:tcPr>
            <w:tcW w:w="959" w:type="dxa"/>
            <w:hideMark/>
          </w:tcPr>
          <w:p w14:paraId="47572E0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68E8E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5F6EBA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CBC50D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F76581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A1F553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7F15AC9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8B7F6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D874388"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Morocco / Agroecology</w:t>
            </w:r>
          </w:p>
        </w:tc>
        <w:tc>
          <w:tcPr>
            <w:tcW w:w="975" w:type="dxa"/>
            <w:hideMark/>
          </w:tcPr>
          <w:p w14:paraId="09369E1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w:t>
            </w:r>
          </w:p>
        </w:tc>
        <w:tc>
          <w:tcPr>
            <w:tcW w:w="959" w:type="dxa"/>
            <w:hideMark/>
          </w:tcPr>
          <w:p w14:paraId="0F5B782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31C3E1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D85CED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15DF97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D36E8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E8418C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CB862E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14FCCC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46ED6E1"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Morocco / Agroecology</w:t>
            </w:r>
          </w:p>
        </w:tc>
        <w:tc>
          <w:tcPr>
            <w:tcW w:w="975" w:type="dxa"/>
            <w:hideMark/>
          </w:tcPr>
          <w:p w14:paraId="3B36699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w:t>
            </w:r>
          </w:p>
        </w:tc>
        <w:tc>
          <w:tcPr>
            <w:tcW w:w="959" w:type="dxa"/>
            <w:hideMark/>
          </w:tcPr>
          <w:p w14:paraId="317D259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916D42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BD51FD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A33BF9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E4901B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1D3430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0BF98A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43FDCF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D6EE7A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Morocco / Rehabilitation of regional ports</w:t>
            </w:r>
          </w:p>
        </w:tc>
        <w:tc>
          <w:tcPr>
            <w:tcW w:w="975" w:type="dxa"/>
            <w:hideMark/>
          </w:tcPr>
          <w:p w14:paraId="72B9957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w:t>
            </w:r>
          </w:p>
        </w:tc>
        <w:tc>
          <w:tcPr>
            <w:tcW w:w="959" w:type="dxa"/>
            <w:hideMark/>
          </w:tcPr>
          <w:p w14:paraId="54A8892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0A214D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506C2D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F6C9AA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476B50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90B2F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0D3B3A7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5F1C4D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10D173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Morocco / Rehabilitation of regional ports</w:t>
            </w:r>
          </w:p>
        </w:tc>
        <w:tc>
          <w:tcPr>
            <w:tcW w:w="975" w:type="dxa"/>
            <w:hideMark/>
          </w:tcPr>
          <w:p w14:paraId="3E3FB1B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w:t>
            </w:r>
          </w:p>
        </w:tc>
        <w:tc>
          <w:tcPr>
            <w:tcW w:w="959" w:type="dxa"/>
            <w:hideMark/>
          </w:tcPr>
          <w:p w14:paraId="2C92213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D11CD8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F062F2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B4C8C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2AFD76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EE6FA9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4E28FFF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22B0C3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1A02F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Morocco / Improving sustainable management of local governments</w:t>
            </w:r>
          </w:p>
        </w:tc>
        <w:tc>
          <w:tcPr>
            <w:tcW w:w="975" w:type="dxa"/>
            <w:hideMark/>
          </w:tcPr>
          <w:p w14:paraId="3BF1804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29,000.00</w:t>
            </w:r>
          </w:p>
        </w:tc>
        <w:tc>
          <w:tcPr>
            <w:tcW w:w="959" w:type="dxa"/>
            <w:hideMark/>
          </w:tcPr>
          <w:p w14:paraId="3AD3BC1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7E3F8C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FCBC12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6BD233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0FC19F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27C182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5DB775B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1FA280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880C96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Morocco / Support to NGOs in the area of migrations</w:t>
            </w:r>
          </w:p>
        </w:tc>
        <w:tc>
          <w:tcPr>
            <w:tcW w:w="975" w:type="dxa"/>
            <w:hideMark/>
          </w:tcPr>
          <w:p w14:paraId="6FBABD4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w:t>
            </w:r>
          </w:p>
        </w:tc>
        <w:tc>
          <w:tcPr>
            <w:tcW w:w="959" w:type="dxa"/>
            <w:hideMark/>
          </w:tcPr>
          <w:p w14:paraId="69FBE5E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FAF56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48FFA6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28647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47638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6528CF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7F6CBE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854DB1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DE61CC"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Morocco / Gender &amp; climate</w:t>
            </w:r>
          </w:p>
        </w:tc>
        <w:tc>
          <w:tcPr>
            <w:tcW w:w="975" w:type="dxa"/>
            <w:hideMark/>
          </w:tcPr>
          <w:p w14:paraId="625A8D0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380.00</w:t>
            </w:r>
          </w:p>
        </w:tc>
        <w:tc>
          <w:tcPr>
            <w:tcW w:w="959" w:type="dxa"/>
            <w:hideMark/>
          </w:tcPr>
          <w:p w14:paraId="46E0143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D73517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C0884B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DD8357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A87560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04FBBE1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48B8E5C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53CB472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A64DCB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Mauritius / Sunref project: financial intermediation for the fight against climate change</w:t>
            </w:r>
          </w:p>
        </w:tc>
        <w:tc>
          <w:tcPr>
            <w:tcW w:w="975" w:type="dxa"/>
            <w:hideMark/>
          </w:tcPr>
          <w:p w14:paraId="3A75161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w:t>
            </w:r>
          </w:p>
        </w:tc>
        <w:tc>
          <w:tcPr>
            <w:tcW w:w="959" w:type="dxa"/>
            <w:hideMark/>
          </w:tcPr>
          <w:p w14:paraId="38DDBC5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D8E0CE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D90AF9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2ADE3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3F9468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5D1267F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262AD21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4524DF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765C5E"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Mauritius / Renewable energy</w:t>
            </w:r>
          </w:p>
        </w:tc>
        <w:tc>
          <w:tcPr>
            <w:tcW w:w="975" w:type="dxa"/>
            <w:hideMark/>
          </w:tcPr>
          <w:p w14:paraId="2FC265E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w:t>
            </w:r>
          </w:p>
        </w:tc>
        <w:tc>
          <w:tcPr>
            <w:tcW w:w="959" w:type="dxa"/>
            <w:hideMark/>
          </w:tcPr>
          <w:p w14:paraId="4FCB398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26A291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DB70A4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72133FF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60" w:type="dxa"/>
            <w:hideMark/>
          </w:tcPr>
          <w:p w14:paraId="678969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DB2884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5233FC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18392A9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4850D8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Support to local development and community initiatives in regions of Gorgol, Assaba and Guidimakha</w:t>
            </w:r>
          </w:p>
        </w:tc>
        <w:tc>
          <w:tcPr>
            <w:tcW w:w="975" w:type="dxa"/>
            <w:hideMark/>
          </w:tcPr>
          <w:p w14:paraId="6F652BB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2,904.50</w:t>
            </w:r>
          </w:p>
        </w:tc>
        <w:tc>
          <w:tcPr>
            <w:tcW w:w="959" w:type="dxa"/>
            <w:hideMark/>
          </w:tcPr>
          <w:p w14:paraId="174A06D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DF5EC9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E81CE9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4E06FF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1345E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11A337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6534088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000234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424DE7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Support to local development and community initiatives in regions of Gorgol, Assaba and Guidimakha</w:t>
            </w:r>
          </w:p>
        </w:tc>
        <w:tc>
          <w:tcPr>
            <w:tcW w:w="975" w:type="dxa"/>
            <w:hideMark/>
          </w:tcPr>
          <w:p w14:paraId="7576763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55.50</w:t>
            </w:r>
          </w:p>
        </w:tc>
        <w:tc>
          <w:tcPr>
            <w:tcW w:w="959" w:type="dxa"/>
            <w:hideMark/>
          </w:tcPr>
          <w:p w14:paraId="5CA2A5D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6C07B2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14239E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4B5050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F8DAAE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8E2B71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C97A0C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210EEA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0560F9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Support to local development and community initiatives in regions of Gorgol, Assaba and Guidimakha</w:t>
            </w:r>
          </w:p>
        </w:tc>
        <w:tc>
          <w:tcPr>
            <w:tcW w:w="975" w:type="dxa"/>
            <w:hideMark/>
          </w:tcPr>
          <w:p w14:paraId="40A1FC6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370.00</w:t>
            </w:r>
          </w:p>
        </w:tc>
        <w:tc>
          <w:tcPr>
            <w:tcW w:w="959" w:type="dxa"/>
            <w:hideMark/>
          </w:tcPr>
          <w:p w14:paraId="215D241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D3E0E9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0C2DCA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E988B3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D20FF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600CCC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07BBFE2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A5DC6E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A1A05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Support to local development and community initiatives in regions of Gorgol, Assaba and Guidimakha</w:t>
            </w:r>
          </w:p>
        </w:tc>
        <w:tc>
          <w:tcPr>
            <w:tcW w:w="975" w:type="dxa"/>
            <w:hideMark/>
          </w:tcPr>
          <w:p w14:paraId="4991119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370.00</w:t>
            </w:r>
          </w:p>
        </w:tc>
        <w:tc>
          <w:tcPr>
            <w:tcW w:w="959" w:type="dxa"/>
            <w:hideMark/>
          </w:tcPr>
          <w:p w14:paraId="5D5D45A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E4598B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F00932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419FD8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41F42D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E54DB9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08784E3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060104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AA4A93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Professional training related to energy</w:t>
            </w:r>
          </w:p>
        </w:tc>
        <w:tc>
          <w:tcPr>
            <w:tcW w:w="975" w:type="dxa"/>
            <w:hideMark/>
          </w:tcPr>
          <w:p w14:paraId="29FBA0C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3,940.00</w:t>
            </w:r>
          </w:p>
        </w:tc>
        <w:tc>
          <w:tcPr>
            <w:tcW w:w="959" w:type="dxa"/>
            <w:hideMark/>
          </w:tcPr>
          <w:p w14:paraId="3552F1C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A12BEE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C31982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5A7D96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34C23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AEF531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1A54557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27659B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5D16E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Professional training related to energy</w:t>
            </w:r>
          </w:p>
        </w:tc>
        <w:tc>
          <w:tcPr>
            <w:tcW w:w="975" w:type="dxa"/>
            <w:hideMark/>
          </w:tcPr>
          <w:p w14:paraId="3E45AFE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w:t>
            </w:r>
          </w:p>
        </w:tc>
        <w:tc>
          <w:tcPr>
            <w:tcW w:w="959" w:type="dxa"/>
            <w:hideMark/>
          </w:tcPr>
          <w:p w14:paraId="127B26E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98F9BB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556BA9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B41024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8014C4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4D96FD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4A3FEE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4C3647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5D19C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Access to clean drinking water</w:t>
            </w:r>
          </w:p>
        </w:tc>
        <w:tc>
          <w:tcPr>
            <w:tcW w:w="975" w:type="dxa"/>
            <w:hideMark/>
          </w:tcPr>
          <w:p w14:paraId="0BB3902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7,939.50</w:t>
            </w:r>
          </w:p>
        </w:tc>
        <w:tc>
          <w:tcPr>
            <w:tcW w:w="959" w:type="dxa"/>
            <w:hideMark/>
          </w:tcPr>
          <w:p w14:paraId="02AE41B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21B2A7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739318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82D38F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9F0504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3446BC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12E70BF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8618C5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6F2F41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Access to clean drinking water</w:t>
            </w:r>
          </w:p>
        </w:tc>
        <w:tc>
          <w:tcPr>
            <w:tcW w:w="975" w:type="dxa"/>
            <w:hideMark/>
          </w:tcPr>
          <w:p w14:paraId="018BDB2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100.50</w:t>
            </w:r>
          </w:p>
        </w:tc>
        <w:tc>
          <w:tcPr>
            <w:tcW w:w="959" w:type="dxa"/>
            <w:hideMark/>
          </w:tcPr>
          <w:p w14:paraId="6D63EA4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D1F374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197841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CB256A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0B2C2F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4ED90F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8DE04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26DBB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152781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Mauritania / Preservation of natural capital</w:t>
            </w:r>
          </w:p>
        </w:tc>
        <w:tc>
          <w:tcPr>
            <w:tcW w:w="975" w:type="dxa"/>
            <w:hideMark/>
          </w:tcPr>
          <w:p w14:paraId="63D50B8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7F2719D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17665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EBDB64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F059A4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4FB83C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FFA82A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3872AD4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5EB8D9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6BD425B"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Mauritania / Food security</w:t>
            </w:r>
          </w:p>
        </w:tc>
        <w:tc>
          <w:tcPr>
            <w:tcW w:w="975" w:type="dxa"/>
            <w:hideMark/>
          </w:tcPr>
          <w:p w14:paraId="05A7888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850.00</w:t>
            </w:r>
          </w:p>
        </w:tc>
        <w:tc>
          <w:tcPr>
            <w:tcW w:w="959" w:type="dxa"/>
            <w:hideMark/>
          </w:tcPr>
          <w:p w14:paraId="072CA8D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755E9C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5F5DDB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4489E3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0E95A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352E90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2EC1A5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1C950F9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8A2A6B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Mozambique / Guarantee for the Dondo solar project</w:t>
            </w:r>
          </w:p>
        </w:tc>
        <w:tc>
          <w:tcPr>
            <w:tcW w:w="975" w:type="dxa"/>
            <w:hideMark/>
          </w:tcPr>
          <w:p w14:paraId="22E2159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6,370.00</w:t>
            </w:r>
          </w:p>
        </w:tc>
        <w:tc>
          <w:tcPr>
            <w:tcW w:w="959" w:type="dxa"/>
            <w:hideMark/>
          </w:tcPr>
          <w:p w14:paraId="56641A2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94C162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6FA6A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FCDC6A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44B8A2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0FEDF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1CC0695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8C352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849C94"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Mozambique / Chimanimani natural reserve</w:t>
            </w:r>
          </w:p>
        </w:tc>
        <w:tc>
          <w:tcPr>
            <w:tcW w:w="975" w:type="dxa"/>
            <w:hideMark/>
          </w:tcPr>
          <w:p w14:paraId="0377A97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w:t>
            </w:r>
          </w:p>
        </w:tc>
        <w:tc>
          <w:tcPr>
            <w:tcW w:w="959" w:type="dxa"/>
            <w:hideMark/>
          </w:tcPr>
          <w:p w14:paraId="20AE047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EED295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B578A4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85FBA6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B7FC7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0072D8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1E6A8D8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FF479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353B2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(africa)) / Infrastructures for sustainable cities</w:t>
            </w:r>
          </w:p>
        </w:tc>
        <w:tc>
          <w:tcPr>
            <w:tcW w:w="975" w:type="dxa"/>
            <w:hideMark/>
          </w:tcPr>
          <w:p w14:paraId="2D2C26A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13,322.68</w:t>
            </w:r>
          </w:p>
        </w:tc>
        <w:tc>
          <w:tcPr>
            <w:tcW w:w="959" w:type="dxa"/>
            <w:hideMark/>
          </w:tcPr>
          <w:p w14:paraId="11D3D7D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70D3B8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1B0DE9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95824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60" w:type="dxa"/>
            <w:hideMark/>
          </w:tcPr>
          <w:p w14:paraId="656C788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D583FB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0D9108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1C96871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0EAB49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Niger / Professional training for sustainable development</w:t>
            </w:r>
          </w:p>
        </w:tc>
        <w:tc>
          <w:tcPr>
            <w:tcW w:w="975" w:type="dxa"/>
            <w:hideMark/>
          </w:tcPr>
          <w:p w14:paraId="371EA09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2D032F8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E43E94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E58ECF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4884F3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C530E3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95591A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2C076B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D4DA78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5CA7EC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Niger / Sustainable pastoral livestock and land management</w:t>
            </w:r>
          </w:p>
        </w:tc>
        <w:tc>
          <w:tcPr>
            <w:tcW w:w="975" w:type="dxa"/>
            <w:hideMark/>
          </w:tcPr>
          <w:p w14:paraId="546ECCA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9,800.00</w:t>
            </w:r>
          </w:p>
        </w:tc>
        <w:tc>
          <w:tcPr>
            <w:tcW w:w="959" w:type="dxa"/>
            <w:hideMark/>
          </w:tcPr>
          <w:p w14:paraId="39ADB7C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870EF7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FA07B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AA370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B144D8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54EF680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F766D5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2C5AC5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20C8E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Niger / Sustainable pastoral livestock and land management</w:t>
            </w:r>
          </w:p>
        </w:tc>
        <w:tc>
          <w:tcPr>
            <w:tcW w:w="975" w:type="dxa"/>
            <w:hideMark/>
          </w:tcPr>
          <w:p w14:paraId="2FC7035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w:t>
            </w:r>
          </w:p>
        </w:tc>
        <w:tc>
          <w:tcPr>
            <w:tcW w:w="959" w:type="dxa"/>
            <w:hideMark/>
          </w:tcPr>
          <w:p w14:paraId="00D7921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90B8D3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B3628B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7C3D0D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E2F86F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059C12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6E53753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A2B91E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471066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Niger / Sustainable pastoral livestock and land management</w:t>
            </w:r>
          </w:p>
        </w:tc>
        <w:tc>
          <w:tcPr>
            <w:tcW w:w="975" w:type="dxa"/>
            <w:hideMark/>
          </w:tcPr>
          <w:p w14:paraId="3F1083B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w:t>
            </w:r>
          </w:p>
        </w:tc>
        <w:tc>
          <w:tcPr>
            <w:tcW w:w="959" w:type="dxa"/>
            <w:hideMark/>
          </w:tcPr>
          <w:p w14:paraId="779A414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3C6F7F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322A6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3568CC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A6322C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0839210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2B3E38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8C054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489DE35"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Niger / Food security</w:t>
            </w:r>
          </w:p>
        </w:tc>
        <w:tc>
          <w:tcPr>
            <w:tcW w:w="975" w:type="dxa"/>
            <w:hideMark/>
          </w:tcPr>
          <w:p w14:paraId="081E581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w:t>
            </w:r>
          </w:p>
        </w:tc>
        <w:tc>
          <w:tcPr>
            <w:tcW w:w="959" w:type="dxa"/>
            <w:hideMark/>
          </w:tcPr>
          <w:p w14:paraId="0F25629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843E93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0578D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9D64E0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D7CFD7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F14DFF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EE2400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73A530B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6AC659"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Niger / Water</w:t>
            </w:r>
          </w:p>
        </w:tc>
        <w:tc>
          <w:tcPr>
            <w:tcW w:w="975" w:type="dxa"/>
            <w:hideMark/>
          </w:tcPr>
          <w:p w14:paraId="1C48296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355.00</w:t>
            </w:r>
          </w:p>
        </w:tc>
        <w:tc>
          <w:tcPr>
            <w:tcW w:w="959" w:type="dxa"/>
            <w:hideMark/>
          </w:tcPr>
          <w:p w14:paraId="17697C5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4D3A4E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6699AC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C63262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2BC3F1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ACC94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56E4DA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5F4997C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49E54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Nigeria / ACE Impact: high-level education in relation to mitigation, climate risk management and agroecology</w:t>
            </w:r>
          </w:p>
        </w:tc>
        <w:tc>
          <w:tcPr>
            <w:tcW w:w="975" w:type="dxa"/>
            <w:hideMark/>
          </w:tcPr>
          <w:p w14:paraId="64ED625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6,836.38</w:t>
            </w:r>
          </w:p>
        </w:tc>
        <w:tc>
          <w:tcPr>
            <w:tcW w:w="959" w:type="dxa"/>
            <w:hideMark/>
          </w:tcPr>
          <w:p w14:paraId="01E3122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F3D2F5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94F465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14AB86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A90E26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349FF2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8CE596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20CF08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502CFF"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Nigeria / Renewable energy</w:t>
            </w:r>
          </w:p>
        </w:tc>
        <w:tc>
          <w:tcPr>
            <w:tcW w:w="975" w:type="dxa"/>
            <w:hideMark/>
          </w:tcPr>
          <w:p w14:paraId="0FDAF09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2,665.48</w:t>
            </w:r>
          </w:p>
        </w:tc>
        <w:tc>
          <w:tcPr>
            <w:tcW w:w="959" w:type="dxa"/>
            <w:hideMark/>
          </w:tcPr>
          <w:p w14:paraId="5D4D261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3BB8B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CDD3E8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4EB59F0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60" w:type="dxa"/>
            <w:hideMark/>
          </w:tcPr>
          <w:p w14:paraId="28A2E0D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B98069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240FBE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7D924A1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7592C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Uganda / Access to clean drinking water</w:t>
            </w:r>
          </w:p>
        </w:tc>
        <w:tc>
          <w:tcPr>
            <w:tcW w:w="975" w:type="dxa"/>
            <w:hideMark/>
          </w:tcPr>
          <w:p w14:paraId="3A8C239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35,190.00</w:t>
            </w:r>
          </w:p>
        </w:tc>
        <w:tc>
          <w:tcPr>
            <w:tcW w:w="959" w:type="dxa"/>
            <w:hideMark/>
          </w:tcPr>
          <w:p w14:paraId="2D3D851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C26754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A6EF78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E1B70E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2DC72CD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D10866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E01FEA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853208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30575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Uganda / Access to clean drinking water</w:t>
            </w:r>
          </w:p>
        </w:tc>
        <w:tc>
          <w:tcPr>
            <w:tcW w:w="975" w:type="dxa"/>
            <w:hideMark/>
          </w:tcPr>
          <w:p w14:paraId="0994D89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765.00</w:t>
            </w:r>
          </w:p>
        </w:tc>
        <w:tc>
          <w:tcPr>
            <w:tcW w:w="959" w:type="dxa"/>
            <w:hideMark/>
          </w:tcPr>
          <w:p w14:paraId="2E46D7A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ECCDD1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44B968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2D974C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B62E78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C5977C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F5483D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EB7320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813CF2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Uganda / Access to clean drinking water</w:t>
            </w:r>
          </w:p>
        </w:tc>
        <w:tc>
          <w:tcPr>
            <w:tcW w:w="975" w:type="dxa"/>
            <w:hideMark/>
          </w:tcPr>
          <w:p w14:paraId="4B00066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510.00</w:t>
            </w:r>
          </w:p>
        </w:tc>
        <w:tc>
          <w:tcPr>
            <w:tcW w:w="959" w:type="dxa"/>
            <w:hideMark/>
          </w:tcPr>
          <w:p w14:paraId="5B019BF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7C84B2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9F933B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8421E6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B94C88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5DDD9F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5AFF499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0E4A4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07CA6E"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Uganda / Rural development</w:t>
            </w:r>
          </w:p>
        </w:tc>
        <w:tc>
          <w:tcPr>
            <w:tcW w:w="975" w:type="dxa"/>
            <w:hideMark/>
          </w:tcPr>
          <w:p w14:paraId="36EDB02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w:t>
            </w:r>
          </w:p>
        </w:tc>
        <w:tc>
          <w:tcPr>
            <w:tcW w:w="959" w:type="dxa"/>
            <w:hideMark/>
          </w:tcPr>
          <w:p w14:paraId="578BD25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A1104F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9F905E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165086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C0101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D9CFB8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0A699E2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B7E003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E979D0B"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Uganda / Rural development</w:t>
            </w:r>
          </w:p>
        </w:tc>
        <w:tc>
          <w:tcPr>
            <w:tcW w:w="975" w:type="dxa"/>
            <w:hideMark/>
          </w:tcPr>
          <w:p w14:paraId="0970886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w:t>
            </w:r>
          </w:p>
        </w:tc>
        <w:tc>
          <w:tcPr>
            <w:tcW w:w="959" w:type="dxa"/>
            <w:hideMark/>
          </w:tcPr>
          <w:p w14:paraId="3D2D0C3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4397F8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CDF369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A3D133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641639A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3AFC43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907636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A9432D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DB6A5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Uganda / Access to financial services in rural areas</w:t>
            </w:r>
          </w:p>
        </w:tc>
        <w:tc>
          <w:tcPr>
            <w:tcW w:w="975" w:type="dxa"/>
            <w:hideMark/>
          </w:tcPr>
          <w:p w14:paraId="5B8A769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w:t>
            </w:r>
          </w:p>
        </w:tc>
        <w:tc>
          <w:tcPr>
            <w:tcW w:w="959" w:type="dxa"/>
            <w:hideMark/>
          </w:tcPr>
          <w:p w14:paraId="69F3B47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55E91D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80CEA4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2854A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E8C3D2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513E6E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78D161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B8F72E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27013F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Democratic Republic Of The Congo / Clean water to fight against cholera epidemics</w:t>
            </w:r>
          </w:p>
        </w:tc>
        <w:tc>
          <w:tcPr>
            <w:tcW w:w="975" w:type="dxa"/>
            <w:hideMark/>
          </w:tcPr>
          <w:p w14:paraId="60BAAFB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w:t>
            </w:r>
          </w:p>
        </w:tc>
        <w:tc>
          <w:tcPr>
            <w:tcW w:w="959" w:type="dxa"/>
            <w:hideMark/>
          </w:tcPr>
          <w:p w14:paraId="74F4CAA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E0FAFE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ADC0A2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67E87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F17CA0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EADC98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C19243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E39B3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938CE3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Democratic Republic Of The Congo / Supporting resilience in outlying districts of Kinshasa                       </w:t>
            </w:r>
          </w:p>
        </w:tc>
        <w:tc>
          <w:tcPr>
            <w:tcW w:w="975" w:type="dxa"/>
            <w:hideMark/>
          </w:tcPr>
          <w:p w14:paraId="634C88F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w:t>
            </w:r>
          </w:p>
        </w:tc>
        <w:tc>
          <w:tcPr>
            <w:tcW w:w="959" w:type="dxa"/>
            <w:hideMark/>
          </w:tcPr>
          <w:p w14:paraId="0A30772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056F4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2E7C4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06F425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750AA0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C9848C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692DD46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5173B6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B0D7A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Promoting integrated management of solid waste</w:t>
            </w:r>
          </w:p>
        </w:tc>
        <w:tc>
          <w:tcPr>
            <w:tcW w:w="975" w:type="dxa"/>
            <w:hideMark/>
          </w:tcPr>
          <w:p w14:paraId="694D65B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w:t>
            </w:r>
          </w:p>
        </w:tc>
        <w:tc>
          <w:tcPr>
            <w:tcW w:w="959" w:type="dxa"/>
            <w:hideMark/>
          </w:tcPr>
          <w:p w14:paraId="59445E6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EE7248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4706FC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87E373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D18D26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C4BC3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018BA3C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F3D799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74E88A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Ecological transition of the Senegal river</w:t>
            </w:r>
          </w:p>
        </w:tc>
        <w:tc>
          <w:tcPr>
            <w:tcW w:w="975" w:type="dxa"/>
            <w:hideMark/>
          </w:tcPr>
          <w:p w14:paraId="2ADE4B3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w:t>
            </w:r>
          </w:p>
        </w:tc>
        <w:tc>
          <w:tcPr>
            <w:tcW w:w="959" w:type="dxa"/>
            <w:hideMark/>
          </w:tcPr>
          <w:p w14:paraId="2CF9165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ADABD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4A1024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FE1C40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632AE12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F0CFC2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032FDC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0121C8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46EF46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Ecological transition of the Senegal river</w:t>
            </w:r>
          </w:p>
        </w:tc>
        <w:tc>
          <w:tcPr>
            <w:tcW w:w="975" w:type="dxa"/>
            <w:hideMark/>
          </w:tcPr>
          <w:p w14:paraId="0FA28C4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w:t>
            </w:r>
          </w:p>
        </w:tc>
        <w:tc>
          <w:tcPr>
            <w:tcW w:w="959" w:type="dxa"/>
            <w:hideMark/>
          </w:tcPr>
          <w:p w14:paraId="69ED35F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C3D512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760078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A0CF01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D63E22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BE88BD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348EF5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33232F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DDCEB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Decontamination of the Hann Bay</w:t>
            </w:r>
          </w:p>
        </w:tc>
        <w:tc>
          <w:tcPr>
            <w:tcW w:w="975" w:type="dxa"/>
            <w:hideMark/>
          </w:tcPr>
          <w:p w14:paraId="55505AF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11,270.00</w:t>
            </w:r>
          </w:p>
        </w:tc>
        <w:tc>
          <w:tcPr>
            <w:tcW w:w="959" w:type="dxa"/>
            <w:hideMark/>
          </w:tcPr>
          <w:p w14:paraId="06BE5B5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FC31FD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BA9C2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A9FBC2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2D00E2B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605ED6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C7081D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165DFB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DA963C"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Senegal / Gender &amp; climate</w:t>
            </w:r>
          </w:p>
        </w:tc>
        <w:tc>
          <w:tcPr>
            <w:tcW w:w="975" w:type="dxa"/>
            <w:hideMark/>
          </w:tcPr>
          <w:p w14:paraId="57C2477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3,250.00</w:t>
            </w:r>
          </w:p>
        </w:tc>
        <w:tc>
          <w:tcPr>
            <w:tcW w:w="959" w:type="dxa"/>
            <w:hideMark/>
          </w:tcPr>
          <w:p w14:paraId="533CEF5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3B66BD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85305E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415FB4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A55D1D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961343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211E45B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4AC740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434B16"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Senegal / Rural entrepreneurship</w:t>
            </w:r>
          </w:p>
        </w:tc>
        <w:tc>
          <w:tcPr>
            <w:tcW w:w="975" w:type="dxa"/>
            <w:hideMark/>
          </w:tcPr>
          <w:p w14:paraId="1CA4774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233.86</w:t>
            </w:r>
          </w:p>
        </w:tc>
        <w:tc>
          <w:tcPr>
            <w:tcW w:w="959" w:type="dxa"/>
            <w:hideMark/>
          </w:tcPr>
          <w:p w14:paraId="6C80313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CEDBA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70DAD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2CE283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9EA6F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1B3E73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DBB475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0249DCF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6EB01F6"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Senegal / Food security</w:t>
            </w:r>
          </w:p>
        </w:tc>
        <w:tc>
          <w:tcPr>
            <w:tcW w:w="975" w:type="dxa"/>
            <w:hideMark/>
          </w:tcPr>
          <w:p w14:paraId="10B70BA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w:t>
            </w:r>
          </w:p>
        </w:tc>
        <w:tc>
          <w:tcPr>
            <w:tcW w:w="959" w:type="dxa"/>
            <w:hideMark/>
          </w:tcPr>
          <w:p w14:paraId="594755A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0AE63F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D3D51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46D38E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D2CCAB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A6A7FC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62B62F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5051DD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6AE5C19"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Senegal / Solar power plant</w:t>
            </w:r>
          </w:p>
        </w:tc>
        <w:tc>
          <w:tcPr>
            <w:tcW w:w="975" w:type="dxa"/>
            <w:hideMark/>
          </w:tcPr>
          <w:p w14:paraId="4A1014A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21,800.00</w:t>
            </w:r>
          </w:p>
        </w:tc>
        <w:tc>
          <w:tcPr>
            <w:tcW w:w="959" w:type="dxa"/>
            <w:hideMark/>
          </w:tcPr>
          <w:p w14:paraId="65F55F4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153FB8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DE47B3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2158211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4CFAFC1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3A7200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D83B20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46ABC9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FB62BAD"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Senegal / Solar power plant</w:t>
            </w:r>
          </w:p>
        </w:tc>
        <w:tc>
          <w:tcPr>
            <w:tcW w:w="975" w:type="dxa"/>
            <w:hideMark/>
          </w:tcPr>
          <w:p w14:paraId="3AB68CE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18,200.00</w:t>
            </w:r>
          </w:p>
        </w:tc>
        <w:tc>
          <w:tcPr>
            <w:tcW w:w="959" w:type="dxa"/>
            <w:hideMark/>
          </w:tcPr>
          <w:p w14:paraId="08473F2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04D689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4B365D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157C1C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6EB1B7B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2E30D0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B779C1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24F8727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76FD7A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(tanzania) / Solar power plant</w:t>
            </w:r>
          </w:p>
        </w:tc>
        <w:tc>
          <w:tcPr>
            <w:tcW w:w="975" w:type="dxa"/>
            <w:hideMark/>
          </w:tcPr>
          <w:p w14:paraId="28B01F9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78,000.00</w:t>
            </w:r>
          </w:p>
        </w:tc>
        <w:tc>
          <w:tcPr>
            <w:tcW w:w="959" w:type="dxa"/>
            <w:hideMark/>
          </w:tcPr>
          <w:p w14:paraId="07B8D77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92EFAD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A5A320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13DC5D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69DB31F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91832B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505D43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0370F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A4B5C0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(tanzania) / Building climate-resilient facilities for a cancer treatment center</w:t>
            </w:r>
          </w:p>
        </w:tc>
        <w:tc>
          <w:tcPr>
            <w:tcW w:w="975" w:type="dxa"/>
            <w:hideMark/>
          </w:tcPr>
          <w:p w14:paraId="68163F7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1,800.00</w:t>
            </w:r>
          </w:p>
        </w:tc>
        <w:tc>
          <w:tcPr>
            <w:tcW w:w="959" w:type="dxa"/>
            <w:hideMark/>
          </w:tcPr>
          <w:p w14:paraId="388EEBD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DFB595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EA0746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C9EFDB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A78554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56D8CE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6C2F4D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FFEFF6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4776B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Sustainable development of local governments in Northern Chad</w:t>
            </w:r>
          </w:p>
        </w:tc>
        <w:tc>
          <w:tcPr>
            <w:tcW w:w="975" w:type="dxa"/>
            <w:hideMark/>
          </w:tcPr>
          <w:p w14:paraId="1FA27D7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5,100.00</w:t>
            </w:r>
          </w:p>
        </w:tc>
        <w:tc>
          <w:tcPr>
            <w:tcW w:w="959" w:type="dxa"/>
            <w:hideMark/>
          </w:tcPr>
          <w:p w14:paraId="37B4D59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F71D52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D0AD2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33A14B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63ACF9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93A6C0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15048A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C4616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4993E7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Support to small businesses</w:t>
            </w:r>
          </w:p>
        </w:tc>
        <w:tc>
          <w:tcPr>
            <w:tcW w:w="975" w:type="dxa"/>
            <w:hideMark/>
          </w:tcPr>
          <w:p w14:paraId="25FDC3C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w:t>
            </w:r>
          </w:p>
        </w:tc>
        <w:tc>
          <w:tcPr>
            <w:tcW w:w="959" w:type="dxa"/>
            <w:hideMark/>
          </w:tcPr>
          <w:p w14:paraId="134C88C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A27175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8B6A25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17FDA7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0ED242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48FED7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0095C22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2E869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D73FA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Management of runoff water from rainfall</w:t>
            </w:r>
          </w:p>
        </w:tc>
        <w:tc>
          <w:tcPr>
            <w:tcW w:w="975" w:type="dxa"/>
            <w:hideMark/>
          </w:tcPr>
          <w:p w14:paraId="17B17F7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w:t>
            </w:r>
          </w:p>
        </w:tc>
        <w:tc>
          <w:tcPr>
            <w:tcW w:w="959" w:type="dxa"/>
            <w:hideMark/>
          </w:tcPr>
          <w:p w14:paraId="0F72A98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CDD8E1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AA09BC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E84636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7E63EE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70837F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15848A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74A72F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91A2DF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Inclusive development for areas hosting refugees</w:t>
            </w:r>
          </w:p>
        </w:tc>
        <w:tc>
          <w:tcPr>
            <w:tcW w:w="975" w:type="dxa"/>
            <w:hideMark/>
          </w:tcPr>
          <w:p w14:paraId="2C6135C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845.00</w:t>
            </w:r>
          </w:p>
        </w:tc>
        <w:tc>
          <w:tcPr>
            <w:tcW w:w="959" w:type="dxa"/>
            <w:hideMark/>
          </w:tcPr>
          <w:p w14:paraId="28596BE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98DA83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A7AB59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09484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CA609C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8D2AB4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2500B5C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6ABDE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29B8E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Inclusive development for areas hosting refugees</w:t>
            </w:r>
          </w:p>
        </w:tc>
        <w:tc>
          <w:tcPr>
            <w:tcW w:w="975" w:type="dxa"/>
            <w:hideMark/>
          </w:tcPr>
          <w:p w14:paraId="51A89A0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845.00</w:t>
            </w:r>
          </w:p>
        </w:tc>
        <w:tc>
          <w:tcPr>
            <w:tcW w:w="959" w:type="dxa"/>
            <w:hideMark/>
          </w:tcPr>
          <w:p w14:paraId="4C2A5D2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044941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F2C21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90C2CD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320269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3745DF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244DBA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5E7A34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93FF9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Supporting the sustainable seed sector</w:t>
            </w:r>
          </w:p>
        </w:tc>
        <w:tc>
          <w:tcPr>
            <w:tcW w:w="975" w:type="dxa"/>
            <w:hideMark/>
          </w:tcPr>
          <w:p w14:paraId="5AC1276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3F12B68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BF10D6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99C9A6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7DD88F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8DD24B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6D6029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B2DC4E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7DA58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27031C4"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Togo / Middle school reform</w:t>
            </w:r>
          </w:p>
        </w:tc>
        <w:tc>
          <w:tcPr>
            <w:tcW w:w="975" w:type="dxa"/>
            <w:hideMark/>
          </w:tcPr>
          <w:p w14:paraId="7531E48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w:t>
            </w:r>
          </w:p>
        </w:tc>
        <w:tc>
          <w:tcPr>
            <w:tcW w:w="959" w:type="dxa"/>
            <w:hideMark/>
          </w:tcPr>
          <w:p w14:paraId="1619BF7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4D3857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1B3C70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8E806C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858DE0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44A954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5C4E6DE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A2AC25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E8DD1A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Togo / National water management plan</w:t>
            </w:r>
          </w:p>
        </w:tc>
        <w:tc>
          <w:tcPr>
            <w:tcW w:w="975" w:type="dxa"/>
            <w:hideMark/>
          </w:tcPr>
          <w:p w14:paraId="41B0759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w:t>
            </w:r>
          </w:p>
        </w:tc>
        <w:tc>
          <w:tcPr>
            <w:tcW w:w="959" w:type="dxa"/>
            <w:hideMark/>
          </w:tcPr>
          <w:p w14:paraId="299CFD9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6B9B03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CA9514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6A0900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8C11D1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38644C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108D04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E163C5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56DF3A5"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Tunisia / Rural sanitation program</w:t>
            </w:r>
          </w:p>
        </w:tc>
        <w:tc>
          <w:tcPr>
            <w:tcW w:w="975" w:type="dxa"/>
            <w:hideMark/>
          </w:tcPr>
          <w:p w14:paraId="7628E6C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49,000.00</w:t>
            </w:r>
          </w:p>
        </w:tc>
        <w:tc>
          <w:tcPr>
            <w:tcW w:w="959" w:type="dxa"/>
            <w:hideMark/>
          </w:tcPr>
          <w:p w14:paraId="1A29E7A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4A82A8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275A1B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5C8D2C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44BD19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BB4AD3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D6671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DC84CD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14CDFD"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Tunisia / Rural sanitation program</w:t>
            </w:r>
          </w:p>
        </w:tc>
        <w:tc>
          <w:tcPr>
            <w:tcW w:w="975" w:type="dxa"/>
            <w:hideMark/>
          </w:tcPr>
          <w:p w14:paraId="072F1F3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980.00</w:t>
            </w:r>
          </w:p>
        </w:tc>
        <w:tc>
          <w:tcPr>
            <w:tcW w:w="959" w:type="dxa"/>
            <w:hideMark/>
          </w:tcPr>
          <w:p w14:paraId="35CDD66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4A606B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05BFB7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3CAB01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1D1399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29C3A2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1E6F457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1D483B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384B1C"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Tunisia / Human rights</w:t>
            </w:r>
          </w:p>
        </w:tc>
        <w:tc>
          <w:tcPr>
            <w:tcW w:w="975" w:type="dxa"/>
            <w:hideMark/>
          </w:tcPr>
          <w:p w14:paraId="22A6792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3,100.00</w:t>
            </w:r>
          </w:p>
        </w:tc>
        <w:tc>
          <w:tcPr>
            <w:tcW w:w="959" w:type="dxa"/>
            <w:hideMark/>
          </w:tcPr>
          <w:p w14:paraId="6783342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F7555C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367717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2784CA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C21708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9E66DA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1809FA5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4327B3B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CEB7B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Tunisia / Food security &amp; access to water</w:t>
            </w:r>
          </w:p>
        </w:tc>
        <w:tc>
          <w:tcPr>
            <w:tcW w:w="975" w:type="dxa"/>
            <w:hideMark/>
          </w:tcPr>
          <w:p w14:paraId="756B8B7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w:t>
            </w:r>
          </w:p>
        </w:tc>
        <w:tc>
          <w:tcPr>
            <w:tcW w:w="959" w:type="dxa"/>
            <w:hideMark/>
          </w:tcPr>
          <w:p w14:paraId="39D29B8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FA5DD4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92655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EA1EA3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4A2479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0A089D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9D5338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DE90DE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5273BBD"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Tunisia / Bejaoua pumping station</w:t>
            </w:r>
          </w:p>
        </w:tc>
        <w:tc>
          <w:tcPr>
            <w:tcW w:w="975" w:type="dxa"/>
            <w:hideMark/>
          </w:tcPr>
          <w:p w14:paraId="2D2BB8F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w:t>
            </w:r>
          </w:p>
        </w:tc>
        <w:tc>
          <w:tcPr>
            <w:tcW w:w="959" w:type="dxa"/>
            <w:hideMark/>
          </w:tcPr>
          <w:p w14:paraId="0162FC5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D77B3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42A64C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9696DA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CA16CF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7DD7D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72CD4B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9C5ED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0C825C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Tunisia / Food security &amp; access to water</w:t>
            </w:r>
          </w:p>
        </w:tc>
        <w:tc>
          <w:tcPr>
            <w:tcW w:w="975" w:type="dxa"/>
            <w:hideMark/>
          </w:tcPr>
          <w:p w14:paraId="595DED4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w:t>
            </w:r>
          </w:p>
        </w:tc>
        <w:tc>
          <w:tcPr>
            <w:tcW w:w="959" w:type="dxa"/>
            <w:hideMark/>
          </w:tcPr>
          <w:p w14:paraId="0363A5A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0D7367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B502BB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DA930A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6EBCE4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F8DDDD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60856D7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37D8E9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3E2E46"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Tunisia / Loans for SMEs</w:t>
            </w:r>
          </w:p>
        </w:tc>
        <w:tc>
          <w:tcPr>
            <w:tcW w:w="975" w:type="dxa"/>
            <w:hideMark/>
          </w:tcPr>
          <w:p w14:paraId="2181F95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w:t>
            </w:r>
          </w:p>
        </w:tc>
        <w:tc>
          <w:tcPr>
            <w:tcW w:w="959" w:type="dxa"/>
            <w:hideMark/>
          </w:tcPr>
          <w:p w14:paraId="1247442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30DE22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6A9100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2ED81EE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342564C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997BAE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6CE9E18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67657B7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2D450F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Zimbabwe / Pathosystem Coordination, MAnagement of animal and humans’ Networks</w:t>
            </w:r>
          </w:p>
        </w:tc>
        <w:tc>
          <w:tcPr>
            <w:tcW w:w="975" w:type="dxa"/>
            <w:hideMark/>
          </w:tcPr>
          <w:p w14:paraId="06339F6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w:t>
            </w:r>
          </w:p>
        </w:tc>
        <w:tc>
          <w:tcPr>
            <w:tcW w:w="959" w:type="dxa"/>
            <w:hideMark/>
          </w:tcPr>
          <w:p w14:paraId="0575F8D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9D76D0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87F609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9AA5F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81F4E2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4060A0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06BBA2E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A39D01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B3F691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Côte D'ivoire / Preparatory studies for line 1 of the Abidjan metro</w:t>
            </w:r>
          </w:p>
        </w:tc>
        <w:tc>
          <w:tcPr>
            <w:tcW w:w="975" w:type="dxa"/>
            <w:hideMark/>
          </w:tcPr>
          <w:p w14:paraId="0AB05D4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19,200.00</w:t>
            </w:r>
          </w:p>
        </w:tc>
        <w:tc>
          <w:tcPr>
            <w:tcW w:w="959" w:type="dxa"/>
            <w:hideMark/>
          </w:tcPr>
          <w:p w14:paraId="2AF7E55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325B4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88EB07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515BA3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D96157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1C3551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1DA551A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Treasury loan</w:t>
            </w:r>
          </w:p>
        </w:tc>
      </w:tr>
      <w:tr w:rsidR="001808DF" w:rsidRPr="001808DF" w14:paraId="40184AA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6F05E6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Côte D'ivoire / Rehabilitation and upgrade of hybrid pumps</w:t>
            </w:r>
          </w:p>
        </w:tc>
        <w:tc>
          <w:tcPr>
            <w:tcW w:w="975" w:type="dxa"/>
            <w:hideMark/>
          </w:tcPr>
          <w:p w14:paraId="0E61F4F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19,000.00</w:t>
            </w:r>
          </w:p>
        </w:tc>
        <w:tc>
          <w:tcPr>
            <w:tcW w:w="959" w:type="dxa"/>
            <w:hideMark/>
          </w:tcPr>
          <w:p w14:paraId="5EFFDBB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89C94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9EBACF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157B7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D22E5C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ED689C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1770090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Treasury loan</w:t>
            </w:r>
          </w:p>
        </w:tc>
      </w:tr>
      <w:tr w:rsidR="001808DF" w:rsidRPr="001808DF" w14:paraId="676150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F4F06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Egypt /  Security and performance diagnosis of the egyptian railway service</w:t>
            </w:r>
          </w:p>
        </w:tc>
        <w:tc>
          <w:tcPr>
            <w:tcW w:w="975" w:type="dxa"/>
            <w:hideMark/>
          </w:tcPr>
          <w:p w14:paraId="15B8D7A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269.28</w:t>
            </w:r>
          </w:p>
        </w:tc>
        <w:tc>
          <w:tcPr>
            <w:tcW w:w="959" w:type="dxa"/>
            <w:hideMark/>
          </w:tcPr>
          <w:p w14:paraId="6F34CDF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7CF844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F13881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B57C4F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12B70C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A92353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0611792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78C3C9B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52FF0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Support to the CETUD bus network</w:t>
            </w:r>
          </w:p>
        </w:tc>
        <w:tc>
          <w:tcPr>
            <w:tcW w:w="975" w:type="dxa"/>
            <w:hideMark/>
          </w:tcPr>
          <w:p w14:paraId="5A0E93F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399.85</w:t>
            </w:r>
          </w:p>
        </w:tc>
        <w:tc>
          <w:tcPr>
            <w:tcW w:w="959" w:type="dxa"/>
            <w:hideMark/>
          </w:tcPr>
          <w:p w14:paraId="7C4E940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D92176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898A74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35544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933AA3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E14F2E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04B6ED8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275B9AE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A1EFBC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Uganda / Experimental smart solar public lighting</w:t>
            </w:r>
          </w:p>
        </w:tc>
        <w:tc>
          <w:tcPr>
            <w:tcW w:w="975" w:type="dxa"/>
            <w:hideMark/>
          </w:tcPr>
          <w:p w14:paraId="61ADCA0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791.83</w:t>
            </w:r>
          </w:p>
        </w:tc>
        <w:tc>
          <w:tcPr>
            <w:tcW w:w="959" w:type="dxa"/>
            <w:hideMark/>
          </w:tcPr>
          <w:p w14:paraId="632D168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3C565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6D3A50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06F135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04534D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A07EB5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CDCA2B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23164E2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05267E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Energy supply for the SKA telescope</w:t>
            </w:r>
          </w:p>
        </w:tc>
        <w:tc>
          <w:tcPr>
            <w:tcW w:w="975" w:type="dxa"/>
            <w:hideMark/>
          </w:tcPr>
          <w:p w14:paraId="74682C6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152.82</w:t>
            </w:r>
          </w:p>
        </w:tc>
        <w:tc>
          <w:tcPr>
            <w:tcW w:w="959" w:type="dxa"/>
            <w:hideMark/>
          </w:tcPr>
          <w:p w14:paraId="5B7B78E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ADB15B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DC930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60137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7CC5F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66F5C1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592CB48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69DB7AE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9C1D17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Ghana / Urbain train between Accra and Kasoa</w:t>
            </w:r>
          </w:p>
        </w:tc>
        <w:tc>
          <w:tcPr>
            <w:tcW w:w="975" w:type="dxa"/>
            <w:hideMark/>
          </w:tcPr>
          <w:p w14:paraId="0B8E8AA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277.52</w:t>
            </w:r>
          </w:p>
        </w:tc>
        <w:tc>
          <w:tcPr>
            <w:tcW w:w="959" w:type="dxa"/>
            <w:hideMark/>
          </w:tcPr>
          <w:p w14:paraId="7669946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B7064E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DADDA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4757E2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A7539A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E32220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044F1B6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0678770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408235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Cameroon / Demonstrator for a modular waste treatment system</w:t>
            </w:r>
          </w:p>
        </w:tc>
        <w:tc>
          <w:tcPr>
            <w:tcW w:w="975" w:type="dxa"/>
            <w:hideMark/>
          </w:tcPr>
          <w:p w14:paraId="674014B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899.97</w:t>
            </w:r>
          </w:p>
        </w:tc>
        <w:tc>
          <w:tcPr>
            <w:tcW w:w="959" w:type="dxa"/>
            <w:hideMark/>
          </w:tcPr>
          <w:p w14:paraId="2066DFE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5A9A3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7F415E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9F8921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00A24B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02EA96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(waste Management)</w:t>
            </w:r>
          </w:p>
        </w:tc>
        <w:tc>
          <w:tcPr>
            <w:tcW w:w="2601" w:type="dxa"/>
            <w:hideMark/>
          </w:tcPr>
          <w:p w14:paraId="39261EC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6357AA8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67B88E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Kenya / Experimental system for reducing water loss</w:t>
            </w:r>
          </w:p>
        </w:tc>
        <w:tc>
          <w:tcPr>
            <w:tcW w:w="975" w:type="dxa"/>
            <w:hideMark/>
          </w:tcPr>
          <w:p w14:paraId="5C410B8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413.64</w:t>
            </w:r>
          </w:p>
        </w:tc>
        <w:tc>
          <w:tcPr>
            <w:tcW w:w="959" w:type="dxa"/>
            <w:hideMark/>
          </w:tcPr>
          <w:p w14:paraId="4664C1B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2686AB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AD3A5A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487056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AE8404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AF6AC2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437FFA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780CC55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36808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Tunisia / Teleprocessing of public lighting</w:t>
            </w:r>
          </w:p>
        </w:tc>
        <w:tc>
          <w:tcPr>
            <w:tcW w:w="975" w:type="dxa"/>
            <w:hideMark/>
          </w:tcPr>
          <w:p w14:paraId="06ED48F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w:t>
            </w:r>
          </w:p>
        </w:tc>
        <w:tc>
          <w:tcPr>
            <w:tcW w:w="959" w:type="dxa"/>
            <w:hideMark/>
          </w:tcPr>
          <w:p w14:paraId="581596C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F46491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66E569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1FD906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79A020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A4BD5D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5A57DED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73F793E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CFC197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Togo /  Solar public lighting network</w:t>
            </w:r>
          </w:p>
        </w:tc>
        <w:tc>
          <w:tcPr>
            <w:tcW w:w="975" w:type="dxa"/>
            <w:hideMark/>
          </w:tcPr>
          <w:p w14:paraId="0E68AE6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401.80</w:t>
            </w:r>
          </w:p>
        </w:tc>
        <w:tc>
          <w:tcPr>
            <w:tcW w:w="959" w:type="dxa"/>
            <w:hideMark/>
          </w:tcPr>
          <w:p w14:paraId="60F6D77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8B5DA3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381107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962D20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F20DE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AF9C53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B10862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2DD815B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BF304C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Using white paint on roofs as a cooling system</w:t>
            </w:r>
          </w:p>
        </w:tc>
        <w:tc>
          <w:tcPr>
            <w:tcW w:w="975" w:type="dxa"/>
            <w:hideMark/>
          </w:tcPr>
          <w:p w14:paraId="350B0EC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481.00</w:t>
            </w:r>
          </w:p>
        </w:tc>
        <w:tc>
          <w:tcPr>
            <w:tcW w:w="959" w:type="dxa"/>
            <w:hideMark/>
          </w:tcPr>
          <w:p w14:paraId="0441A81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5DACAC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5A3271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F205B0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751E18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B46EAA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1AA4583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13D88F7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5C5ACA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Treatment unit for electronic and eletric waste in Dakar</w:t>
            </w:r>
          </w:p>
        </w:tc>
        <w:tc>
          <w:tcPr>
            <w:tcW w:w="975" w:type="dxa"/>
            <w:hideMark/>
          </w:tcPr>
          <w:p w14:paraId="1B7D4BB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w:t>
            </w:r>
          </w:p>
        </w:tc>
        <w:tc>
          <w:tcPr>
            <w:tcW w:w="959" w:type="dxa"/>
            <w:hideMark/>
          </w:tcPr>
          <w:p w14:paraId="30CED5D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9EF817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4456C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668B02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93B865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B9C8E5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(waste Management)</w:t>
            </w:r>
          </w:p>
        </w:tc>
        <w:tc>
          <w:tcPr>
            <w:tcW w:w="2601" w:type="dxa"/>
            <w:hideMark/>
          </w:tcPr>
          <w:p w14:paraId="300D934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68C63A4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604C5A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Using artificial intelligence for high-performance water network management</w:t>
            </w:r>
          </w:p>
        </w:tc>
        <w:tc>
          <w:tcPr>
            <w:tcW w:w="975" w:type="dxa"/>
            <w:hideMark/>
          </w:tcPr>
          <w:p w14:paraId="301FC0C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358.96</w:t>
            </w:r>
          </w:p>
        </w:tc>
        <w:tc>
          <w:tcPr>
            <w:tcW w:w="959" w:type="dxa"/>
            <w:hideMark/>
          </w:tcPr>
          <w:p w14:paraId="4D33912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E54262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D47E38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9F1AC6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770DCB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FD124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56903D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5AE3D9F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7B6C5C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Solar micro-grid for the Diamniadio industrial park</w:t>
            </w:r>
          </w:p>
        </w:tc>
        <w:tc>
          <w:tcPr>
            <w:tcW w:w="975" w:type="dxa"/>
            <w:hideMark/>
          </w:tcPr>
          <w:p w14:paraId="59CF4E0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492.25</w:t>
            </w:r>
          </w:p>
        </w:tc>
        <w:tc>
          <w:tcPr>
            <w:tcW w:w="959" w:type="dxa"/>
            <w:hideMark/>
          </w:tcPr>
          <w:p w14:paraId="00F0FC0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8011C5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DA9FFB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DC4E6C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5D72AF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A979C5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3556B82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7998226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22D566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Tunisia / Pilot project for a floating solar farm on Tunis Lake</w:t>
            </w:r>
          </w:p>
        </w:tc>
        <w:tc>
          <w:tcPr>
            <w:tcW w:w="975" w:type="dxa"/>
            <w:hideMark/>
          </w:tcPr>
          <w:p w14:paraId="5058BBC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496.38</w:t>
            </w:r>
          </w:p>
        </w:tc>
        <w:tc>
          <w:tcPr>
            <w:tcW w:w="959" w:type="dxa"/>
            <w:hideMark/>
          </w:tcPr>
          <w:p w14:paraId="7728C5F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2406F0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CF10E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6B9C71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0168E2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C5914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106B25D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599DAEF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6C3C6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Côte D'ivoire / Rainfall tracking in Abidjan</w:t>
            </w:r>
          </w:p>
        </w:tc>
        <w:tc>
          <w:tcPr>
            <w:tcW w:w="975" w:type="dxa"/>
            <w:hideMark/>
          </w:tcPr>
          <w:p w14:paraId="3F553E5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498.90</w:t>
            </w:r>
          </w:p>
        </w:tc>
        <w:tc>
          <w:tcPr>
            <w:tcW w:w="959" w:type="dxa"/>
            <w:hideMark/>
          </w:tcPr>
          <w:p w14:paraId="4446498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780A94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DEAB05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F7C694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2E08B8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B54E09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52386C4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4F5F6F7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14DF9C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Hydroelectric micro-turbine in Umhlanga</w:t>
            </w:r>
          </w:p>
        </w:tc>
        <w:tc>
          <w:tcPr>
            <w:tcW w:w="975" w:type="dxa"/>
            <w:hideMark/>
          </w:tcPr>
          <w:p w14:paraId="7774C63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494.38</w:t>
            </w:r>
          </w:p>
        </w:tc>
        <w:tc>
          <w:tcPr>
            <w:tcW w:w="959" w:type="dxa"/>
            <w:hideMark/>
          </w:tcPr>
          <w:p w14:paraId="55E46A1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6C7E7C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E137FD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D1BCD3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E9DAC9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1F250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37FBBBC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328C0A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43646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Cameroon / Decarbonation of the Pasteur Health Center in Cameroon</w:t>
            </w:r>
          </w:p>
        </w:tc>
        <w:tc>
          <w:tcPr>
            <w:tcW w:w="975" w:type="dxa"/>
            <w:hideMark/>
          </w:tcPr>
          <w:p w14:paraId="03704E5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527.69</w:t>
            </w:r>
          </w:p>
        </w:tc>
        <w:tc>
          <w:tcPr>
            <w:tcW w:w="959" w:type="dxa"/>
            <w:hideMark/>
          </w:tcPr>
          <w:p w14:paraId="06792D0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1C22B5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1052D0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E9D349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FF776E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3991AB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3A2AB2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0AD8857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171028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Guinea / Energy self-sufficient system for a dialysis room</w:t>
            </w:r>
          </w:p>
        </w:tc>
        <w:tc>
          <w:tcPr>
            <w:tcW w:w="975" w:type="dxa"/>
            <w:hideMark/>
          </w:tcPr>
          <w:p w14:paraId="2779C18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199.00</w:t>
            </w:r>
          </w:p>
        </w:tc>
        <w:tc>
          <w:tcPr>
            <w:tcW w:w="959" w:type="dxa"/>
            <w:hideMark/>
          </w:tcPr>
          <w:p w14:paraId="0501B6B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DCAD16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8CF8D1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D63B7A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589E39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5EC710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0AB9896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1FB1AFE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83F7C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Togo / Solar-powered cooling system for a storage warehouse</w:t>
            </w:r>
          </w:p>
        </w:tc>
        <w:tc>
          <w:tcPr>
            <w:tcW w:w="975" w:type="dxa"/>
            <w:hideMark/>
          </w:tcPr>
          <w:p w14:paraId="74C62C5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w:t>
            </w:r>
          </w:p>
        </w:tc>
        <w:tc>
          <w:tcPr>
            <w:tcW w:w="959" w:type="dxa"/>
            <w:hideMark/>
          </w:tcPr>
          <w:p w14:paraId="71A000A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24550F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83F24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972264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B34538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175500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C8C5BF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555A4FB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B63D8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Morocco / Smart camera to support flooding risk management</w:t>
            </w:r>
          </w:p>
        </w:tc>
        <w:tc>
          <w:tcPr>
            <w:tcW w:w="975" w:type="dxa"/>
            <w:hideMark/>
          </w:tcPr>
          <w:p w14:paraId="30646E7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412.00</w:t>
            </w:r>
          </w:p>
        </w:tc>
        <w:tc>
          <w:tcPr>
            <w:tcW w:w="959" w:type="dxa"/>
            <w:hideMark/>
          </w:tcPr>
          <w:p w14:paraId="17EEAB1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A256AD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881894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C7B952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C169DE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AB4E73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915D35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2BDF048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B1949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Mali / Draining waste management in Bamako </w:t>
            </w:r>
          </w:p>
        </w:tc>
        <w:tc>
          <w:tcPr>
            <w:tcW w:w="975" w:type="dxa"/>
            <w:hideMark/>
          </w:tcPr>
          <w:p w14:paraId="2B9D848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186.00</w:t>
            </w:r>
          </w:p>
        </w:tc>
        <w:tc>
          <w:tcPr>
            <w:tcW w:w="959" w:type="dxa"/>
            <w:hideMark/>
          </w:tcPr>
          <w:p w14:paraId="54F0E5B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8A94E5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22EFD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FB4841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B3B414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B4487E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(waste Management)</w:t>
            </w:r>
          </w:p>
        </w:tc>
        <w:tc>
          <w:tcPr>
            <w:tcW w:w="2601" w:type="dxa"/>
            <w:hideMark/>
          </w:tcPr>
          <w:p w14:paraId="7F1D8E0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0639A52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BD824A"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Egypt / Commercial electric bikes</w:t>
            </w:r>
          </w:p>
        </w:tc>
        <w:tc>
          <w:tcPr>
            <w:tcW w:w="975" w:type="dxa"/>
            <w:hideMark/>
          </w:tcPr>
          <w:p w14:paraId="723C232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w:t>
            </w:r>
          </w:p>
        </w:tc>
        <w:tc>
          <w:tcPr>
            <w:tcW w:w="959" w:type="dxa"/>
            <w:hideMark/>
          </w:tcPr>
          <w:p w14:paraId="081D79F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DDBE63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81CD49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515105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42148E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BF78C3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72CB8EF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1A9EC29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C80AA6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Demonstrator for low-voltage electric network optimisation</w:t>
            </w:r>
          </w:p>
        </w:tc>
        <w:tc>
          <w:tcPr>
            <w:tcW w:w="975" w:type="dxa"/>
            <w:hideMark/>
          </w:tcPr>
          <w:p w14:paraId="1F15C28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203.00</w:t>
            </w:r>
          </w:p>
        </w:tc>
        <w:tc>
          <w:tcPr>
            <w:tcW w:w="959" w:type="dxa"/>
            <w:hideMark/>
          </w:tcPr>
          <w:p w14:paraId="20D3923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F9D79D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758CF0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50A2A5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207F2D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5FB559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360FE3B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0CB6953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79CB52F"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Ethiopia / PUR Project</w:t>
            </w:r>
          </w:p>
        </w:tc>
        <w:tc>
          <w:tcPr>
            <w:tcW w:w="975" w:type="dxa"/>
            <w:hideMark/>
          </w:tcPr>
          <w:p w14:paraId="31DFB61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499.00</w:t>
            </w:r>
          </w:p>
        </w:tc>
        <w:tc>
          <w:tcPr>
            <w:tcW w:w="959" w:type="dxa"/>
            <w:hideMark/>
          </w:tcPr>
          <w:p w14:paraId="6E59B7B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2EAEBF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96BF50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DA480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ADB5B4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C4AE9F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0FF499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07CAAC1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387794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Uganda / Zembo (solar powered moto-taxis)</w:t>
            </w:r>
          </w:p>
        </w:tc>
        <w:tc>
          <w:tcPr>
            <w:tcW w:w="975" w:type="dxa"/>
            <w:hideMark/>
          </w:tcPr>
          <w:p w14:paraId="0F43B2B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w:t>
            </w:r>
          </w:p>
        </w:tc>
        <w:tc>
          <w:tcPr>
            <w:tcW w:w="959" w:type="dxa"/>
            <w:hideMark/>
          </w:tcPr>
          <w:p w14:paraId="332CEDB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DA8D61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29B17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78A8AF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w:t>
            </w:r>
          </w:p>
        </w:tc>
        <w:tc>
          <w:tcPr>
            <w:tcW w:w="1060" w:type="dxa"/>
            <w:hideMark/>
          </w:tcPr>
          <w:p w14:paraId="0901B99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2398E8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151CAAA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22E7D2F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37F04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(benin - Ivory Coast) / Agro gazélec - recycling agricultural waste to produce biogas</w:t>
            </w:r>
          </w:p>
        </w:tc>
        <w:tc>
          <w:tcPr>
            <w:tcW w:w="975" w:type="dxa"/>
            <w:hideMark/>
          </w:tcPr>
          <w:p w14:paraId="4E08AC8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2,200.00</w:t>
            </w:r>
          </w:p>
        </w:tc>
        <w:tc>
          <w:tcPr>
            <w:tcW w:w="959" w:type="dxa"/>
            <w:hideMark/>
          </w:tcPr>
          <w:p w14:paraId="3DD08D3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4C74C3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CC3481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AB0CAE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B65F7F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1E74B1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0139D68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41FC728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94D9A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(mali - Niger - Burkina Faso) / Wood-to-energy in Sahel region</w:t>
            </w:r>
          </w:p>
        </w:tc>
        <w:tc>
          <w:tcPr>
            <w:tcW w:w="975" w:type="dxa"/>
            <w:hideMark/>
          </w:tcPr>
          <w:p w14:paraId="136E6FB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0EC0765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889BCC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71C824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BBE239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869030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FA5321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F7E793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2F2F9FA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CC1A04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Energy-positive local governements</w:t>
            </w:r>
          </w:p>
        </w:tc>
        <w:tc>
          <w:tcPr>
            <w:tcW w:w="975" w:type="dxa"/>
            <w:hideMark/>
          </w:tcPr>
          <w:p w14:paraId="7B2E55F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w:t>
            </w:r>
          </w:p>
        </w:tc>
        <w:tc>
          <w:tcPr>
            <w:tcW w:w="959" w:type="dxa"/>
            <w:hideMark/>
          </w:tcPr>
          <w:p w14:paraId="3BA61D2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EB97BB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CCD1DA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3F7BD2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21F619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8EEFBE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3437D6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2A9C81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10BC5F1"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Côte D'ivoire / TERRI4SOL</w:t>
            </w:r>
          </w:p>
        </w:tc>
        <w:tc>
          <w:tcPr>
            <w:tcW w:w="975" w:type="dxa"/>
            <w:hideMark/>
          </w:tcPr>
          <w:p w14:paraId="4BB5A25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1220C94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ED5959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2D76BB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D4BFA0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6C3173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55E4F7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E1AF10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1DB902F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12169B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Kenya / Ecological continuities in Nothern Kenya</w:t>
            </w:r>
          </w:p>
        </w:tc>
        <w:tc>
          <w:tcPr>
            <w:tcW w:w="975" w:type="dxa"/>
            <w:hideMark/>
          </w:tcPr>
          <w:p w14:paraId="09E247C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48E7BDF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D70449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70418B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335FA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8D32E6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8A83D7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294A2D4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1524288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DB2D02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Albania / Reform of the electricity sector </w:t>
            </w:r>
          </w:p>
        </w:tc>
        <w:tc>
          <w:tcPr>
            <w:tcW w:w="975" w:type="dxa"/>
            <w:hideMark/>
          </w:tcPr>
          <w:p w14:paraId="2FE985D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w:t>
            </w:r>
          </w:p>
        </w:tc>
        <w:tc>
          <w:tcPr>
            <w:tcW w:w="959" w:type="dxa"/>
            <w:hideMark/>
          </w:tcPr>
          <w:p w14:paraId="2CC0A97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63195E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75021F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835094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5B1DA3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30E09C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0C9A43B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6F99EE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32CE1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Albania / Reform of the electricity sector </w:t>
            </w:r>
          </w:p>
        </w:tc>
        <w:tc>
          <w:tcPr>
            <w:tcW w:w="975" w:type="dxa"/>
            <w:hideMark/>
          </w:tcPr>
          <w:p w14:paraId="6318C0B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w:t>
            </w:r>
          </w:p>
        </w:tc>
        <w:tc>
          <w:tcPr>
            <w:tcW w:w="959" w:type="dxa"/>
            <w:hideMark/>
          </w:tcPr>
          <w:p w14:paraId="47A5F21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4452C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CC45EC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474D47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107500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09576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60E39C8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C0110D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51909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Bangladesh / Upgrading the electricity network in Southern Dhaka</w:t>
            </w:r>
          </w:p>
        </w:tc>
        <w:tc>
          <w:tcPr>
            <w:tcW w:w="975" w:type="dxa"/>
            <w:hideMark/>
          </w:tcPr>
          <w:p w14:paraId="3124725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w:t>
            </w:r>
          </w:p>
        </w:tc>
        <w:tc>
          <w:tcPr>
            <w:tcW w:w="959" w:type="dxa"/>
            <w:hideMark/>
          </w:tcPr>
          <w:p w14:paraId="5E43D8D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BE17B0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43A1E2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4A2964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6C6B134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2CF789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C510A3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21DD31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F08298"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Cambodia / Skills for Competitiveness</w:t>
            </w:r>
          </w:p>
        </w:tc>
        <w:tc>
          <w:tcPr>
            <w:tcW w:w="975" w:type="dxa"/>
            <w:hideMark/>
          </w:tcPr>
          <w:p w14:paraId="38CEBD5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2,988.00</w:t>
            </w:r>
          </w:p>
        </w:tc>
        <w:tc>
          <w:tcPr>
            <w:tcW w:w="959" w:type="dxa"/>
            <w:hideMark/>
          </w:tcPr>
          <w:p w14:paraId="6E41737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FF7680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5FDA6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54A317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A58040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D9F9F6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5FB29C2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33D688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391A4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Cambodia / Improving the quality of life of communities in Phnom Penh precarious neighbourhoods</w:t>
            </w:r>
          </w:p>
        </w:tc>
        <w:tc>
          <w:tcPr>
            <w:tcW w:w="975" w:type="dxa"/>
            <w:hideMark/>
          </w:tcPr>
          <w:p w14:paraId="02B1598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w:t>
            </w:r>
          </w:p>
        </w:tc>
        <w:tc>
          <w:tcPr>
            <w:tcW w:w="959" w:type="dxa"/>
            <w:hideMark/>
          </w:tcPr>
          <w:p w14:paraId="68C54E9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463CA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34C0AA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740802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08144D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A39C7F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5B81D0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5989567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5E019F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Cambodia / Sustainable and climate risk resilient agriculture in the Siem Reap province   </w:t>
            </w:r>
          </w:p>
        </w:tc>
        <w:tc>
          <w:tcPr>
            <w:tcW w:w="975" w:type="dxa"/>
            <w:hideMark/>
          </w:tcPr>
          <w:p w14:paraId="4150526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630.00</w:t>
            </w:r>
          </w:p>
        </w:tc>
        <w:tc>
          <w:tcPr>
            <w:tcW w:w="959" w:type="dxa"/>
            <w:hideMark/>
          </w:tcPr>
          <w:p w14:paraId="4174F13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E56714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54436F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4FC6AF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2A0F8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45E8E4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A84F3C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69AFDC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C7C59E"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Cambodia / Water purification station</w:t>
            </w:r>
          </w:p>
        </w:tc>
        <w:tc>
          <w:tcPr>
            <w:tcW w:w="975" w:type="dxa"/>
            <w:hideMark/>
          </w:tcPr>
          <w:p w14:paraId="7EF4E77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w:t>
            </w:r>
          </w:p>
        </w:tc>
        <w:tc>
          <w:tcPr>
            <w:tcW w:w="959" w:type="dxa"/>
            <w:hideMark/>
          </w:tcPr>
          <w:p w14:paraId="1460620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09D570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F2048A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490602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1C65D9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201290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18F836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1718EC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B2D5A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China / Improving the ageing process in Guizhou</w:t>
            </w:r>
          </w:p>
        </w:tc>
        <w:tc>
          <w:tcPr>
            <w:tcW w:w="975" w:type="dxa"/>
            <w:hideMark/>
          </w:tcPr>
          <w:p w14:paraId="59BA857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w:t>
            </w:r>
          </w:p>
        </w:tc>
        <w:tc>
          <w:tcPr>
            <w:tcW w:w="959" w:type="dxa"/>
            <w:hideMark/>
          </w:tcPr>
          <w:p w14:paraId="639DEE8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CD3BC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1EEB63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DD077A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218B133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F6C0A4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1ED2361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32356F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7F6F9C"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China / Climate investment fund</w:t>
            </w:r>
          </w:p>
        </w:tc>
        <w:tc>
          <w:tcPr>
            <w:tcW w:w="975" w:type="dxa"/>
            <w:hideMark/>
          </w:tcPr>
          <w:p w14:paraId="3FE9B58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56,000.00</w:t>
            </w:r>
          </w:p>
        </w:tc>
        <w:tc>
          <w:tcPr>
            <w:tcW w:w="959" w:type="dxa"/>
            <w:hideMark/>
          </w:tcPr>
          <w:p w14:paraId="03E5B2D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E09CD4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915C07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2865A1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73C218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8DE9F0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7F87430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621D80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CADE2B"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 xml:space="preserve">China / Natural site management </w:t>
            </w:r>
          </w:p>
        </w:tc>
        <w:tc>
          <w:tcPr>
            <w:tcW w:w="975" w:type="dxa"/>
            <w:hideMark/>
          </w:tcPr>
          <w:p w14:paraId="6ABA258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31,800.00</w:t>
            </w:r>
          </w:p>
        </w:tc>
        <w:tc>
          <w:tcPr>
            <w:tcW w:w="959" w:type="dxa"/>
            <w:hideMark/>
          </w:tcPr>
          <w:p w14:paraId="023EEAB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2C012B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D9A462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28230F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79C612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548A3B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6EBE507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BA46D5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691C2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Georgia / Water infrastructures in Khashuri</w:t>
            </w:r>
          </w:p>
        </w:tc>
        <w:tc>
          <w:tcPr>
            <w:tcW w:w="975" w:type="dxa"/>
            <w:hideMark/>
          </w:tcPr>
          <w:p w14:paraId="7A69999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29,000.00</w:t>
            </w:r>
          </w:p>
        </w:tc>
        <w:tc>
          <w:tcPr>
            <w:tcW w:w="959" w:type="dxa"/>
            <w:hideMark/>
          </w:tcPr>
          <w:p w14:paraId="40365A7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039B05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02EF86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4FBAE5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265BB5D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75CC7F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2D6FF8B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73366C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E03E160"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Georgia / Energy efficiency</w:t>
            </w:r>
          </w:p>
        </w:tc>
        <w:tc>
          <w:tcPr>
            <w:tcW w:w="975" w:type="dxa"/>
            <w:hideMark/>
          </w:tcPr>
          <w:p w14:paraId="65E9E4E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60,000.00</w:t>
            </w:r>
          </w:p>
        </w:tc>
        <w:tc>
          <w:tcPr>
            <w:tcW w:w="959" w:type="dxa"/>
            <w:hideMark/>
          </w:tcPr>
          <w:p w14:paraId="58FE971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9F7BAF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FCBFBC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F87ED8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CAFDF8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21E502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7FF4A3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83CC27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FC0684"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India / Subway in Surat</w:t>
            </w:r>
          </w:p>
        </w:tc>
        <w:tc>
          <w:tcPr>
            <w:tcW w:w="975" w:type="dxa"/>
            <w:hideMark/>
          </w:tcPr>
          <w:p w14:paraId="1492BE5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w:t>
            </w:r>
          </w:p>
        </w:tc>
        <w:tc>
          <w:tcPr>
            <w:tcW w:w="959" w:type="dxa"/>
            <w:hideMark/>
          </w:tcPr>
          <w:p w14:paraId="5C9CAE8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1E131B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73DE3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C469B7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BC699B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D04D76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2DC7776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CAAC3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FC7E4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India / Equity investment in solar unit deployment in India</w:t>
            </w:r>
          </w:p>
        </w:tc>
        <w:tc>
          <w:tcPr>
            <w:tcW w:w="975" w:type="dxa"/>
            <w:hideMark/>
          </w:tcPr>
          <w:p w14:paraId="4A866FF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13,485.56</w:t>
            </w:r>
          </w:p>
        </w:tc>
        <w:tc>
          <w:tcPr>
            <w:tcW w:w="959" w:type="dxa"/>
            <w:hideMark/>
          </w:tcPr>
          <w:p w14:paraId="2281693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9AD1AD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0EBCA7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50C292E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w:t>
            </w:r>
          </w:p>
        </w:tc>
        <w:tc>
          <w:tcPr>
            <w:tcW w:w="1060" w:type="dxa"/>
            <w:hideMark/>
          </w:tcPr>
          <w:p w14:paraId="538A0AF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1D4AE2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07290B7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0C7BCC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E07DC39"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Indonesia / Marine meteorology system</w:t>
            </w:r>
          </w:p>
        </w:tc>
        <w:tc>
          <w:tcPr>
            <w:tcW w:w="975" w:type="dxa"/>
            <w:hideMark/>
          </w:tcPr>
          <w:p w14:paraId="1E984EE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63,718.24</w:t>
            </w:r>
          </w:p>
        </w:tc>
        <w:tc>
          <w:tcPr>
            <w:tcW w:w="959" w:type="dxa"/>
            <w:hideMark/>
          </w:tcPr>
          <w:p w14:paraId="54179F6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94A0D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8E949E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8C3E2E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DE396A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F18228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1BF1209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14095C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713695"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Indonesia / Climate finance</w:t>
            </w:r>
          </w:p>
        </w:tc>
        <w:tc>
          <w:tcPr>
            <w:tcW w:w="975" w:type="dxa"/>
            <w:hideMark/>
          </w:tcPr>
          <w:p w14:paraId="0647922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119,946.69</w:t>
            </w:r>
          </w:p>
        </w:tc>
        <w:tc>
          <w:tcPr>
            <w:tcW w:w="959" w:type="dxa"/>
            <w:hideMark/>
          </w:tcPr>
          <w:p w14:paraId="02BD9E9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F7A770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8341AE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1F93A4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13E9E2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A44F8A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5304265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30AAA4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BDCA0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Indonesia / Support to fiscal reform</w:t>
            </w:r>
          </w:p>
        </w:tc>
        <w:tc>
          <w:tcPr>
            <w:tcW w:w="975" w:type="dxa"/>
            <w:hideMark/>
          </w:tcPr>
          <w:p w14:paraId="5CFC623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30,600.00</w:t>
            </w:r>
          </w:p>
        </w:tc>
        <w:tc>
          <w:tcPr>
            <w:tcW w:w="959" w:type="dxa"/>
            <w:hideMark/>
          </w:tcPr>
          <w:p w14:paraId="59515CA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15C70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2454B7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76D130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E7F1A7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D26AF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01865E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8AC959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346C8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Indonesia / Developing sustainable fishing after a tsunami</w:t>
            </w:r>
          </w:p>
        </w:tc>
        <w:tc>
          <w:tcPr>
            <w:tcW w:w="975" w:type="dxa"/>
            <w:hideMark/>
          </w:tcPr>
          <w:p w14:paraId="5534F42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w:t>
            </w:r>
          </w:p>
        </w:tc>
        <w:tc>
          <w:tcPr>
            <w:tcW w:w="959" w:type="dxa"/>
            <w:hideMark/>
          </w:tcPr>
          <w:p w14:paraId="6B87461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F99F7D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0C4DDC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B7CCE6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E06CDE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615452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090B7C4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27D153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F30F0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(irak) / Increase social and economic resilience through access to water</w:t>
            </w:r>
          </w:p>
        </w:tc>
        <w:tc>
          <w:tcPr>
            <w:tcW w:w="975" w:type="dxa"/>
            <w:hideMark/>
          </w:tcPr>
          <w:p w14:paraId="1A95601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10,800.00</w:t>
            </w:r>
          </w:p>
        </w:tc>
        <w:tc>
          <w:tcPr>
            <w:tcW w:w="959" w:type="dxa"/>
            <w:hideMark/>
          </w:tcPr>
          <w:p w14:paraId="6F93D0D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4C0497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FCFF17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770214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3B9649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A55508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5FFD43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9A7202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3A4245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Jordan / Public policies in the water sector</w:t>
            </w:r>
          </w:p>
        </w:tc>
        <w:tc>
          <w:tcPr>
            <w:tcW w:w="975" w:type="dxa"/>
            <w:hideMark/>
          </w:tcPr>
          <w:p w14:paraId="4B13086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96,000.00</w:t>
            </w:r>
          </w:p>
        </w:tc>
        <w:tc>
          <w:tcPr>
            <w:tcW w:w="959" w:type="dxa"/>
            <w:hideMark/>
          </w:tcPr>
          <w:p w14:paraId="343544D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A9F7AA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331EE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D9D525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76B922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4D2491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2249F0C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30810A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89E098"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Jordan / Climate risk management</w:t>
            </w:r>
          </w:p>
        </w:tc>
        <w:tc>
          <w:tcPr>
            <w:tcW w:w="975" w:type="dxa"/>
            <w:hideMark/>
          </w:tcPr>
          <w:p w14:paraId="237A124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w:t>
            </w:r>
          </w:p>
        </w:tc>
        <w:tc>
          <w:tcPr>
            <w:tcW w:w="959" w:type="dxa"/>
            <w:hideMark/>
          </w:tcPr>
          <w:p w14:paraId="1D1C907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BDE775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096716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68A04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7CBC79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FB5A30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463C514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87199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739F0D"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Jordan / Climate risk management</w:t>
            </w:r>
          </w:p>
        </w:tc>
        <w:tc>
          <w:tcPr>
            <w:tcW w:w="975" w:type="dxa"/>
            <w:hideMark/>
          </w:tcPr>
          <w:p w14:paraId="69A97B0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w:t>
            </w:r>
          </w:p>
        </w:tc>
        <w:tc>
          <w:tcPr>
            <w:tcW w:w="959" w:type="dxa"/>
            <w:hideMark/>
          </w:tcPr>
          <w:p w14:paraId="25E1BC6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0063EE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AA7B1D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E5EF02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B3000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BA162F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595F4F4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FE1BEC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1613B9"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Jordan / Sanitation networks</w:t>
            </w:r>
          </w:p>
        </w:tc>
        <w:tc>
          <w:tcPr>
            <w:tcW w:w="975" w:type="dxa"/>
            <w:hideMark/>
          </w:tcPr>
          <w:p w14:paraId="5EFF993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w:t>
            </w:r>
          </w:p>
        </w:tc>
        <w:tc>
          <w:tcPr>
            <w:tcW w:w="959" w:type="dxa"/>
            <w:hideMark/>
          </w:tcPr>
          <w:p w14:paraId="0EA5BA4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6E92EB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AB0BC1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92C10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A76529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84A369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621CA48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7FACA1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261381B"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Jordan / Sanitation networks</w:t>
            </w:r>
          </w:p>
        </w:tc>
        <w:tc>
          <w:tcPr>
            <w:tcW w:w="975" w:type="dxa"/>
            <w:hideMark/>
          </w:tcPr>
          <w:p w14:paraId="36B22CD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4,700.00</w:t>
            </w:r>
          </w:p>
        </w:tc>
        <w:tc>
          <w:tcPr>
            <w:tcW w:w="959" w:type="dxa"/>
            <w:hideMark/>
          </w:tcPr>
          <w:p w14:paraId="6C6FF7F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E87DAB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CDDF27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9ACDA7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744CE8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5B41B0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197EFE9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DB07FD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27B444"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Jordan / Sanitation networks</w:t>
            </w:r>
          </w:p>
        </w:tc>
        <w:tc>
          <w:tcPr>
            <w:tcW w:w="975" w:type="dxa"/>
            <w:hideMark/>
          </w:tcPr>
          <w:p w14:paraId="2D3B5B5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5,300.00</w:t>
            </w:r>
          </w:p>
        </w:tc>
        <w:tc>
          <w:tcPr>
            <w:tcW w:w="959" w:type="dxa"/>
            <w:hideMark/>
          </w:tcPr>
          <w:p w14:paraId="592CBD4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466130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AF3C8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55C1CB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9C677B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DEB7C3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4E09814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FEA035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725442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(laos) / Restoration of gravity-based irrigation systems</w:t>
            </w:r>
          </w:p>
        </w:tc>
        <w:tc>
          <w:tcPr>
            <w:tcW w:w="975" w:type="dxa"/>
            <w:hideMark/>
          </w:tcPr>
          <w:p w14:paraId="4BB47F5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1,110.00</w:t>
            </w:r>
          </w:p>
        </w:tc>
        <w:tc>
          <w:tcPr>
            <w:tcW w:w="959" w:type="dxa"/>
            <w:hideMark/>
          </w:tcPr>
          <w:p w14:paraId="6685C0A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43DED7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6CCAE2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542BF0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CA8333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BC252A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28E9799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8CE68C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F8F4C5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(laos) / Nutrition and food security</w:t>
            </w:r>
          </w:p>
        </w:tc>
        <w:tc>
          <w:tcPr>
            <w:tcW w:w="975" w:type="dxa"/>
            <w:hideMark/>
          </w:tcPr>
          <w:p w14:paraId="67708BB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w:t>
            </w:r>
          </w:p>
        </w:tc>
        <w:tc>
          <w:tcPr>
            <w:tcW w:w="959" w:type="dxa"/>
            <w:hideMark/>
          </w:tcPr>
          <w:p w14:paraId="63AD74F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06C7D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D1093F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009817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7B95D9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D4776B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9A1372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3739A0D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967350"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(laos) / Rural development</w:t>
            </w:r>
          </w:p>
        </w:tc>
        <w:tc>
          <w:tcPr>
            <w:tcW w:w="975" w:type="dxa"/>
            <w:hideMark/>
          </w:tcPr>
          <w:p w14:paraId="03D26F7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270.00</w:t>
            </w:r>
          </w:p>
        </w:tc>
        <w:tc>
          <w:tcPr>
            <w:tcW w:w="959" w:type="dxa"/>
            <w:hideMark/>
          </w:tcPr>
          <w:p w14:paraId="3B0A48C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496A98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2F2999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FFA8E1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A29112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48392A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69E05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0C8F531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DCE80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Lebanon / Improve access to water and education for refugees</w:t>
            </w:r>
          </w:p>
        </w:tc>
        <w:tc>
          <w:tcPr>
            <w:tcW w:w="975" w:type="dxa"/>
            <w:hideMark/>
          </w:tcPr>
          <w:p w14:paraId="0DBDE85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9,450.00</w:t>
            </w:r>
          </w:p>
        </w:tc>
        <w:tc>
          <w:tcPr>
            <w:tcW w:w="959" w:type="dxa"/>
            <w:hideMark/>
          </w:tcPr>
          <w:p w14:paraId="4986903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A56920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62DC5E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50F00B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B9A803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1355F6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799A65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B40FE8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1735A0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Lebanon / Improve access to water and education for refugees</w:t>
            </w:r>
          </w:p>
        </w:tc>
        <w:tc>
          <w:tcPr>
            <w:tcW w:w="975" w:type="dxa"/>
            <w:hideMark/>
          </w:tcPr>
          <w:p w14:paraId="7151424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w:t>
            </w:r>
          </w:p>
        </w:tc>
        <w:tc>
          <w:tcPr>
            <w:tcW w:w="959" w:type="dxa"/>
            <w:hideMark/>
          </w:tcPr>
          <w:p w14:paraId="5568EE0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580074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BA3803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A798C0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3FDB32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6CF758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FDC8E0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29C71E0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70668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Myanmar / Restoration of five hydroelectric power plants</w:t>
            </w:r>
          </w:p>
        </w:tc>
        <w:tc>
          <w:tcPr>
            <w:tcW w:w="975" w:type="dxa"/>
            <w:hideMark/>
          </w:tcPr>
          <w:p w14:paraId="1E1AA78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35,700.00</w:t>
            </w:r>
          </w:p>
        </w:tc>
        <w:tc>
          <w:tcPr>
            <w:tcW w:w="959" w:type="dxa"/>
            <w:hideMark/>
          </w:tcPr>
          <w:p w14:paraId="7F98E4D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790ECC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DD900F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907AA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06193AA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0ECB1A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3680CF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51BFB5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6D7BD65"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Myanmar / Biodiversity protection</w:t>
            </w:r>
          </w:p>
        </w:tc>
        <w:tc>
          <w:tcPr>
            <w:tcW w:w="975" w:type="dxa"/>
            <w:hideMark/>
          </w:tcPr>
          <w:p w14:paraId="2D89B72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1743A5B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93820F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95556E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9F3DE7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BA97EE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07716E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03B6565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D5C8C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85EC02"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Nepal / Hydroelectric power plant</w:t>
            </w:r>
          </w:p>
        </w:tc>
        <w:tc>
          <w:tcPr>
            <w:tcW w:w="975" w:type="dxa"/>
            <w:hideMark/>
          </w:tcPr>
          <w:p w14:paraId="35BBD36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22,391.40</w:t>
            </w:r>
          </w:p>
        </w:tc>
        <w:tc>
          <w:tcPr>
            <w:tcW w:w="959" w:type="dxa"/>
            <w:hideMark/>
          </w:tcPr>
          <w:p w14:paraId="01AB007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83DEFC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B25A77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0E96C48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48FEDE7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4A855A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78EA3E1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27D755F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292D1AA"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Uzbekistan / Hydroelectric power plant</w:t>
            </w:r>
          </w:p>
        </w:tc>
        <w:tc>
          <w:tcPr>
            <w:tcW w:w="975" w:type="dxa"/>
            <w:hideMark/>
          </w:tcPr>
          <w:p w14:paraId="0582594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55,800.00</w:t>
            </w:r>
          </w:p>
        </w:tc>
        <w:tc>
          <w:tcPr>
            <w:tcW w:w="959" w:type="dxa"/>
            <w:hideMark/>
          </w:tcPr>
          <w:p w14:paraId="74A6B4B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A6F500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B5E197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40322C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758EEA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9C83A6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51759B6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55971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B09001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Pakistan / High-speed bus system in Karachi</w:t>
            </w:r>
          </w:p>
        </w:tc>
        <w:tc>
          <w:tcPr>
            <w:tcW w:w="975" w:type="dxa"/>
            <w:hideMark/>
          </w:tcPr>
          <w:p w14:paraId="7355C17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90,000.00</w:t>
            </w:r>
          </w:p>
        </w:tc>
        <w:tc>
          <w:tcPr>
            <w:tcW w:w="959" w:type="dxa"/>
            <w:hideMark/>
          </w:tcPr>
          <w:p w14:paraId="3BEB817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4D1A11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91DF5C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D6AA7E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FB78C1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F85A23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64AD3F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C0DBDC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68EA0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Philippines / Supporting public-private partnerships</w:t>
            </w:r>
          </w:p>
        </w:tc>
        <w:tc>
          <w:tcPr>
            <w:tcW w:w="975" w:type="dxa"/>
            <w:hideMark/>
          </w:tcPr>
          <w:p w14:paraId="5AE705C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w:t>
            </w:r>
          </w:p>
        </w:tc>
        <w:tc>
          <w:tcPr>
            <w:tcW w:w="959" w:type="dxa"/>
            <w:hideMark/>
          </w:tcPr>
          <w:p w14:paraId="6BD4969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5A180F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FDD251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1E41D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741EC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72BE69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A391CA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89D6EA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36B6EA"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Sri Lanka / Sanitation management</w:t>
            </w:r>
          </w:p>
        </w:tc>
        <w:tc>
          <w:tcPr>
            <w:tcW w:w="975" w:type="dxa"/>
            <w:hideMark/>
          </w:tcPr>
          <w:p w14:paraId="1C14024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99,630.00</w:t>
            </w:r>
          </w:p>
        </w:tc>
        <w:tc>
          <w:tcPr>
            <w:tcW w:w="959" w:type="dxa"/>
            <w:hideMark/>
          </w:tcPr>
          <w:p w14:paraId="46A749E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CA4DE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E1A5DF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494CE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BBE822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69327D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66C6CF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C4CAD0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AAC34CC"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(palestinian Autonomous Territories) / Rural development</w:t>
            </w:r>
          </w:p>
        </w:tc>
        <w:tc>
          <w:tcPr>
            <w:tcW w:w="975" w:type="dxa"/>
            <w:hideMark/>
          </w:tcPr>
          <w:p w14:paraId="4B724E7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2,720.00</w:t>
            </w:r>
          </w:p>
        </w:tc>
        <w:tc>
          <w:tcPr>
            <w:tcW w:w="959" w:type="dxa"/>
            <w:hideMark/>
          </w:tcPr>
          <w:p w14:paraId="7B38718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F6873D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5315F5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224659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9599CB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DDE942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EE6EE3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705C18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9706F1"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(palestinian Autonomous Territories) / Rural development</w:t>
            </w:r>
          </w:p>
        </w:tc>
        <w:tc>
          <w:tcPr>
            <w:tcW w:w="975" w:type="dxa"/>
            <w:hideMark/>
          </w:tcPr>
          <w:p w14:paraId="30F208C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680.00</w:t>
            </w:r>
          </w:p>
        </w:tc>
        <w:tc>
          <w:tcPr>
            <w:tcW w:w="959" w:type="dxa"/>
            <w:hideMark/>
          </w:tcPr>
          <w:p w14:paraId="5047306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618BA2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DAA69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D8EB26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65E2C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5D7340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BF311F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1689FE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2DED8E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(palestinian Autonomous Territories) / Interconnection of water networks</w:t>
            </w:r>
          </w:p>
        </w:tc>
        <w:tc>
          <w:tcPr>
            <w:tcW w:w="975" w:type="dxa"/>
            <w:hideMark/>
          </w:tcPr>
          <w:p w14:paraId="7A33BC8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w:t>
            </w:r>
          </w:p>
        </w:tc>
        <w:tc>
          <w:tcPr>
            <w:tcW w:w="959" w:type="dxa"/>
            <w:hideMark/>
          </w:tcPr>
          <w:p w14:paraId="2DD38F9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83919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85EF7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A3F7D7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0BD400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74D574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5D1A34C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C0915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CB04F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(palestinian Autonomous Territories) / Water treatment plant</w:t>
            </w:r>
          </w:p>
        </w:tc>
        <w:tc>
          <w:tcPr>
            <w:tcW w:w="975" w:type="dxa"/>
            <w:hideMark/>
          </w:tcPr>
          <w:p w14:paraId="488A130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w:t>
            </w:r>
          </w:p>
        </w:tc>
        <w:tc>
          <w:tcPr>
            <w:tcW w:w="959" w:type="dxa"/>
            <w:hideMark/>
          </w:tcPr>
          <w:p w14:paraId="7407EBB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EE9FFC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2074A4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CB9EB9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39029F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CA5E8D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63E1E48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D00F4C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80AB37"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(palestinian Autonomous Territories) / Improving water management in agriculture</w:t>
            </w:r>
          </w:p>
        </w:tc>
        <w:tc>
          <w:tcPr>
            <w:tcW w:w="975" w:type="dxa"/>
            <w:hideMark/>
          </w:tcPr>
          <w:p w14:paraId="6A351FB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232.00</w:t>
            </w:r>
          </w:p>
        </w:tc>
        <w:tc>
          <w:tcPr>
            <w:tcW w:w="959" w:type="dxa"/>
            <w:hideMark/>
          </w:tcPr>
          <w:p w14:paraId="130F8FC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70C3B6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B50DF4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891707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E956E3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5B2D32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85C6E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755391D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BAC6C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(vietnam) / Improved ticketing service for the Hanoi metro</w:t>
            </w:r>
          </w:p>
        </w:tc>
        <w:tc>
          <w:tcPr>
            <w:tcW w:w="975" w:type="dxa"/>
            <w:hideMark/>
          </w:tcPr>
          <w:p w14:paraId="7069071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w:t>
            </w:r>
          </w:p>
        </w:tc>
        <w:tc>
          <w:tcPr>
            <w:tcW w:w="959" w:type="dxa"/>
            <w:hideMark/>
          </w:tcPr>
          <w:p w14:paraId="08415FF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F0C189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E1855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6850CF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94FA07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ECB162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301D76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Treasury loan</w:t>
            </w:r>
          </w:p>
        </w:tc>
      </w:tr>
      <w:tr w:rsidR="001808DF" w:rsidRPr="001808DF" w14:paraId="04AAA48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20F228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Serbia / Preliminary studies for the Belgrade metro</w:t>
            </w:r>
          </w:p>
        </w:tc>
        <w:tc>
          <w:tcPr>
            <w:tcW w:w="975" w:type="dxa"/>
            <w:hideMark/>
          </w:tcPr>
          <w:p w14:paraId="39AC4FB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3,320.00</w:t>
            </w:r>
          </w:p>
        </w:tc>
        <w:tc>
          <w:tcPr>
            <w:tcW w:w="959" w:type="dxa"/>
            <w:hideMark/>
          </w:tcPr>
          <w:p w14:paraId="227ADB9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E4663C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D6FA1A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E99C9B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CDBDB2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9733C1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74D4040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08B2318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76CD2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Indonesia / Feasability study on the implementation of smart grids </w:t>
            </w:r>
          </w:p>
        </w:tc>
        <w:tc>
          <w:tcPr>
            <w:tcW w:w="975" w:type="dxa"/>
            <w:hideMark/>
          </w:tcPr>
          <w:p w14:paraId="65A8F92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156.00</w:t>
            </w:r>
          </w:p>
        </w:tc>
        <w:tc>
          <w:tcPr>
            <w:tcW w:w="959" w:type="dxa"/>
            <w:hideMark/>
          </w:tcPr>
          <w:p w14:paraId="1E6C336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7FCBA2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57E4BC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92EC4F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246713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372747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18EAF47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126BB67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230B3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(lebanon And Egypt) / SupMed - land degradation</w:t>
            </w:r>
          </w:p>
        </w:tc>
        <w:tc>
          <w:tcPr>
            <w:tcW w:w="975" w:type="dxa"/>
            <w:hideMark/>
          </w:tcPr>
          <w:p w14:paraId="5673256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1,700.00</w:t>
            </w:r>
          </w:p>
        </w:tc>
        <w:tc>
          <w:tcPr>
            <w:tcW w:w="959" w:type="dxa"/>
            <w:hideMark/>
          </w:tcPr>
          <w:p w14:paraId="1A6E14F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C2724F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4C109E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CA54F9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CEB0C9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04E508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77303F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4F318F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43621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(timor-leste) / Transition towards peasant agriculture for food sovereignty</w:t>
            </w:r>
          </w:p>
        </w:tc>
        <w:tc>
          <w:tcPr>
            <w:tcW w:w="975" w:type="dxa"/>
            <w:hideMark/>
          </w:tcPr>
          <w:p w14:paraId="391635E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1,221.00</w:t>
            </w:r>
          </w:p>
        </w:tc>
        <w:tc>
          <w:tcPr>
            <w:tcW w:w="959" w:type="dxa"/>
            <w:hideMark/>
          </w:tcPr>
          <w:p w14:paraId="241E2E2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4DCEB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A3F9D7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588D04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CAAD27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057F7B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9C6157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058862B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B5E0ED6"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Argentina / Renewable energy</w:t>
            </w:r>
          </w:p>
        </w:tc>
        <w:tc>
          <w:tcPr>
            <w:tcW w:w="975" w:type="dxa"/>
            <w:hideMark/>
          </w:tcPr>
          <w:p w14:paraId="226BFB1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35,961.52</w:t>
            </w:r>
          </w:p>
        </w:tc>
        <w:tc>
          <w:tcPr>
            <w:tcW w:w="959" w:type="dxa"/>
            <w:hideMark/>
          </w:tcPr>
          <w:p w14:paraId="238B6E0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709CF6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E6569D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639B5B3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5A081B1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403F25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675855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65F7DB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401511"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Argentina / Financial intermediation</w:t>
            </w:r>
          </w:p>
        </w:tc>
        <w:tc>
          <w:tcPr>
            <w:tcW w:w="975" w:type="dxa"/>
            <w:hideMark/>
          </w:tcPr>
          <w:p w14:paraId="2175206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44,567.25</w:t>
            </w:r>
          </w:p>
        </w:tc>
        <w:tc>
          <w:tcPr>
            <w:tcW w:w="959" w:type="dxa"/>
            <w:hideMark/>
          </w:tcPr>
          <w:p w14:paraId="25696A4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81F3BF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14BB36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02ED70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w:t>
            </w:r>
          </w:p>
        </w:tc>
        <w:tc>
          <w:tcPr>
            <w:tcW w:w="1060" w:type="dxa"/>
            <w:hideMark/>
          </w:tcPr>
          <w:p w14:paraId="6FFCFCF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7826BF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4175F9A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4BDE112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A8E6CA"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Bolivia / Energy transition</w:t>
            </w:r>
          </w:p>
        </w:tc>
        <w:tc>
          <w:tcPr>
            <w:tcW w:w="975" w:type="dxa"/>
            <w:hideMark/>
          </w:tcPr>
          <w:p w14:paraId="1AAAD49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73,800.00</w:t>
            </w:r>
          </w:p>
        </w:tc>
        <w:tc>
          <w:tcPr>
            <w:tcW w:w="959" w:type="dxa"/>
            <w:hideMark/>
          </w:tcPr>
          <w:p w14:paraId="26A9517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8A7CC3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852A02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4D755F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40964A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76753E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620A9AB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9A004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44171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Brazil / Restoration of efficient cooling system</w:t>
            </w:r>
          </w:p>
        </w:tc>
        <w:tc>
          <w:tcPr>
            <w:tcW w:w="975" w:type="dxa"/>
            <w:hideMark/>
          </w:tcPr>
          <w:p w14:paraId="4C36FA7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22,896.00</w:t>
            </w:r>
          </w:p>
        </w:tc>
        <w:tc>
          <w:tcPr>
            <w:tcW w:w="959" w:type="dxa"/>
            <w:hideMark/>
          </w:tcPr>
          <w:p w14:paraId="74328B2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21149A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C43A0D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97E977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885D38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10FA77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30989BD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19312E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DFBB02"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Brazil / Energy efficiency</w:t>
            </w:r>
          </w:p>
        </w:tc>
        <w:tc>
          <w:tcPr>
            <w:tcW w:w="975" w:type="dxa"/>
            <w:hideMark/>
          </w:tcPr>
          <w:p w14:paraId="34161FF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60,000.00</w:t>
            </w:r>
          </w:p>
        </w:tc>
        <w:tc>
          <w:tcPr>
            <w:tcW w:w="959" w:type="dxa"/>
            <w:hideMark/>
          </w:tcPr>
          <w:p w14:paraId="4FD5BB5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582078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8677B9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4FE315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6B8BC6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820089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0FF7696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134C45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249A94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Brazil / Supporting the strategy change of BRDE</w:t>
            </w:r>
          </w:p>
        </w:tc>
        <w:tc>
          <w:tcPr>
            <w:tcW w:w="975" w:type="dxa"/>
            <w:hideMark/>
          </w:tcPr>
          <w:p w14:paraId="7EF09FF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49,000.00</w:t>
            </w:r>
          </w:p>
        </w:tc>
        <w:tc>
          <w:tcPr>
            <w:tcW w:w="959" w:type="dxa"/>
            <w:hideMark/>
          </w:tcPr>
          <w:p w14:paraId="70360BB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46C59D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BBFC9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792BA2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2FCE7A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B4FB80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4C53AD8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89E081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5E506C"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Brazil / Renewable energy</w:t>
            </w:r>
          </w:p>
        </w:tc>
        <w:tc>
          <w:tcPr>
            <w:tcW w:w="975" w:type="dxa"/>
            <w:hideMark/>
          </w:tcPr>
          <w:p w14:paraId="5D4005E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w:t>
            </w:r>
          </w:p>
        </w:tc>
        <w:tc>
          <w:tcPr>
            <w:tcW w:w="959" w:type="dxa"/>
            <w:hideMark/>
          </w:tcPr>
          <w:p w14:paraId="7C2EE0A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D6E5FC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E5D5D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ECAED9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2A0AA17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4E013C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5363040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E377CF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AA014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Colombia / Upgrading the water and sanitation network in Pasto</w:t>
            </w:r>
          </w:p>
        </w:tc>
        <w:tc>
          <w:tcPr>
            <w:tcW w:w="975" w:type="dxa"/>
            <w:hideMark/>
          </w:tcPr>
          <w:p w14:paraId="71FFB1D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795790E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F5DD7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E114E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901E54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18C4D0F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1928D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E3ABB7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57A925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C2899E"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Colombia / Agroecology</w:t>
            </w:r>
          </w:p>
        </w:tc>
        <w:tc>
          <w:tcPr>
            <w:tcW w:w="975" w:type="dxa"/>
            <w:hideMark/>
          </w:tcPr>
          <w:p w14:paraId="3F26437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320.00</w:t>
            </w:r>
          </w:p>
        </w:tc>
        <w:tc>
          <w:tcPr>
            <w:tcW w:w="959" w:type="dxa"/>
            <w:hideMark/>
          </w:tcPr>
          <w:p w14:paraId="39F740F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D840C8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DE2B91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DE2A95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B86C16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BB738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6EF4194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7A579DC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A4CA31D"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Costa Rica / Public policy</w:t>
            </w:r>
          </w:p>
        </w:tc>
        <w:tc>
          <w:tcPr>
            <w:tcW w:w="975" w:type="dxa"/>
            <w:hideMark/>
          </w:tcPr>
          <w:p w14:paraId="191A806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134,819.34</w:t>
            </w:r>
          </w:p>
        </w:tc>
        <w:tc>
          <w:tcPr>
            <w:tcW w:w="959" w:type="dxa"/>
            <w:hideMark/>
          </w:tcPr>
          <w:p w14:paraId="28BBD1D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86E25A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4A878B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E2C3C5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2143F2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DC7C20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236BD1A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4D733B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E4DDE6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Dominican Republic / Reforestation and soil restoration</w:t>
            </w:r>
          </w:p>
        </w:tc>
        <w:tc>
          <w:tcPr>
            <w:tcW w:w="975" w:type="dxa"/>
            <w:hideMark/>
          </w:tcPr>
          <w:p w14:paraId="5C58CA2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w:t>
            </w:r>
          </w:p>
        </w:tc>
        <w:tc>
          <w:tcPr>
            <w:tcW w:w="959" w:type="dxa"/>
            <w:hideMark/>
          </w:tcPr>
          <w:p w14:paraId="554F829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650FD6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C16DEA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469161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6E80831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5332A97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99BB0B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905276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EE71DF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Dominican Republic / Reforestation and soil restoration</w:t>
            </w:r>
          </w:p>
        </w:tc>
        <w:tc>
          <w:tcPr>
            <w:tcW w:w="975" w:type="dxa"/>
            <w:hideMark/>
          </w:tcPr>
          <w:p w14:paraId="5376431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7AF8641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62533B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C3E513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DBDB0D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1364BF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B0D72E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DFD49C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267B28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C62DE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Dominican Republic / Reform of the transport sector</w:t>
            </w:r>
          </w:p>
        </w:tc>
        <w:tc>
          <w:tcPr>
            <w:tcW w:w="975" w:type="dxa"/>
            <w:hideMark/>
          </w:tcPr>
          <w:p w14:paraId="0EDCD92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89,461.44</w:t>
            </w:r>
          </w:p>
        </w:tc>
        <w:tc>
          <w:tcPr>
            <w:tcW w:w="959" w:type="dxa"/>
            <w:hideMark/>
          </w:tcPr>
          <w:p w14:paraId="49848BC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CF2675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A737A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B40B0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BB9E16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508360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070DAB0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3B903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F39476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Ecuador / Transforming the financial system for climate</w:t>
            </w:r>
          </w:p>
        </w:tc>
        <w:tc>
          <w:tcPr>
            <w:tcW w:w="975" w:type="dxa"/>
            <w:hideMark/>
          </w:tcPr>
          <w:p w14:paraId="63750A2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12,500.00</w:t>
            </w:r>
          </w:p>
        </w:tc>
        <w:tc>
          <w:tcPr>
            <w:tcW w:w="959" w:type="dxa"/>
            <w:hideMark/>
          </w:tcPr>
          <w:p w14:paraId="1C12EB1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CD2577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C71E58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487ED3C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448EE5B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9104DD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418704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7DC0D9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BD94B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Ecuador / Transforming the financial system for climate</w:t>
            </w:r>
          </w:p>
        </w:tc>
        <w:tc>
          <w:tcPr>
            <w:tcW w:w="975" w:type="dxa"/>
            <w:hideMark/>
          </w:tcPr>
          <w:p w14:paraId="52FF502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w:t>
            </w:r>
          </w:p>
        </w:tc>
        <w:tc>
          <w:tcPr>
            <w:tcW w:w="959" w:type="dxa"/>
            <w:hideMark/>
          </w:tcPr>
          <w:p w14:paraId="27B2C4E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039B35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0A27C2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4482CD8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69144FB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B433A3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6D1CE07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E92D01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0179E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Ecuador / Transforming the financial system for climate</w:t>
            </w:r>
          </w:p>
        </w:tc>
        <w:tc>
          <w:tcPr>
            <w:tcW w:w="975" w:type="dxa"/>
            <w:hideMark/>
          </w:tcPr>
          <w:p w14:paraId="73AD461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w:t>
            </w:r>
          </w:p>
        </w:tc>
        <w:tc>
          <w:tcPr>
            <w:tcW w:w="959" w:type="dxa"/>
            <w:hideMark/>
          </w:tcPr>
          <w:p w14:paraId="5965BCC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F08574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E099DC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01F6CAB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73CB85D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1DADEF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24A810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537C8C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146203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Ecuador / Transforming the financial system for climate</w:t>
            </w:r>
          </w:p>
        </w:tc>
        <w:tc>
          <w:tcPr>
            <w:tcW w:w="975" w:type="dxa"/>
            <w:hideMark/>
          </w:tcPr>
          <w:p w14:paraId="3A4F466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6,800.00</w:t>
            </w:r>
          </w:p>
        </w:tc>
        <w:tc>
          <w:tcPr>
            <w:tcW w:w="959" w:type="dxa"/>
            <w:hideMark/>
          </w:tcPr>
          <w:p w14:paraId="0E4CEED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87410B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7B1149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3F6ED6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1A21B5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A3801B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71A5804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509D39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1DC311"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Ecuador / Social housing</w:t>
            </w:r>
          </w:p>
        </w:tc>
        <w:tc>
          <w:tcPr>
            <w:tcW w:w="975" w:type="dxa"/>
            <w:hideMark/>
          </w:tcPr>
          <w:p w14:paraId="28D1687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27,010.22</w:t>
            </w:r>
          </w:p>
        </w:tc>
        <w:tc>
          <w:tcPr>
            <w:tcW w:w="959" w:type="dxa"/>
            <w:hideMark/>
          </w:tcPr>
          <w:p w14:paraId="04A1C93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DB0317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B66AC2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CE7FD2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AE8CED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052DA2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7586F24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69A14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07A92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Ecuador / Public policy in the agriculture sector</w:t>
            </w:r>
          </w:p>
        </w:tc>
        <w:tc>
          <w:tcPr>
            <w:tcW w:w="975" w:type="dxa"/>
            <w:hideMark/>
          </w:tcPr>
          <w:p w14:paraId="41F1918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135,049.97</w:t>
            </w:r>
          </w:p>
        </w:tc>
        <w:tc>
          <w:tcPr>
            <w:tcW w:w="959" w:type="dxa"/>
            <w:hideMark/>
          </w:tcPr>
          <w:p w14:paraId="6B68461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56226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5734E1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387C5C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6ABB8C8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80C09F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40E61AA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1A4A2E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05A897"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Guatemala / Wind power plant</w:t>
            </w:r>
          </w:p>
        </w:tc>
        <w:tc>
          <w:tcPr>
            <w:tcW w:w="975" w:type="dxa"/>
            <w:hideMark/>
          </w:tcPr>
          <w:p w14:paraId="24218E4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18,155.41</w:t>
            </w:r>
          </w:p>
        </w:tc>
        <w:tc>
          <w:tcPr>
            <w:tcW w:w="959" w:type="dxa"/>
            <w:hideMark/>
          </w:tcPr>
          <w:p w14:paraId="365D447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317716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5673C4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0480A69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5684DD0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220496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6BAC076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0ABAE0D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4096ED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Haiti / Agroforestry for coffee production</w:t>
            </w:r>
          </w:p>
        </w:tc>
        <w:tc>
          <w:tcPr>
            <w:tcW w:w="975" w:type="dxa"/>
            <w:hideMark/>
          </w:tcPr>
          <w:p w14:paraId="58EF58B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w:t>
            </w:r>
          </w:p>
        </w:tc>
        <w:tc>
          <w:tcPr>
            <w:tcW w:w="959" w:type="dxa"/>
            <w:hideMark/>
          </w:tcPr>
          <w:p w14:paraId="712C7B4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281BE6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672B2C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940BCE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39BD07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B9A652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D27CB9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63C017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5132CF"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Haiti / Climate risk management</w:t>
            </w:r>
          </w:p>
        </w:tc>
        <w:tc>
          <w:tcPr>
            <w:tcW w:w="975" w:type="dxa"/>
            <w:hideMark/>
          </w:tcPr>
          <w:p w14:paraId="4C1715B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2CA8607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288EF3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A4F2B1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A33E3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3A0D67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C4FE4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5FFA09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C0B218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70FFB1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Haiti / Reduce climate-induced diseases</w:t>
            </w:r>
          </w:p>
        </w:tc>
        <w:tc>
          <w:tcPr>
            <w:tcW w:w="975" w:type="dxa"/>
            <w:hideMark/>
          </w:tcPr>
          <w:p w14:paraId="5B21175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w:t>
            </w:r>
          </w:p>
        </w:tc>
        <w:tc>
          <w:tcPr>
            <w:tcW w:w="959" w:type="dxa"/>
            <w:hideMark/>
          </w:tcPr>
          <w:p w14:paraId="1F89715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6CD354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9819A2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C033D8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35B635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3FDF20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003A6A4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1DC0D7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12BAD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Haiti / Developing and inclusive, sustainable and resilient city</w:t>
            </w:r>
          </w:p>
        </w:tc>
        <w:tc>
          <w:tcPr>
            <w:tcW w:w="975" w:type="dxa"/>
            <w:hideMark/>
          </w:tcPr>
          <w:p w14:paraId="1396E78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w:t>
            </w:r>
          </w:p>
        </w:tc>
        <w:tc>
          <w:tcPr>
            <w:tcW w:w="959" w:type="dxa"/>
            <w:hideMark/>
          </w:tcPr>
          <w:p w14:paraId="1F3D17F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5CC094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F8C16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C3D5C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90331B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A9796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146500C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655AB17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1FD5E0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Mexico / Public policies for sustainable development</w:t>
            </w:r>
          </w:p>
        </w:tc>
        <w:tc>
          <w:tcPr>
            <w:tcW w:w="975" w:type="dxa"/>
            <w:hideMark/>
          </w:tcPr>
          <w:p w14:paraId="200D1D8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w:t>
            </w:r>
          </w:p>
        </w:tc>
        <w:tc>
          <w:tcPr>
            <w:tcW w:w="959" w:type="dxa"/>
            <w:hideMark/>
          </w:tcPr>
          <w:p w14:paraId="323336B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1C7B0F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4DC2E4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DE7FEB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28243AD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0F1AA4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221D9E9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3910C5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3563608"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Paraguay / Financial intermediation</w:t>
            </w:r>
          </w:p>
        </w:tc>
        <w:tc>
          <w:tcPr>
            <w:tcW w:w="975" w:type="dxa"/>
            <w:hideMark/>
          </w:tcPr>
          <w:p w14:paraId="7D63C60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33,433.27</w:t>
            </w:r>
          </w:p>
        </w:tc>
        <w:tc>
          <w:tcPr>
            <w:tcW w:w="959" w:type="dxa"/>
            <w:hideMark/>
          </w:tcPr>
          <w:p w14:paraId="77B083F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9C4303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67992F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01077B9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171D781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0941C1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2D0568C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4D0069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E93E124"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Peru / Green social housing</w:t>
            </w:r>
          </w:p>
        </w:tc>
        <w:tc>
          <w:tcPr>
            <w:tcW w:w="975" w:type="dxa"/>
            <w:hideMark/>
          </w:tcPr>
          <w:p w14:paraId="7A30F2F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73,500.00</w:t>
            </w:r>
          </w:p>
        </w:tc>
        <w:tc>
          <w:tcPr>
            <w:tcW w:w="959" w:type="dxa"/>
            <w:hideMark/>
          </w:tcPr>
          <w:p w14:paraId="42E7276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8E09E7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C2C56E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C0FD38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632F7E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5C5D172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7A4F3DB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D9281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D97ED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Cuba / Extending the programme to fight against the Marabu invasive specie</w:t>
            </w:r>
          </w:p>
        </w:tc>
        <w:tc>
          <w:tcPr>
            <w:tcW w:w="975" w:type="dxa"/>
            <w:hideMark/>
          </w:tcPr>
          <w:p w14:paraId="69E4152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w:t>
            </w:r>
          </w:p>
        </w:tc>
        <w:tc>
          <w:tcPr>
            <w:tcW w:w="959" w:type="dxa"/>
            <w:hideMark/>
          </w:tcPr>
          <w:p w14:paraId="6E0CA6E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66CB48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357792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DCF0D8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B47D24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D5A075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1D96F6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4EFBCD6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83C97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Brazil / Feasability study for a tramway in Niteroi</w:t>
            </w:r>
          </w:p>
        </w:tc>
        <w:tc>
          <w:tcPr>
            <w:tcW w:w="975" w:type="dxa"/>
            <w:hideMark/>
          </w:tcPr>
          <w:p w14:paraId="72D4BB4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331.00</w:t>
            </w:r>
          </w:p>
        </w:tc>
        <w:tc>
          <w:tcPr>
            <w:tcW w:w="959" w:type="dxa"/>
            <w:hideMark/>
          </w:tcPr>
          <w:p w14:paraId="6620DBD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59FCE7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EC02D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D920CE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70620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110671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3D505C9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3211AEC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0431D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Mexico / Improving efficiency of geothermal power plants</w:t>
            </w:r>
          </w:p>
        </w:tc>
        <w:tc>
          <w:tcPr>
            <w:tcW w:w="975" w:type="dxa"/>
            <w:hideMark/>
          </w:tcPr>
          <w:p w14:paraId="14F84F1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655.00</w:t>
            </w:r>
          </w:p>
        </w:tc>
        <w:tc>
          <w:tcPr>
            <w:tcW w:w="959" w:type="dxa"/>
            <w:hideMark/>
          </w:tcPr>
          <w:p w14:paraId="14FEB3E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A4814D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A53210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2266BC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70246A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D5E455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249638E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FASEP</w:t>
            </w:r>
          </w:p>
        </w:tc>
      </w:tr>
      <w:tr w:rsidR="001808DF" w:rsidRPr="001808DF" w14:paraId="422559A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6B500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(mexico And Colombia) / Education related to climate change</w:t>
            </w:r>
          </w:p>
        </w:tc>
        <w:tc>
          <w:tcPr>
            <w:tcW w:w="975" w:type="dxa"/>
            <w:hideMark/>
          </w:tcPr>
          <w:p w14:paraId="0EEAE64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1,100.99</w:t>
            </w:r>
          </w:p>
        </w:tc>
        <w:tc>
          <w:tcPr>
            <w:tcW w:w="959" w:type="dxa"/>
            <w:hideMark/>
          </w:tcPr>
          <w:p w14:paraId="6492013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046AF9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2CB2EA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7C9FE7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B32B7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3B7694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E4F455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717CEF1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EC42B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(peru - Ecuador - Bolivia) / Sustainable value chain for the production of Cocoa</w:t>
            </w:r>
          </w:p>
        </w:tc>
        <w:tc>
          <w:tcPr>
            <w:tcW w:w="975" w:type="dxa"/>
            <w:hideMark/>
          </w:tcPr>
          <w:p w14:paraId="5BC930E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w:t>
            </w:r>
          </w:p>
        </w:tc>
        <w:tc>
          <w:tcPr>
            <w:tcW w:w="959" w:type="dxa"/>
            <w:hideMark/>
          </w:tcPr>
          <w:p w14:paraId="50665C3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1EBC62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D1E884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75F2D7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961048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9F6988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445B6A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11A7C51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EC6D8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(carribean States) / Protected marine areas in Costa Rica and the Sargasses sea</w:t>
            </w:r>
          </w:p>
        </w:tc>
        <w:tc>
          <w:tcPr>
            <w:tcW w:w="975" w:type="dxa"/>
            <w:hideMark/>
          </w:tcPr>
          <w:p w14:paraId="6933257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2,997.00</w:t>
            </w:r>
          </w:p>
        </w:tc>
        <w:tc>
          <w:tcPr>
            <w:tcW w:w="959" w:type="dxa"/>
            <w:hideMark/>
          </w:tcPr>
          <w:p w14:paraId="6A313A5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D9916D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50D34A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6A8E32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81E05F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2D879B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25C1AA1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FFEM</w:t>
            </w:r>
          </w:p>
        </w:tc>
      </w:tr>
      <w:tr w:rsidR="001808DF" w:rsidRPr="001808DF" w14:paraId="2553071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C410A2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Renewable energy</w:t>
            </w:r>
          </w:p>
        </w:tc>
        <w:tc>
          <w:tcPr>
            <w:tcW w:w="975" w:type="dxa"/>
            <w:hideMark/>
          </w:tcPr>
          <w:p w14:paraId="162F4B3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25,098.27</w:t>
            </w:r>
          </w:p>
        </w:tc>
        <w:tc>
          <w:tcPr>
            <w:tcW w:w="959" w:type="dxa"/>
            <w:hideMark/>
          </w:tcPr>
          <w:p w14:paraId="2F6651A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35856F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F0D9BB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781AE49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(Guarantees)</w:t>
            </w:r>
          </w:p>
        </w:tc>
        <w:tc>
          <w:tcPr>
            <w:tcW w:w="1060" w:type="dxa"/>
            <w:hideMark/>
          </w:tcPr>
          <w:p w14:paraId="3ABF4D8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80E904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1C107B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7C1861A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4331D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Renewable energy</w:t>
            </w:r>
          </w:p>
        </w:tc>
        <w:tc>
          <w:tcPr>
            <w:tcW w:w="975" w:type="dxa"/>
            <w:hideMark/>
          </w:tcPr>
          <w:p w14:paraId="15DB684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1,100.00</w:t>
            </w:r>
          </w:p>
        </w:tc>
        <w:tc>
          <w:tcPr>
            <w:tcW w:w="959" w:type="dxa"/>
            <w:hideMark/>
          </w:tcPr>
          <w:p w14:paraId="1D3B888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FF0EFF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931CF0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76E067F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(Guarantees)</w:t>
            </w:r>
          </w:p>
        </w:tc>
        <w:tc>
          <w:tcPr>
            <w:tcW w:w="1060" w:type="dxa"/>
            <w:hideMark/>
          </w:tcPr>
          <w:p w14:paraId="1A01EE9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72BBC3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3DFCF1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6C1E38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E67E5C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Renewable energy</w:t>
            </w:r>
          </w:p>
        </w:tc>
        <w:tc>
          <w:tcPr>
            <w:tcW w:w="975" w:type="dxa"/>
            <w:hideMark/>
          </w:tcPr>
          <w:p w14:paraId="02E75C3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16,500.00</w:t>
            </w:r>
          </w:p>
        </w:tc>
        <w:tc>
          <w:tcPr>
            <w:tcW w:w="959" w:type="dxa"/>
            <w:hideMark/>
          </w:tcPr>
          <w:p w14:paraId="00C957B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735CD2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60B8C2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340C961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60" w:type="dxa"/>
            <w:hideMark/>
          </w:tcPr>
          <w:p w14:paraId="61E7268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BBD128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1F7BD16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46AFE7A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E68D5F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Small-scale energy efficiency projects</w:t>
            </w:r>
          </w:p>
        </w:tc>
        <w:tc>
          <w:tcPr>
            <w:tcW w:w="975" w:type="dxa"/>
            <w:hideMark/>
          </w:tcPr>
          <w:p w14:paraId="76E643E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10,890.28</w:t>
            </w:r>
          </w:p>
        </w:tc>
        <w:tc>
          <w:tcPr>
            <w:tcW w:w="959" w:type="dxa"/>
            <w:hideMark/>
          </w:tcPr>
          <w:p w14:paraId="7AC8759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7553A4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BAA07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64EF3CA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60" w:type="dxa"/>
            <w:hideMark/>
          </w:tcPr>
          <w:p w14:paraId="48F79E0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E75481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545B1E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67A75A1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556E91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Guarantees for low-carbon infrastructure</w:t>
            </w:r>
          </w:p>
        </w:tc>
        <w:tc>
          <w:tcPr>
            <w:tcW w:w="975" w:type="dxa"/>
            <w:hideMark/>
          </w:tcPr>
          <w:p w14:paraId="523978D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w:t>
            </w:r>
          </w:p>
        </w:tc>
        <w:tc>
          <w:tcPr>
            <w:tcW w:w="959" w:type="dxa"/>
            <w:hideMark/>
          </w:tcPr>
          <w:p w14:paraId="01DCB2C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AC2853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37E109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764F276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55A7213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7B2E90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75A21FB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828A01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38F20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Public purchase guarantees for energy contracts</w:t>
            </w:r>
          </w:p>
        </w:tc>
        <w:tc>
          <w:tcPr>
            <w:tcW w:w="975" w:type="dxa"/>
            <w:hideMark/>
          </w:tcPr>
          <w:p w14:paraId="15A9310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w:t>
            </w:r>
          </w:p>
        </w:tc>
        <w:tc>
          <w:tcPr>
            <w:tcW w:w="959" w:type="dxa"/>
            <w:hideMark/>
          </w:tcPr>
          <w:p w14:paraId="16CA045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F15B6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F027E3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7DB172D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1B8FF1B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C39795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(energy Generation - Distribution - Efficiency)</w:t>
            </w:r>
          </w:p>
        </w:tc>
        <w:tc>
          <w:tcPr>
            <w:tcW w:w="2601" w:type="dxa"/>
            <w:hideMark/>
          </w:tcPr>
          <w:p w14:paraId="43F1A3E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F524C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936D4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Agricultural risk management</w:t>
            </w:r>
          </w:p>
        </w:tc>
        <w:tc>
          <w:tcPr>
            <w:tcW w:w="975" w:type="dxa"/>
            <w:hideMark/>
          </w:tcPr>
          <w:p w14:paraId="67D3F01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760.00</w:t>
            </w:r>
          </w:p>
        </w:tc>
        <w:tc>
          <w:tcPr>
            <w:tcW w:w="959" w:type="dxa"/>
            <w:hideMark/>
          </w:tcPr>
          <w:p w14:paraId="48AF98F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38D504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F4D348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FE58B4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41D8B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C6D0EA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ED8D4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08877B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343056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Rural land management</w:t>
            </w:r>
          </w:p>
        </w:tc>
        <w:tc>
          <w:tcPr>
            <w:tcW w:w="975" w:type="dxa"/>
            <w:hideMark/>
          </w:tcPr>
          <w:p w14:paraId="4D33A42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w:t>
            </w:r>
          </w:p>
        </w:tc>
        <w:tc>
          <w:tcPr>
            <w:tcW w:w="959" w:type="dxa"/>
            <w:hideMark/>
          </w:tcPr>
          <w:p w14:paraId="512C39B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8ADFB8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596C3F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3E9438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6D09FF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C95550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27EC551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9C0E26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65A20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Nature-based accounting for ecosystem services</w:t>
            </w:r>
          </w:p>
        </w:tc>
        <w:tc>
          <w:tcPr>
            <w:tcW w:w="975" w:type="dxa"/>
            <w:hideMark/>
          </w:tcPr>
          <w:p w14:paraId="1C071FF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w:t>
            </w:r>
          </w:p>
        </w:tc>
        <w:tc>
          <w:tcPr>
            <w:tcW w:w="959" w:type="dxa"/>
            <w:hideMark/>
          </w:tcPr>
          <w:p w14:paraId="5861628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B0E9AA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A50EEC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DE56C3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576241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054896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06294EC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3605EB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BA00F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Strenghtening the resilience of coastal ecosystems</w:t>
            </w:r>
          </w:p>
        </w:tc>
        <w:tc>
          <w:tcPr>
            <w:tcW w:w="975" w:type="dxa"/>
            <w:hideMark/>
          </w:tcPr>
          <w:p w14:paraId="35C3566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8,500.00</w:t>
            </w:r>
          </w:p>
        </w:tc>
        <w:tc>
          <w:tcPr>
            <w:tcW w:w="959" w:type="dxa"/>
            <w:hideMark/>
          </w:tcPr>
          <w:p w14:paraId="21D6651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8F0FB9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FF1DB8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C80936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BA4A9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70077C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67FF976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461AF7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1DE4C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Strengthening the agro-pastoral value chain</w:t>
            </w:r>
          </w:p>
        </w:tc>
        <w:tc>
          <w:tcPr>
            <w:tcW w:w="975" w:type="dxa"/>
            <w:hideMark/>
          </w:tcPr>
          <w:p w14:paraId="1CDE616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w:t>
            </w:r>
          </w:p>
        </w:tc>
        <w:tc>
          <w:tcPr>
            <w:tcW w:w="959" w:type="dxa"/>
            <w:hideMark/>
          </w:tcPr>
          <w:p w14:paraId="1A4BDF0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BB8AA6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66DD92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5F2FAB5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2CC249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CA4400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438DC2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59EFC1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94202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Strengthening the agro-pastoral value chain</w:t>
            </w:r>
          </w:p>
        </w:tc>
        <w:tc>
          <w:tcPr>
            <w:tcW w:w="975" w:type="dxa"/>
            <w:hideMark/>
          </w:tcPr>
          <w:p w14:paraId="77A3129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w:t>
            </w:r>
          </w:p>
        </w:tc>
        <w:tc>
          <w:tcPr>
            <w:tcW w:w="959" w:type="dxa"/>
            <w:hideMark/>
          </w:tcPr>
          <w:p w14:paraId="460C5C0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333757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82D8EC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6CA2A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4D3066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EA9B76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FED81F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921460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F3A4D7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Strengthening the agro-pastoral value chain</w:t>
            </w:r>
          </w:p>
        </w:tc>
        <w:tc>
          <w:tcPr>
            <w:tcW w:w="975" w:type="dxa"/>
            <w:hideMark/>
          </w:tcPr>
          <w:p w14:paraId="2ABA5D7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w:t>
            </w:r>
          </w:p>
        </w:tc>
        <w:tc>
          <w:tcPr>
            <w:tcW w:w="959" w:type="dxa"/>
            <w:hideMark/>
          </w:tcPr>
          <w:p w14:paraId="4A9F8D1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5F4B1C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754F3E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11D281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6974E3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5A0BB1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2357DA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9A9734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C8871C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Strengthening the agro-pastoral value chain</w:t>
            </w:r>
          </w:p>
        </w:tc>
        <w:tc>
          <w:tcPr>
            <w:tcW w:w="975" w:type="dxa"/>
            <w:hideMark/>
          </w:tcPr>
          <w:p w14:paraId="5980D29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3,200.00</w:t>
            </w:r>
          </w:p>
        </w:tc>
        <w:tc>
          <w:tcPr>
            <w:tcW w:w="959" w:type="dxa"/>
            <w:hideMark/>
          </w:tcPr>
          <w:p w14:paraId="3E1B4CF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864410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91E695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EBC7F0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063228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62FE10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65D93A9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26C18C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4B8E62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Strengthening the agro-pastoral value chain</w:t>
            </w:r>
          </w:p>
        </w:tc>
        <w:tc>
          <w:tcPr>
            <w:tcW w:w="975" w:type="dxa"/>
            <w:hideMark/>
          </w:tcPr>
          <w:p w14:paraId="546335B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15,280.00</w:t>
            </w:r>
          </w:p>
        </w:tc>
        <w:tc>
          <w:tcPr>
            <w:tcW w:w="959" w:type="dxa"/>
            <w:hideMark/>
          </w:tcPr>
          <w:p w14:paraId="7D0FD65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39E97E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637548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3B1F14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C81A9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54022E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887F26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92DCE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FED08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Strengthening the agro-pastoral value chain</w:t>
            </w:r>
          </w:p>
        </w:tc>
        <w:tc>
          <w:tcPr>
            <w:tcW w:w="975" w:type="dxa"/>
            <w:hideMark/>
          </w:tcPr>
          <w:p w14:paraId="45927CD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720.00</w:t>
            </w:r>
          </w:p>
        </w:tc>
        <w:tc>
          <w:tcPr>
            <w:tcW w:w="959" w:type="dxa"/>
            <w:hideMark/>
          </w:tcPr>
          <w:p w14:paraId="1FCD48D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16FFAB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FF1B7B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7229A2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581023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13DEFD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6026BD0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7D29EE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58812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Civil society support for agroecology</w:t>
            </w:r>
          </w:p>
        </w:tc>
        <w:tc>
          <w:tcPr>
            <w:tcW w:w="975" w:type="dxa"/>
            <w:hideMark/>
          </w:tcPr>
          <w:p w14:paraId="475FC84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1,050.00</w:t>
            </w:r>
          </w:p>
        </w:tc>
        <w:tc>
          <w:tcPr>
            <w:tcW w:w="959" w:type="dxa"/>
            <w:hideMark/>
          </w:tcPr>
          <w:p w14:paraId="40922EA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31533C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F705B7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470EB7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B0555B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6B7585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02C5582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D5D04B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6264D7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Development smart initiative for research in agriculture</w:t>
            </w:r>
          </w:p>
        </w:tc>
        <w:tc>
          <w:tcPr>
            <w:tcW w:w="975" w:type="dxa"/>
            <w:hideMark/>
          </w:tcPr>
          <w:p w14:paraId="5675FD3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0780B31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F62B64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8F845A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794A21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C1AE2F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E82B1D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6ED6C3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F98B86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489F99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Development smart initiative for research in agriculture</w:t>
            </w:r>
          </w:p>
        </w:tc>
        <w:tc>
          <w:tcPr>
            <w:tcW w:w="975" w:type="dxa"/>
            <w:hideMark/>
          </w:tcPr>
          <w:p w14:paraId="7C397A1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440D827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55325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1DC807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338E17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82D9D4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8F7252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3C590EC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93AD1C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E6B4D6"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Mobilise your city</w:t>
            </w:r>
          </w:p>
        </w:tc>
        <w:tc>
          <w:tcPr>
            <w:tcW w:w="975" w:type="dxa"/>
            <w:hideMark/>
          </w:tcPr>
          <w:p w14:paraId="0DB44DC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4,600.00</w:t>
            </w:r>
          </w:p>
        </w:tc>
        <w:tc>
          <w:tcPr>
            <w:tcW w:w="959" w:type="dxa"/>
            <w:hideMark/>
          </w:tcPr>
          <w:p w14:paraId="5918DBE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9B91C7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D86ACA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29A097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A6AC83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0D8EDA3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3C57393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F65E5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8E1D6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Mobilise your city</w:t>
            </w:r>
          </w:p>
        </w:tc>
        <w:tc>
          <w:tcPr>
            <w:tcW w:w="975" w:type="dxa"/>
            <w:hideMark/>
          </w:tcPr>
          <w:p w14:paraId="470BB48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w:t>
            </w:r>
          </w:p>
        </w:tc>
        <w:tc>
          <w:tcPr>
            <w:tcW w:w="959" w:type="dxa"/>
            <w:hideMark/>
          </w:tcPr>
          <w:p w14:paraId="2719F91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A758A8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A4F0B3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56F32F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6025D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3CEE30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22E8287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341B6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325320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Fair trade and sustainable value chains in West Africa</w:t>
            </w:r>
          </w:p>
        </w:tc>
        <w:tc>
          <w:tcPr>
            <w:tcW w:w="975" w:type="dxa"/>
            <w:hideMark/>
          </w:tcPr>
          <w:p w14:paraId="04FC6F5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w:t>
            </w:r>
          </w:p>
        </w:tc>
        <w:tc>
          <w:tcPr>
            <w:tcW w:w="959" w:type="dxa"/>
            <w:hideMark/>
          </w:tcPr>
          <w:p w14:paraId="6349073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3A5DCC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D13D9C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D9630B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5D871C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B9235E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232A27B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C1AD7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040AD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Fair trade and sustainable value chains in West Africa</w:t>
            </w:r>
          </w:p>
        </w:tc>
        <w:tc>
          <w:tcPr>
            <w:tcW w:w="975" w:type="dxa"/>
            <w:hideMark/>
          </w:tcPr>
          <w:p w14:paraId="5521DED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720.00</w:t>
            </w:r>
          </w:p>
        </w:tc>
        <w:tc>
          <w:tcPr>
            <w:tcW w:w="959" w:type="dxa"/>
            <w:hideMark/>
          </w:tcPr>
          <w:p w14:paraId="0F6E78B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C197DB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8F9882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7E9783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2B4CDD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D49630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43681C8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7C7F3D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BD064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Spatial hydrology in the Congo basin</w:t>
            </w:r>
          </w:p>
        </w:tc>
        <w:tc>
          <w:tcPr>
            <w:tcW w:w="975" w:type="dxa"/>
            <w:hideMark/>
          </w:tcPr>
          <w:p w14:paraId="7AA5B49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w:t>
            </w:r>
          </w:p>
        </w:tc>
        <w:tc>
          <w:tcPr>
            <w:tcW w:w="959" w:type="dxa"/>
            <w:hideMark/>
          </w:tcPr>
          <w:p w14:paraId="420E021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E71E75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2C5ECE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E1DEEA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D5A226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5E60B0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2540F37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143EA8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E35FD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Research to fight against invasive species</w:t>
            </w:r>
          </w:p>
        </w:tc>
        <w:tc>
          <w:tcPr>
            <w:tcW w:w="975" w:type="dxa"/>
            <w:hideMark/>
          </w:tcPr>
          <w:p w14:paraId="19E1A7C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00EE7F3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8935FD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8D05C1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C69273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912021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2E6B3B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788AC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2B2EF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887B5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Climate facility IDFC</w:t>
            </w:r>
          </w:p>
        </w:tc>
        <w:tc>
          <w:tcPr>
            <w:tcW w:w="975" w:type="dxa"/>
            <w:hideMark/>
          </w:tcPr>
          <w:p w14:paraId="4FF03A4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4,697.45</w:t>
            </w:r>
          </w:p>
        </w:tc>
        <w:tc>
          <w:tcPr>
            <w:tcW w:w="959" w:type="dxa"/>
            <w:hideMark/>
          </w:tcPr>
          <w:p w14:paraId="4DF7A94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126D91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A62692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C698A7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7F1A3A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C207F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05CE342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96C5C5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ACBAF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Climate facility IDFC</w:t>
            </w:r>
          </w:p>
        </w:tc>
        <w:tc>
          <w:tcPr>
            <w:tcW w:w="975" w:type="dxa"/>
            <w:hideMark/>
          </w:tcPr>
          <w:p w14:paraId="3E8E30B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w:t>
            </w:r>
          </w:p>
        </w:tc>
        <w:tc>
          <w:tcPr>
            <w:tcW w:w="959" w:type="dxa"/>
            <w:hideMark/>
          </w:tcPr>
          <w:p w14:paraId="6FF0784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7444A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1F0244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4ABD81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F8E85B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9AD55C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39C0EDB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F3B513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D1EA3A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Climate facility IDFC (GL event)</w:t>
            </w:r>
          </w:p>
        </w:tc>
        <w:tc>
          <w:tcPr>
            <w:tcW w:w="975" w:type="dxa"/>
            <w:hideMark/>
          </w:tcPr>
          <w:p w14:paraId="6B7862A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102.55</w:t>
            </w:r>
          </w:p>
        </w:tc>
        <w:tc>
          <w:tcPr>
            <w:tcW w:w="959" w:type="dxa"/>
            <w:hideMark/>
          </w:tcPr>
          <w:p w14:paraId="046CA01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64677E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871F7A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736F11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1CB483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E9DFF1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4E4F9CB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9D468D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A7DB8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Biodiversity facility</w:t>
            </w:r>
          </w:p>
        </w:tc>
        <w:tc>
          <w:tcPr>
            <w:tcW w:w="975" w:type="dxa"/>
            <w:hideMark/>
          </w:tcPr>
          <w:p w14:paraId="1F9D085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2,035.51</w:t>
            </w:r>
          </w:p>
        </w:tc>
        <w:tc>
          <w:tcPr>
            <w:tcW w:w="959" w:type="dxa"/>
            <w:hideMark/>
          </w:tcPr>
          <w:p w14:paraId="6655734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73369C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A6ED64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91E74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0615F8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29AB3E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73F49A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3EE6F3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4C5D61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Research related to sea management</w:t>
            </w:r>
          </w:p>
        </w:tc>
        <w:tc>
          <w:tcPr>
            <w:tcW w:w="975" w:type="dxa"/>
            <w:hideMark/>
          </w:tcPr>
          <w:p w14:paraId="24B32B1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7,964.49</w:t>
            </w:r>
          </w:p>
        </w:tc>
        <w:tc>
          <w:tcPr>
            <w:tcW w:w="959" w:type="dxa"/>
            <w:hideMark/>
          </w:tcPr>
          <w:p w14:paraId="0888D91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4FC0E2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4B7079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CAB128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9F1D9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E272AE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6FA6FAB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4449CA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2C83B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Agroecology and sustainable food systems</w:t>
            </w:r>
          </w:p>
        </w:tc>
        <w:tc>
          <w:tcPr>
            <w:tcW w:w="975" w:type="dxa"/>
            <w:hideMark/>
          </w:tcPr>
          <w:p w14:paraId="4FC6DAE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1AC7AED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98A9A4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54CCC5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E48E5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D927D5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7DE501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6B336A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D9114C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7399EF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Protected marine areas in the Mediterranean Sea</w:t>
            </w:r>
          </w:p>
        </w:tc>
        <w:tc>
          <w:tcPr>
            <w:tcW w:w="975" w:type="dxa"/>
            <w:hideMark/>
          </w:tcPr>
          <w:p w14:paraId="289502D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w:t>
            </w:r>
          </w:p>
        </w:tc>
        <w:tc>
          <w:tcPr>
            <w:tcW w:w="959" w:type="dxa"/>
            <w:hideMark/>
          </w:tcPr>
          <w:p w14:paraId="779B9F8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844675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33E734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DD8C3A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FD7CB1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4972C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368BD5A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A8D40F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1D7FD3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4619699D"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107.33</w:t>
            </w:r>
          </w:p>
        </w:tc>
        <w:tc>
          <w:tcPr>
            <w:tcW w:w="959" w:type="dxa"/>
            <w:hideMark/>
          </w:tcPr>
          <w:p w14:paraId="57F58EF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279846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AD9168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541C18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6A99D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401215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2A69090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DC0FE1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03211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6B1A7BB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19.42</w:t>
            </w:r>
          </w:p>
        </w:tc>
        <w:tc>
          <w:tcPr>
            <w:tcW w:w="959" w:type="dxa"/>
            <w:hideMark/>
          </w:tcPr>
          <w:p w14:paraId="720963C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D451DE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F99470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6472AE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3463C8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88C177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616D6B7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D056E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E078D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5189C58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26.00</w:t>
            </w:r>
          </w:p>
        </w:tc>
        <w:tc>
          <w:tcPr>
            <w:tcW w:w="959" w:type="dxa"/>
            <w:hideMark/>
          </w:tcPr>
          <w:p w14:paraId="2D6C711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43B420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0616CC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497AEE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A1E3AE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4C7498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C5B7E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8CB6A0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469334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02E0AD5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9.17</w:t>
            </w:r>
          </w:p>
        </w:tc>
        <w:tc>
          <w:tcPr>
            <w:tcW w:w="959" w:type="dxa"/>
            <w:hideMark/>
          </w:tcPr>
          <w:p w14:paraId="0066C35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160A73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3FAD1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83D0E2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955370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52DC6D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830F24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80AB27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AF7F6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6DB6C19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10.33</w:t>
            </w:r>
          </w:p>
        </w:tc>
        <w:tc>
          <w:tcPr>
            <w:tcW w:w="959" w:type="dxa"/>
            <w:hideMark/>
          </w:tcPr>
          <w:p w14:paraId="172CD84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E7103C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0AA3AF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DA5CC0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C90493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6565AD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9E7ADF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2825D0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6DDDE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1AE753E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19.50</w:t>
            </w:r>
          </w:p>
        </w:tc>
        <w:tc>
          <w:tcPr>
            <w:tcW w:w="959" w:type="dxa"/>
            <w:hideMark/>
          </w:tcPr>
          <w:p w14:paraId="378B262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043807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8A3DD9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17A03C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0F02CD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8F5AAB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13A2401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C57C34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37636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5DED576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3.25</w:t>
            </w:r>
          </w:p>
        </w:tc>
        <w:tc>
          <w:tcPr>
            <w:tcW w:w="959" w:type="dxa"/>
            <w:hideMark/>
          </w:tcPr>
          <w:p w14:paraId="753F2DA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3C88AE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F85DBB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D4A075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C087FF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D227ED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1F6838C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079173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EB341D"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533B14B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0.00</w:t>
            </w:r>
          </w:p>
        </w:tc>
        <w:tc>
          <w:tcPr>
            <w:tcW w:w="959" w:type="dxa"/>
            <w:hideMark/>
          </w:tcPr>
          <w:p w14:paraId="1C96F56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650E4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860C70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3BFB0F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BF46BF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ADDB4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0657C6F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B31AD2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7DAF1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Knowledge transfer in Sahel region</w:t>
            </w:r>
          </w:p>
        </w:tc>
        <w:tc>
          <w:tcPr>
            <w:tcW w:w="975" w:type="dxa"/>
            <w:hideMark/>
          </w:tcPr>
          <w:p w14:paraId="20B2F21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0.00</w:t>
            </w:r>
          </w:p>
        </w:tc>
        <w:tc>
          <w:tcPr>
            <w:tcW w:w="959" w:type="dxa"/>
            <w:hideMark/>
          </w:tcPr>
          <w:p w14:paraId="0BFDB25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EAED17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3A6049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309F5B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024021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7070DDF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4FFFA4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59D9DF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CC2A2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Climate finance strategy</w:t>
            </w:r>
          </w:p>
        </w:tc>
        <w:tc>
          <w:tcPr>
            <w:tcW w:w="975" w:type="dxa"/>
            <w:hideMark/>
          </w:tcPr>
          <w:p w14:paraId="0278E49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w:t>
            </w:r>
          </w:p>
        </w:tc>
        <w:tc>
          <w:tcPr>
            <w:tcW w:w="959" w:type="dxa"/>
            <w:hideMark/>
          </w:tcPr>
          <w:p w14:paraId="72E756D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FFA6C7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51FE83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41CA82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7A6AB02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9F4FB3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76577E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EFC867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AC1EB1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Mobilise your city</w:t>
            </w:r>
          </w:p>
        </w:tc>
        <w:tc>
          <w:tcPr>
            <w:tcW w:w="975" w:type="dxa"/>
            <w:hideMark/>
          </w:tcPr>
          <w:p w14:paraId="5C63B8F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w:t>
            </w:r>
          </w:p>
        </w:tc>
        <w:tc>
          <w:tcPr>
            <w:tcW w:w="959" w:type="dxa"/>
            <w:hideMark/>
          </w:tcPr>
          <w:p w14:paraId="78BB30F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05198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558C40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965508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ED035C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4ABACC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290FD21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7F6356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8C04F1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Mobilise your city</w:t>
            </w:r>
          </w:p>
        </w:tc>
        <w:tc>
          <w:tcPr>
            <w:tcW w:w="975" w:type="dxa"/>
            <w:hideMark/>
          </w:tcPr>
          <w:p w14:paraId="24A6EB7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32A4F4D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D520BE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F9EE24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D5A828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44F11C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869956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(transport And Storage)</w:t>
            </w:r>
          </w:p>
        </w:tc>
        <w:tc>
          <w:tcPr>
            <w:tcW w:w="2601" w:type="dxa"/>
            <w:hideMark/>
          </w:tcPr>
          <w:p w14:paraId="659533E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7D0B51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6BD1F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Professional training for sustainable forest management</w:t>
            </w:r>
          </w:p>
        </w:tc>
        <w:tc>
          <w:tcPr>
            <w:tcW w:w="975" w:type="dxa"/>
            <w:hideMark/>
          </w:tcPr>
          <w:p w14:paraId="6262BBE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w:t>
            </w:r>
          </w:p>
        </w:tc>
        <w:tc>
          <w:tcPr>
            <w:tcW w:w="959" w:type="dxa"/>
            <w:hideMark/>
          </w:tcPr>
          <w:p w14:paraId="00CEAE1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3F850F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845D8B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A9795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43EB8B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054040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0CF2C08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D9163D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C0EA9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Professional training for teachers, including on climate change and environnmental issues</w:t>
            </w:r>
          </w:p>
        </w:tc>
        <w:tc>
          <w:tcPr>
            <w:tcW w:w="975" w:type="dxa"/>
            <w:hideMark/>
          </w:tcPr>
          <w:p w14:paraId="0FF52AA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2,250.00</w:t>
            </w:r>
          </w:p>
        </w:tc>
        <w:tc>
          <w:tcPr>
            <w:tcW w:w="959" w:type="dxa"/>
            <w:hideMark/>
          </w:tcPr>
          <w:p w14:paraId="4B731E1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5734A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E8A9BC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687810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76DD1E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B1AFF3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45BC8D9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2DB8C7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B0754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Professional training in the health sector, including sustainable development issues</w:t>
            </w:r>
          </w:p>
        </w:tc>
        <w:tc>
          <w:tcPr>
            <w:tcW w:w="975" w:type="dxa"/>
            <w:hideMark/>
          </w:tcPr>
          <w:p w14:paraId="759082A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219.00</w:t>
            </w:r>
          </w:p>
        </w:tc>
        <w:tc>
          <w:tcPr>
            <w:tcW w:w="959" w:type="dxa"/>
            <w:hideMark/>
          </w:tcPr>
          <w:p w14:paraId="43F13AB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866C75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9FB13C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03371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08B51B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BCA30A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16B9040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D11A4E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BA916A9"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Professional training for agriculture</w:t>
            </w:r>
          </w:p>
        </w:tc>
        <w:tc>
          <w:tcPr>
            <w:tcW w:w="975" w:type="dxa"/>
            <w:hideMark/>
          </w:tcPr>
          <w:p w14:paraId="30D7324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2,900.00</w:t>
            </w:r>
          </w:p>
        </w:tc>
        <w:tc>
          <w:tcPr>
            <w:tcW w:w="959" w:type="dxa"/>
            <w:hideMark/>
          </w:tcPr>
          <w:p w14:paraId="4AB0A25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54FACB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CA166D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6F2D3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CA95C7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84E636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2485C8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B28695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8EFAB7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Blue Action Fund: Safeguarding marine biodiversity</w:t>
            </w:r>
          </w:p>
        </w:tc>
        <w:tc>
          <w:tcPr>
            <w:tcW w:w="975" w:type="dxa"/>
            <w:hideMark/>
          </w:tcPr>
          <w:p w14:paraId="0D92297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3B4E3C6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37145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B88895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009279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A3FCD9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CBF646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057B02D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4165DE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5DFEC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Monitoring of water and sanitation objectives in the context of Sahel Alliance</w:t>
            </w:r>
          </w:p>
        </w:tc>
        <w:tc>
          <w:tcPr>
            <w:tcW w:w="975" w:type="dxa"/>
            <w:hideMark/>
          </w:tcPr>
          <w:p w14:paraId="0903FFC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w:t>
            </w:r>
          </w:p>
        </w:tc>
        <w:tc>
          <w:tcPr>
            <w:tcW w:w="959" w:type="dxa"/>
            <w:hideMark/>
          </w:tcPr>
          <w:p w14:paraId="7977FC7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B1E0BA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AB28B3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E94A77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7EA115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9A839E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35C14F9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B01E0D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1DDDF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Sustainable agriculture</w:t>
            </w:r>
          </w:p>
        </w:tc>
        <w:tc>
          <w:tcPr>
            <w:tcW w:w="975" w:type="dxa"/>
            <w:hideMark/>
          </w:tcPr>
          <w:p w14:paraId="09D8D4D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911.40</w:t>
            </w:r>
          </w:p>
        </w:tc>
        <w:tc>
          <w:tcPr>
            <w:tcW w:w="959" w:type="dxa"/>
            <w:hideMark/>
          </w:tcPr>
          <w:p w14:paraId="5E696DC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DA658C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1A93F3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4EBB2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124BF3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9C983F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2D9724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26396EB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1A6F4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Supporting the scaling-up of climate finance</w:t>
            </w:r>
          </w:p>
        </w:tc>
        <w:tc>
          <w:tcPr>
            <w:tcW w:w="975" w:type="dxa"/>
            <w:hideMark/>
          </w:tcPr>
          <w:p w14:paraId="3B2C610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107,855.47</w:t>
            </w:r>
          </w:p>
        </w:tc>
        <w:tc>
          <w:tcPr>
            <w:tcW w:w="959" w:type="dxa"/>
            <w:hideMark/>
          </w:tcPr>
          <w:p w14:paraId="3092CF5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B28096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9FC957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09FFF90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3C00B3B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01FA71B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7FE8EF8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52CCC6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59A2FA"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Professional training related to water</w:t>
            </w:r>
          </w:p>
        </w:tc>
        <w:tc>
          <w:tcPr>
            <w:tcW w:w="975" w:type="dxa"/>
            <w:hideMark/>
          </w:tcPr>
          <w:p w14:paraId="7DCDF64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375.00</w:t>
            </w:r>
          </w:p>
        </w:tc>
        <w:tc>
          <w:tcPr>
            <w:tcW w:w="959" w:type="dxa"/>
            <w:hideMark/>
          </w:tcPr>
          <w:p w14:paraId="616E217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906AF1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076FB0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F897CA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87F302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2668E0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601" w:type="dxa"/>
            <w:hideMark/>
          </w:tcPr>
          <w:p w14:paraId="736357D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3B1CFE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2A9B55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Wildlige management in the conservation area of Kavango-Zambèze</w:t>
            </w:r>
          </w:p>
        </w:tc>
        <w:tc>
          <w:tcPr>
            <w:tcW w:w="975" w:type="dxa"/>
            <w:hideMark/>
          </w:tcPr>
          <w:p w14:paraId="239E164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2,310.00</w:t>
            </w:r>
          </w:p>
        </w:tc>
        <w:tc>
          <w:tcPr>
            <w:tcW w:w="959" w:type="dxa"/>
            <w:hideMark/>
          </w:tcPr>
          <w:p w14:paraId="02CA906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01329C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A3731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26699C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526995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04D4CED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730EA3E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B56EA9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825AD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Initiative for Biodiversity, Climate and Resilience in the Pacific Ocean</w:t>
            </w:r>
          </w:p>
        </w:tc>
        <w:tc>
          <w:tcPr>
            <w:tcW w:w="975" w:type="dxa"/>
            <w:hideMark/>
          </w:tcPr>
          <w:p w14:paraId="4EE3B63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12,804.00</w:t>
            </w:r>
          </w:p>
        </w:tc>
        <w:tc>
          <w:tcPr>
            <w:tcW w:w="959" w:type="dxa"/>
            <w:hideMark/>
          </w:tcPr>
          <w:p w14:paraId="10D2E44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58B5DE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E9DCA3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663B0B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980402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82A6E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2EE251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438AD79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07386D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Social services</w:t>
            </w:r>
          </w:p>
        </w:tc>
        <w:tc>
          <w:tcPr>
            <w:tcW w:w="975" w:type="dxa"/>
            <w:hideMark/>
          </w:tcPr>
          <w:p w14:paraId="3B08BEF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w:t>
            </w:r>
          </w:p>
        </w:tc>
        <w:tc>
          <w:tcPr>
            <w:tcW w:w="959" w:type="dxa"/>
            <w:hideMark/>
          </w:tcPr>
          <w:p w14:paraId="59931A4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B638B4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4E3F8B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8C8718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CB8DA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A950EC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5364227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246323B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07E9E9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Other (multi-countries) / Mobilisation for nature protection </w:t>
            </w:r>
          </w:p>
        </w:tc>
        <w:tc>
          <w:tcPr>
            <w:tcW w:w="975" w:type="dxa"/>
            <w:hideMark/>
          </w:tcPr>
          <w:p w14:paraId="5495F62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w:t>
            </w:r>
          </w:p>
        </w:tc>
        <w:tc>
          <w:tcPr>
            <w:tcW w:w="959" w:type="dxa"/>
            <w:hideMark/>
          </w:tcPr>
          <w:p w14:paraId="1811B32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A11B4D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454146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8A0253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2C0686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1A710A1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7D9DA8D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53297B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A5CD9DA" w14:textId="77777777" w:rsidR="001808DF" w:rsidRPr="001808DF" w:rsidRDefault="001808DF" w:rsidP="001808DF">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(multi-countries) / Agroecology</w:t>
            </w:r>
          </w:p>
        </w:tc>
        <w:tc>
          <w:tcPr>
            <w:tcW w:w="975" w:type="dxa"/>
            <w:hideMark/>
          </w:tcPr>
          <w:p w14:paraId="271E3B8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w:t>
            </w:r>
          </w:p>
        </w:tc>
        <w:tc>
          <w:tcPr>
            <w:tcW w:w="959" w:type="dxa"/>
            <w:hideMark/>
          </w:tcPr>
          <w:p w14:paraId="4DDEF19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CE6897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333834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A3F07F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F206C4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9E70E2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016BBA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64C2C53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7CD07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Support to the BOAD</w:t>
            </w:r>
          </w:p>
        </w:tc>
        <w:tc>
          <w:tcPr>
            <w:tcW w:w="975" w:type="dxa"/>
            <w:hideMark/>
          </w:tcPr>
          <w:p w14:paraId="4457022F"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w:t>
            </w:r>
          </w:p>
        </w:tc>
        <w:tc>
          <w:tcPr>
            <w:tcW w:w="959" w:type="dxa"/>
            <w:hideMark/>
          </w:tcPr>
          <w:p w14:paraId="58FB968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6CA572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B7EC0D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8B90F7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5E92F86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750A61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C019BC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2CE038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F149C3C"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Financial intermediation for climate &amp; gender equality</w:t>
            </w:r>
          </w:p>
        </w:tc>
        <w:tc>
          <w:tcPr>
            <w:tcW w:w="975" w:type="dxa"/>
            <w:hideMark/>
          </w:tcPr>
          <w:p w14:paraId="74BA67A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135,000.00</w:t>
            </w:r>
          </w:p>
        </w:tc>
        <w:tc>
          <w:tcPr>
            <w:tcW w:w="959" w:type="dxa"/>
            <w:hideMark/>
          </w:tcPr>
          <w:p w14:paraId="2E28A620"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879F5B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9D42A0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B5CF90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48CA5B0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61230EC"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(environmental Policy And Administrative Management)</w:t>
            </w:r>
          </w:p>
        </w:tc>
        <w:tc>
          <w:tcPr>
            <w:tcW w:w="2601" w:type="dxa"/>
            <w:hideMark/>
          </w:tcPr>
          <w:p w14:paraId="52EB955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E65D48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46922DD"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Critical Ecosystem Partnership Fund</w:t>
            </w:r>
          </w:p>
        </w:tc>
        <w:tc>
          <w:tcPr>
            <w:tcW w:w="975" w:type="dxa"/>
            <w:hideMark/>
          </w:tcPr>
          <w:p w14:paraId="706B383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5,600.00</w:t>
            </w:r>
          </w:p>
        </w:tc>
        <w:tc>
          <w:tcPr>
            <w:tcW w:w="959" w:type="dxa"/>
            <w:hideMark/>
          </w:tcPr>
          <w:p w14:paraId="5C57D40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06E89D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BAA701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49A252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8900F0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99C57E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6DE612A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650DE7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39611E3"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Air quality</w:t>
            </w:r>
          </w:p>
        </w:tc>
        <w:tc>
          <w:tcPr>
            <w:tcW w:w="975" w:type="dxa"/>
            <w:hideMark/>
          </w:tcPr>
          <w:p w14:paraId="7F38EDB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w:t>
            </w:r>
          </w:p>
        </w:tc>
        <w:tc>
          <w:tcPr>
            <w:tcW w:w="959" w:type="dxa"/>
            <w:hideMark/>
          </w:tcPr>
          <w:p w14:paraId="4604141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583A06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45AC83E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64D06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3FFC86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16B6DD39"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(environmental Policy And Administrative Management)</w:t>
            </w:r>
          </w:p>
        </w:tc>
        <w:tc>
          <w:tcPr>
            <w:tcW w:w="2601" w:type="dxa"/>
            <w:hideMark/>
          </w:tcPr>
          <w:p w14:paraId="00519F1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15B047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7456E5"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Air quality</w:t>
            </w:r>
          </w:p>
        </w:tc>
        <w:tc>
          <w:tcPr>
            <w:tcW w:w="975" w:type="dxa"/>
            <w:hideMark/>
          </w:tcPr>
          <w:p w14:paraId="4536969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w:t>
            </w:r>
          </w:p>
        </w:tc>
        <w:tc>
          <w:tcPr>
            <w:tcW w:w="959" w:type="dxa"/>
            <w:hideMark/>
          </w:tcPr>
          <w:p w14:paraId="5A3BDB0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54E498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7686DE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C4E16C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ACCCFE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E506AD8" w14:textId="77777777" w:rsidR="001808DF" w:rsidRPr="00927E59"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(environmental Policy And Administrative Management)</w:t>
            </w:r>
          </w:p>
        </w:tc>
        <w:tc>
          <w:tcPr>
            <w:tcW w:w="2601" w:type="dxa"/>
            <w:hideMark/>
          </w:tcPr>
          <w:p w14:paraId="5E1FB47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72DCA9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C6E46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Air quality</w:t>
            </w:r>
          </w:p>
        </w:tc>
        <w:tc>
          <w:tcPr>
            <w:tcW w:w="975" w:type="dxa"/>
            <w:hideMark/>
          </w:tcPr>
          <w:p w14:paraId="3836275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w:t>
            </w:r>
          </w:p>
        </w:tc>
        <w:tc>
          <w:tcPr>
            <w:tcW w:w="959" w:type="dxa"/>
            <w:hideMark/>
          </w:tcPr>
          <w:p w14:paraId="108F9EE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0D04D9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23ECC1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E27730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A74BEF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BCFF2E3"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(environmental Policy And Administrative Management)</w:t>
            </w:r>
          </w:p>
        </w:tc>
        <w:tc>
          <w:tcPr>
            <w:tcW w:w="2601" w:type="dxa"/>
            <w:hideMark/>
          </w:tcPr>
          <w:p w14:paraId="33A5B56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F466D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C22BAC"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Media cooperation to favor social cohesion</w:t>
            </w:r>
          </w:p>
        </w:tc>
        <w:tc>
          <w:tcPr>
            <w:tcW w:w="975" w:type="dxa"/>
            <w:hideMark/>
          </w:tcPr>
          <w:p w14:paraId="5E12221A"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570.00</w:t>
            </w:r>
          </w:p>
        </w:tc>
        <w:tc>
          <w:tcPr>
            <w:tcW w:w="959" w:type="dxa"/>
            <w:hideMark/>
          </w:tcPr>
          <w:p w14:paraId="78B31742"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9903AB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D28213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78F2C6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AA8056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AE2FB0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30C6375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2D5DA5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BEE75B0"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Media cooperation to favor social cohesion</w:t>
            </w:r>
          </w:p>
        </w:tc>
        <w:tc>
          <w:tcPr>
            <w:tcW w:w="975" w:type="dxa"/>
            <w:hideMark/>
          </w:tcPr>
          <w:p w14:paraId="5625A73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1,330.00</w:t>
            </w:r>
          </w:p>
        </w:tc>
        <w:tc>
          <w:tcPr>
            <w:tcW w:w="959" w:type="dxa"/>
            <w:hideMark/>
          </w:tcPr>
          <w:p w14:paraId="7D8CF7B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40828A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80C949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5AC48D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D73CC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5E7F0D5D"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(government And Civil Society)</w:t>
            </w:r>
          </w:p>
        </w:tc>
        <w:tc>
          <w:tcPr>
            <w:tcW w:w="2601" w:type="dxa"/>
            <w:hideMark/>
          </w:tcPr>
          <w:p w14:paraId="4B309BC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DD5453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2637C4"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Energy efficiency</w:t>
            </w:r>
          </w:p>
        </w:tc>
        <w:tc>
          <w:tcPr>
            <w:tcW w:w="975" w:type="dxa"/>
            <w:hideMark/>
          </w:tcPr>
          <w:p w14:paraId="32360CD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2,200.00</w:t>
            </w:r>
          </w:p>
        </w:tc>
        <w:tc>
          <w:tcPr>
            <w:tcW w:w="959" w:type="dxa"/>
            <w:hideMark/>
          </w:tcPr>
          <w:p w14:paraId="5E97FF4E"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82A3F3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7C739E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10448F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C70694C"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F847794" w14:textId="77777777" w:rsidR="001808DF" w:rsidRPr="00927E59"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(government And Civil Society)</w:t>
            </w:r>
          </w:p>
        </w:tc>
        <w:tc>
          <w:tcPr>
            <w:tcW w:w="2601" w:type="dxa"/>
            <w:hideMark/>
          </w:tcPr>
          <w:p w14:paraId="07EC430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285FAC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CCC2EB"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Energy efficiency</w:t>
            </w:r>
          </w:p>
        </w:tc>
        <w:tc>
          <w:tcPr>
            <w:tcW w:w="975" w:type="dxa"/>
            <w:hideMark/>
          </w:tcPr>
          <w:p w14:paraId="4F5E81D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w:t>
            </w:r>
          </w:p>
        </w:tc>
        <w:tc>
          <w:tcPr>
            <w:tcW w:w="959" w:type="dxa"/>
            <w:hideMark/>
          </w:tcPr>
          <w:p w14:paraId="77A8187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6BF03F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906FA4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BBD86A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0E3D2B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7F16AD35"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(government And Civil Society)</w:t>
            </w:r>
          </w:p>
        </w:tc>
        <w:tc>
          <w:tcPr>
            <w:tcW w:w="2601" w:type="dxa"/>
            <w:hideMark/>
          </w:tcPr>
          <w:p w14:paraId="23FFD37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104B994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72667C"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Research related to sea management</w:t>
            </w:r>
          </w:p>
        </w:tc>
        <w:tc>
          <w:tcPr>
            <w:tcW w:w="975" w:type="dxa"/>
            <w:hideMark/>
          </w:tcPr>
          <w:p w14:paraId="34D29A1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w:t>
            </w:r>
          </w:p>
        </w:tc>
        <w:tc>
          <w:tcPr>
            <w:tcW w:w="959" w:type="dxa"/>
            <w:hideMark/>
          </w:tcPr>
          <w:p w14:paraId="0E6EEFC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0F163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77C9D0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2A0032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FA50C0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69CBA98E" w14:textId="77777777" w:rsidR="001808DF" w:rsidRPr="00927E59"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(environmental Policy And Administrative Management)</w:t>
            </w:r>
          </w:p>
        </w:tc>
        <w:tc>
          <w:tcPr>
            <w:tcW w:w="2601" w:type="dxa"/>
            <w:hideMark/>
          </w:tcPr>
          <w:p w14:paraId="4534A93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47605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F437EB9"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Development of sustainable fisheries</w:t>
            </w:r>
          </w:p>
        </w:tc>
        <w:tc>
          <w:tcPr>
            <w:tcW w:w="975" w:type="dxa"/>
            <w:hideMark/>
          </w:tcPr>
          <w:p w14:paraId="1B6161D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1,599.60</w:t>
            </w:r>
          </w:p>
        </w:tc>
        <w:tc>
          <w:tcPr>
            <w:tcW w:w="959" w:type="dxa"/>
            <w:hideMark/>
          </w:tcPr>
          <w:p w14:paraId="01F243E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623B88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36A008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4A45AA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037417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42D7491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581B256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14B3C32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EB93FD7"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Education related to water</w:t>
            </w:r>
          </w:p>
        </w:tc>
        <w:tc>
          <w:tcPr>
            <w:tcW w:w="975" w:type="dxa"/>
            <w:hideMark/>
          </w:tcPr>
          <w:p w14:paraId="03D300A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w:t>
            </w:r>
          </w:p>
        </w:tc>
        <w:tc>
          <w:tcPr>
            <w:tcW w:w="959" w:type="dxa"/>
            <w:hideMark/>
          </w:tcPr>
          <w:p w14:paraId="50CC256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2C40FD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69FF3F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15EE3D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057368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0CD38BEC" w14:textId="77777777" w:rsidR="001808DF" w:rsidRPr="00927E59"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(government And Civil Society)</w:t>
            </w:r>
          </w:p>
        </w:tc>
        <w:tc>
          <w:tcPr>
            <w:tcW w:w="2601" w:type="dxa"/>
            <w:hideMark/>
          </w:tcPr>
          <w:p w14:paraId="2AAB9D0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7E863E4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F536093"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Access to energy</w:t>
            </w:r>
          </w:p>
        </w:tc>
        <w:tc>
          <w:tcPr>
            <w:tcW w:w="975" w:type="dxa"/>
            <w:hideMark/>
          </w:tcPr>
          <w:p w14:paraId="4CACCF54"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1C9AA0E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31ACFF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6AA57E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2FFC2DB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87185D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36276457"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(energy Generation - Distribution - Efficiency)</w:t>
            </w:r>
          </w:p>
        </w:tc>
        <w:tc>
          <w:tcPr>
            <w:tcW w:w="2601" w:type="dxa"/>
            <w:hideMark/>
          </w:tcPr>
          <w:p w14:paraId="2041271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491006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F10133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Creating a shared governance of natural resources</w:t>
            </w:r>
          </w:p>
        </w:tc>
        <w:tc>
          <w:tcPr>
            <w:tcW w:w="975" w:type="dxa"/>
            <w:hideMark/>
          </w:tcPr>
          <w:p w14:paraId="26BE14B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652CEA4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72451B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75F2AC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8F9CE1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2643D7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A96FAC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4D1EE0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4C68FE1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C891D5"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Climate-smart local development and land management</w:t>
            </w:r>
          </w:p>
        </w:tc>
        <w:tc>
          <w:tcPr>
            <w:tcW w:w="975" w:type="dxa"/>
            <w:hideMark/>
          </w:tcPr>
          <w:p w14:paraId="5E8F773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9,500.00</w:t>
            </w:r>
          </w:p>
        </w:tc>
        <w:tc>
          <w:tcPr>
            <w:tcW w:w="959" w:type="dxa"/>
            <w:hideMark/>
          </w:tcPr>
          <w:p w14:paraId="40DE375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7FE49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157344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97D742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0CDD559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2228FA1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90E15D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694E1F4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2E8DDD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Climate-related investments</w:t>
            </w:r>
          </w:p>
        </w:tc>
        <w:tc>
          <w:tcPr>
            <w:tcW w:w="975" w:type="dxa"/>
            <w:hideMark/>
          </w:tcPr>
          <w:p w14:paraId="6A949737"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w:t>
            </w:r>
          </w:p>
        </w:tc>
        <w:tc>
          <w:tcPr>
            <w:tcW w:w="959" w:type="dxa"/>
            <w:hideMark/>
          </w:tcPr>
          <w:p w14:paraId="617A05B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139935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8D77A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D77FCC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60" w:type="dxa"/>
            <w:hideMark/>
          </w:tcPr>
          <w:p w14:paraId="3F2A0B2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AF9D5D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6D8D85A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375E6A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11DF8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Research for sustainable seeds</w:t>
            </w:r>
          </w:p>
        </w:tc>
        <w:tc>
          <w:tcPr>
            <w:tcW w:w="975" w:type="dxa"/>
            <w:hideMark/>
          </w:tcPr>
          <w:p w14:paraId="49B9DD05"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w:t>
            </w:r>
          </w:p>
        </w:tc>
        <w:tc>
          <w:tcPr>
            <w:tcW w:w="959" w:type="dxa"/>
            <w:hideMark/>
          </w:tcPr>
          <w:p w14:paraId="7A60D6A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0182D6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A925C6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0BF0884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5A80A7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3AA663C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1C4F90E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29FF0F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1F33A5"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Public policy dialogue</w:t>
            </w:r>
          </w:p>
        </w:tc>
        <w:tc>
          <w:tcPr>
            <w:tcW w:w="975" w:type="dxa"/>
            <w:hideMark/>
          </w:tcPr>
          <w:p w14:paraId="410D0EA4"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w:t>
            </w:r>
          </w:p>
        </w:tc>
        <w:tc>
          <w:tcPr>
            <w:tcW w:w="959" w:type="dxa"/>
            <w:hideMark/>
          </w:tcPr>
          <w:p w14:paraId="2CF79148"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08D399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4E840A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D055A34"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162495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2A38CC2" w14:textId="77777777" w:rsidR="001808DF" w:rsidRPr="00927E59"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(government And Civil Society)</w:t>
            </w:r>
          </w:p>
        </w:tc>
        <w:tc>
          <w:tcPr>
            <w:tcW w:w="2601" w:type="dxa"/>
            <w:hideMark/>
          </w:tcPr>
          <w:p w14:paraId="275BAA4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E25794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CEBC351"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Scaling up of urban laboratories for sustainable development</w:t>
            </w:r>
          </w:p>
        </w:tc>
        <w:tc>
          <w:tcPr>
            <w:tcW w:w="975" w:type="dxa"/>
            <w:hideMark/>
          </w:tcPr>
          <w:p w14:paraId="0BB0CBE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260.00</w:t>
            </w:r>
          </w:p>
        </w:tc>
        <w:tc>
          <w:tcPr>
            <w:tcW w:w="959" w:type="dxa"/>
            <w:hideMark/>
          </w:tcPr>
          <w:p w14:paraId="188A2BD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7C18ED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79066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9BEEB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C4F68B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6D712DDD"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(urban Development And Management)</w:t>
            </w:r>
          </w:p>
        </w:tc>
        <w:tc>
          <w:tcPr>
            <w:tcW w:w="2601" w:type="dxa"/>
            <w:hideMark/>
          </w:tcPr>
          <w:p w14:paraId="29F95B0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B6AE29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EAB586F"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Impact evaluation of urban laboratories for sustainable development</w:t>
            </w:r>
          </w:p>
        </w:tc>
        <w:tc>
          <w:tcPr>
            <w:tcW w:w="975" w:type="dxa"/>
            <w:hideMark/>
          </w:tcPr>
          <w:p w14:paraId="6E6C95E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w:t>
            </w:r>
          </w:p>
        </w:tc>
        <w:tc>
          <w:tcPr>
            <w:tcW w:w="959" w:type="dxa"/>
            <w:hideMark/>
          </w:tcPr>
          <w:p w14:paraId="56BEC6B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FDAE6A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BCF4BA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A969F3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F65B38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BA519A3" w14:textId="77777777" w:rsidR="001808DF" w:rsidRPr="00927E59"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(urban Development And Management)</w:t>
            </w:r>
          </w:p>
        </w:tc>
        <w:tc>
          <w:tcPr>
            <w:tcW w:w="2601" w:type="dxa"/>
            <w:hideMark/>
          </w:tcPr>
          <w:p w14:paraId="27D542A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5DBCBCC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E83F0EF"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Urban laboratories for sustainable development</w:t>
            </w:r>
          </w:p>
        </w:tc>
        <w:tc>
          <w:tcPr>
            <w:tcW w:w="975" w:type="dxa"/>
            <w:hideMark/>
          </w:tcPr>
          <w:p w14:paraId="76BEC322"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w:t>
            </w:r>
          </w:p>
        </w:tc>
        <w:tc>
          <w:tcPr>
            <w:tcW w:w="959" w:type="dxa"/>
            <w:hideMark/>
          </w:tcPr>
          <w:p w14:paraId="0F50E60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D95DCA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93FF14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5170F9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70BF2BC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0FED258"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(urban Development And Management)</w:t>
            </w:r>
          </w:p>
        </w:tc>
        <w:tc>
          <w:tcPr>
            <w:tcW w:w="2601" w:type="dxa"/>
            <w:hideMark/>
          </w:tcPr>
          <w:p w14:paraId="7AD8799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24025A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CA2863E"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Urban laboratories for sustainable development</w:t>
            </w:r>
          </w:p>
        </w:tc>
        <w:tc>
          <w:tcPr>
            <w:tcW w:w="975" w:type="dxa"/>
            <w:hideMark/>
          </w:tcPr>
          <w:p w14:paraId="7204C69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160.00</w:t>
            </w:r>
          </w:p>
        </w:tc>
        <w:tc>
          <w:tcPr>
            <w:tcW w:w="959" w:type="dxa"/>
            <w:hideMark/>
          </w:tcPr>
          <w:p w14:paraId="3C43BFC3"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E20702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D7AAF7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36A9CC9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B1A48F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A6F2273" w14:textId="77777777" w:rsidR="001808DF" w:rsidRPr="00927E59"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(urban Development And Management)</w:t>
            </w:r>
          </w:p>
        </w:tc>
        <w:tc>
          <w:tcPr>
            <w:tcW w:w="2601" w:type="dxa"/>
            <w:hideMark/>
          </w:tcPr>
          <w:p w14:paraId="0489580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EE100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9628A60"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Urban laboratories for sustainable development</w:t>
            </w:r>
          </w:p>
        </w:tc>
        <w:tc>
          <w:tcPr>
            <w:tcW w:w="975" w:type="dxa"/>
            <w:hideMark/>
          </w:tcPr>
          <w:p w14:paraId="246329D1"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440.00</w:t>
            </w:r>
          </w:p>
        </w:tc>
        <w:tc>
          <w:tcPr>
            <w:tcW w:w="959" w:type="dxa"/>
            <w:hideMark/>
          </w:tcPr>
          <w:p w14:paraId="0B47FF76"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41FFEB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A7CDE0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35E509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3446847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0550B13"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(urban Development And Management)</w:t>
            </w:r>
          </w:p>
        </w:tc>
        <w:tc>
          <w:tcPr>
            <w:tcW w:w="2601" w:type="dxa"/>
            <w:hideMark/>
          </w:tcPr>
          <w:p w14:paraId="299687B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EE84AD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8D3546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Control of fruit fly</w:t>
            </w:r>
          </w:p>
        </w:tc>
        <w:tc>
          <w:tcPr>
            <w:tcW w:w="975" w:type="dxa"/>
            <w:hideMark/>
          </w:tcPr>
          <w:p w14:paraId="0E59629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2,100.00</w:t>
            </w:r>
          </w:p>
        </w:tc>
        <w:tc>
          <w:tcPr>
            <w:tcW w:w="959" w:type="dxa"/>
            <w:hideMark/>
          </w:tcPr>
          <w:p w14:paraId="1626E6D0"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D716B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331AD2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3CC722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543485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13AD7B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69737F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C8E763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08B58EC"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Control of fruit fly</w:t>
            </w:r>
          </w:p>
        </w:tc>
        <w:tc>
          <w:tcPr>
            <w:tcW w:w="975" w:type="dxa"/>
            <w:hideMark/>
          </w:tcPr>
          <w:p w14:paraId="7CDF082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1,835.00</w:t>
            </w:r>
          </w:p>
        </w:tc>
        <w:tc>
          <w:tcPr>
            <w:tcW w:w="959" w:type="dxa"/>
            <w:hideMark/>
          </w:tcPr>
          <w:p w14:paraId="1348F01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02FE75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78CAE2E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A6F79C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419FBA9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27C6BB0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0E02CD6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C76229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5992EB"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Scientific research and knowledge management on biodiversity</w:t>
            </w:r>
          </w:p>
        </w:tc>
        <w:tc>
          <w:tcPr>
            <w:tcW w:w="975" w:type="dxa"/>
            <w:hideMark/>
          </w:tcPr>
          <w:p w14:paraId="2765F5AC"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w:t>
            </w:r>
          </w:p>
        </w:tc>
        <w:tc>
          <w:tcPr>
            <w:tcW w:w="959" w:type="dxa"/>
            <w:hideMark/>
          </w:tcPr>
          <w:p w14:paraId="0D8E991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32938D0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6196FE1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789DC3E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771DDD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4659833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730B883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381D99E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B18D423" w14:textId="77777777" w:rsidR="001808DF" w:rsidRPr="00927E59" w:rsidRDefault="001808DF" w:rsidP="001808DF">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Sustainable energy</w:t>
            </w:r>
          </w:p>
        </w:tc>
        <w:tc>
          <w:tcPr>
            <w:tcW w:w="975" w:type="dxa"/>
            <w:hideMark/>
          </w:tcPr>
          <w:p w14:paraId="028F3D2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560.00</w:t>
            </w:r>
          </w:p>
        </w:tc>
        <w:tc>
          <w:tcPr>
            <w:tcW w:w="959" w:type="dxa"/>
            <w:hideMark/>
          </w:tcPr>
          <w:p w14:paraId="4C29AD27"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5E47C8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98AED5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1C0CED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CCC07F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A59695D" w14:textId="77777777" w:rsidR="001808DF" w:rsidRPr="00927E59"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927E59">
              <w:rPr>
                <w:rFonts w:ascii="Times New Roman" w:hAnsi="Times New Roman"/>
                <w:sz w:val="18"/>
                <w:szCs w:val="18"/>
                <w:lang w:val="en-GB"/>
              </w:rPr>
              <w:t>Other (energy Generation - Distribution - Efficiency)</w:t>
            </w:r>
          </w:p>
        </w:tc>
        <w:tc>
          <w:tcPr>
            <w:tcW w:w="2601" w:type="dxa"/>
            <w:hideMark/>
          </w:tcPr>
          <w:p w14:paraId="332BF33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34ABD0D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2A643D4"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Professional training related to sustainable development</w:t>
            </w:r>
          </w:p>
        </w:tc>
        <w:tc>
          <w:tcPr>
            <w:tcW w:w="975" w:type="dxa"/>
            <w:hideMark/>
          </w:tcPr>
          <w:p w14:paraId="1F850119"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w:t>
            </w:r>
          </w:p>
        </w:tc>
        <w:tc>
          <w:tcPr>
            <w:tcW w:w="959" w:type="dxa"/>
            <w:hideMark/>
          </w:tcPr>
          <w:p w14:paraId="4C87D0D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163506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A111F4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6DEA54D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51C598B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248091C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3663FD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6E9F6FC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7737F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Education with high environmental standards</w:t>
            </w:r>
          </w:p>
        </w:tc>
        <w:tc>
          <w:tcPr>
            <w:tcW w:w="975" w:type="dxa"/>
            <w:hideMark/>
          </w:tcPr>
          <w:p w14:paraId="7EAC0973"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w:t>
            </w:r>
          </w:p>
        </w:tc>
        <w:tc>
          <w:tcPr>
            <w:tcW w:w="959" w:type="dxa"/>
            <w:hideMark/>
          </w:tcPr>
          <w:p w14:paraId="28F37C7C"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FFB76B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D052F6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1AF7763B"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27F6EA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0DC5DA5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A56CA6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NGO</w:t>
            </w:r>
          </w:p>
        </w:tc>
      </w:tr>
      <w:tr w:rsidR="001808DF" w:rsidRPr="001808DF" w14:paraId="1AE67F3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8F7B68"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Technical assistance facility for the African Union</w:t>
            </w:r>
          </w:p>
        </w:tc>
        <w:tc>
          <w:tcPr>
            <w:tcW w:w="975" w:type="dxa"/>
            <w:hideMark/>
          </w:tcPr>
          <w:p w14:paraId="1C7E307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165.00</w:t>
            </w:r>
          </w:p>
        </w:tc>
        <w:tc>
          <w:tcPr>
            <w:tcW w:w="959" w:type="dxa"/>
            <w:hideMark/>
          </w:tcPr>
          <w:p w14:paraId="3015ACB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A904C90"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1CD606D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9D1D18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61601D4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3F511D7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25E3454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010CCF6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7ABAF4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Xingu natural reserve</w:t>
            </w:r>
          </w:p>
        </w:tc>
        <w:tc>
          <w:tcPr>
            <w:tcW w:w="975" w:type="dxa"/>
            <w:hideMark/>
          </w:tcPr>
          <w:p w14:paraId="306F52FD"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1,100.00</w:t>
            </w:r>
          </w:p>
        </w:tc>
        <w:tc>
          <w:tcPr>
            <w:tcW w:w="959" w:type="dxa"/>
            <w:hideMark/>
          </w:tcPr>
          <w:p w14:paraId="39CF8FD9"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6ACE4CC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7652D9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4F91C61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2669B6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4090EB0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601" w:type="dxa"/>
            <w:hideMark/>
          </w:tcPr>
          <w:p w14:paraId="1295348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76A3A17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37C4F6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2050 Facility - establish low-carbon and resilient development pathways</w:t>
            </w:r>
          </w:p>
        </w:tc>
        <w:tc>
          <w:tcPr>
            <w:tcW w:w="975" w:type="dxa"/>
            <w:hideMark/>
          </w:tcPr>
          <w:p w14:paraId="32FFA8E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w:t>
            </w:r>
          </w:p>
        </w:tc>
        <w:tc>
          <w:tcPr>
            <w:tcW w:w="959" w:type="dxa"/>
            <w:hideMark/>
          </w:tcPr>
          <w:p w14:paraId="14FF2326"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1AF426F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388D55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073" w:type="dxa"/>
            <w:hideMark/>
          </w:tcPr>
          <w:p w14:paraId="536D0FC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60" w:type="dxa"/>
            <w:hideMark/>
          </w:tcPr>
          <w:p w14:paraId="1A02D601"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79D8AB3E"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(environmental Policy And Administrative Management)</w:t>
            </w:r>
          </w:p>
        </w:tc>
        <w:tc>
          <w:tcPr>
            <w:tcW w:w="2601" w:type="dxa"/>
            <w:hideMark/>
          </w:tcPr>
          <w:p w14:paraId="082E634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AFD</w:t>
            </w:r>
          </w:p>
        </w:tc>
      </w:tr>
      <w:tr w:rsidR="001808DF" w:rsidRPr="001808DF" w14:paraId="13AA3E0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752F2F"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Financial intermediation</w:t>
            </w:r>
          </w:p>
        </w:tc>
        <w:tc>
          <w:tcPr>
            <w:tcW w:w="975" w:type="dxa"/>
            <w:hideMark/>
          </w:tcPr>
          <w:p w14:paraId="70A014A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22,391.40</w:t>
            </w:r>
          </w:p>
        </w:tc>
        <w:tc>
          <w:tcPr>
            <w:tcW w:w="959" w:type="dxa"/>
            <w:hideMark/>
          </w:tcPr>
          <w:p w14:paraId="48466C18"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50ADAB8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319B7ACC"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34C2A28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29E1D449"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5799B3AF"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3E8F1F22"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2BB3A5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1A9B37"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Financial intermediation</w:t>
            </w:r>
          </w:p>
        </w:tc>
        <w:tc>
          <w:tcPr>
            <w:tcW w:w="975" w:type="dxa"/>
            <w:hideMark/>
          </w:tcPr>
          <w:p w14:paraId="68C14C7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37,500.00</w:t>
            </w:r>
          </w:p>
        </w:tc>
        <w:tc>
          <w:tcPr>
            <w:tcW w:w="959" w:type="dxa"/>
            <w:hideMark/>
          </w:tcPr>
          <w:p w14:paraId="5A9E857B"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0E73B83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08700655"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4CAF9C4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w:t>
            </w:r>
          </w:p>
        </w:tc>
        <w:tc>
          <w:tcPr>
            <w:tcW w:w="1060" w:type="dxa"/>
            <w:hideMark/>
          </w:tcPr>
          <w:p w14:paraId="080A5E5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(Crosscutting)</w:t>
            </w:r>
          </w:p>
        </w:tc>
        <w:tc>
          <w:tcPr>
            <w:tcW w:w="1130" w:type="dxa"/>
            <w:hideMark/>
          </w:tcPr>
          <w:p w14:paraId="10D27C63"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(banking And Financial Services)</w:t>
            </w:r>
          </w:p>
        </w:tc>
        <w:tc>
          <w:tcPr>
            <w:tcW w:w="2601" w:type="dxa"/>
            <w:hideMark/>
          </w:tcPr>
          <w:p w14:paraId="75FAA5B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46B0BA1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E711F2"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Energy efficiency for educational buildings</w:t>
            </w:r>
          </w:p>
        </w:tc>
        <w:tc>
          <w:tcPr>
            <w:tcW w:w="975" w:type="dxa"/>
            <w:hideMark/>
          </w:tcPr>
          <w:p w14:paraId="2CA84AAE"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20,050.00</w:t>
            </w:r>
          </w:p>
        </w:tc>
        <w:tc>
          <w:tcPr>
            <w:tcW w:w="959" w:type="dxa"/>
            <w:hideMark/>
          </w:tcPr>
          <w:p w14:paraId="4F45BFEA"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41E05185"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5A4292A"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5CC25E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53D6A2C6"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130" w:type="dxa"/>
            <w:hideMark/>
          </w:tcPr>
          <w:p w14:paraId="6C2F64F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1808DF">
              <w:rPr>
                <w:rFonts w:ascii="Times New Roman" w:hAnsi="Times New Roman"/>
                <w:sz w:val="18"/>
                <w:szCs w:val="18"/>
                <w:lang w:val="en-GB"/>
              </w:rPr>
              <w:t>Other (government And Civil Society)</w:t>
            </w:r>
          </w:p>
        </w:tc>
        <w:tc>
          <w:tcPr>
            <w:tcW w:w="2601" w:type="dxa"/>
            <w:hideMark/>
          </w:tcPr>
          <w:p w14:paraId="7140315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5E53E9C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DF8063"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Sustainable agribusiness</w:t>
            </w:r>
          </w:p>
        </w:tc>
        <w:tc>
          <w:tcPr>
            <w:tcW w:w="975" w:type="dxa"/>
            <w:hideMark/>
          </w:tcPr>
          <w:p w14:paraId="0D4D17C1"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8,468.83</w:t>
            </w:r>
          </w:p>
        </w:tc>
        <w:tc>
          <w:tcPr>
            <w:tcW w:w="959" w:type="dxa"/>
            <w:hideMark/>
          </w:tcPr>
          <w:p w14:paraId="61950D05" w14:textId="77777777" w:rsidR="001808DF" w:rsidRPr="001808DF"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2E2164B7"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52218989"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6BA62A6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60B699B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83521DB"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0960B6DD"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r w:rsidR="001808DF" w:rsidRPr="001808DF" w14:paraId="096A049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43BE7DB" w14:textId="77777777" w:rsidR="001808DF" w:rsidRPr="001808DF" w:rsidRDefault="001808DF" w:rsidP="001808DF">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Sustainable agribusiness</w:t>
            </w:r>
          </w:p>
        </w:tc>
        <w:tc>
          <w:tcPr>
            <w:tcW w:w="975" w:type="dxa"/>
            <w:hideMark/>
          </w:tcPr>
          <w:p w14:paraId="193AACBB"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8,468.83</w:t>
            </w:r>
          </w:p>
        </w:tc>
        <w:tc>
          <w:tcPr>
            <w:tcW w:w="959" w:type="dxa"/>
            <w:hideMark/>
          </w:tcPr>
          <w:p w14:paraId="7B01322F" w14:textId="77777777" w:rsidR="001808DF" w:rsidRPr="001808DF"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50" w:type="dxa"/>
            <w:hideMark/>
          </w:tcPr>
          <w:p w14:paraId="77EF346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935" w:type="dxa"/>
            <w:hideMark/>
          </w:tcPr>
          <w:p w14:paraId="2EB9381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073" w:type="dxa"/>
            <w:hideMark/>
          </w:tcPr>
          <w:p w14:paraId="12A9B5E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Non-concessional Loan</w:t>
            </w:r>
          </w:p>
        </w:tc>
        <w:tc>
          <w:tcPr>
            <w:tcW w:w="1060" w:type="dxa"/>
            <w:hideMark/>
          </w:tcPr>
          <w:p w14:paraId="13B3455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130" w:type="dxa"/>
            <w:hideMark/>
          </w:tcPr>
          <w:p w14:paraId="5F770054"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601" w:type="dxa"/>
            <w:hideMark/>
          </w:tcPr>
          <w:p w14:paraId="7354706D"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PROPARCO</w:t>
            </w:r>
          </w:p>
        </w:tc>
      </w:tr>
    </w:tbl>
    <w:p w14:paraId="1252299F" w14:textId="77777777" w:rsidR="001808DF" w:rsidRPr="001808DF" w:rsidRDefault="001808DF" w:rsidP="001808DF">
      <w:pPr>
        <w:rPr>
          <w:rFonts w:eastAsiaTheme="majorEastAsia"/>
        </w:rPr>
      </w:pPr>
    </w:p>
    <w:p w14:paraId="116801AB" w14:textId="5CBC42FD" w:rsidR="001808DF" w:rsidRDefault="001808DF" w:rsidP="001808DF">
      <w:pPr>
        <w:pStyle w:val="Caption"/>
      </w:pPr>
      <w:r>
        <w:br w:type="page"/>
      </w:r>
      <w:bookmarkStart w:id="316" w:name="_Toc123916675"/>
      <w:r>
        <w:t xml:space="preserve">Tableau </w:t>
      </w:r>
      <w:fldSimple w:instr=" SEQ Tableau \* ARABIC ">
        <w:r w:rsidR="00677B3C">
          <w:rPr>
            <w:noProof/>
          </w:rPr>
          <w:t>40</w:t>
        </w:r>
      </w:fldSimple>
      <w:r>
        <w:t xml:space="preserve"> : </w:t>
      </w:r>
      <w:r w:rsidRPr="001808DF">
        <w:t>Table CTF 7b - Contributions bilatéral</w:t>
      </w:r>
      <w:r>
        <w:t>es, régionales et autres en 2020</w:t>
      </w:r>
      <w:bookmarkEnd w:id="316"/>
    </w:p>
    <w:p w14:paraId="36379EF8" w14:textId="77777777" w:rsidR="001808DF" w:rsidRPr="001808DF" w:rsidRDefault="001808DF" w:rsidP="001808DF"/>
    <w:tbl>
      <w:tblPr>
        <w:tblStyle w:val="ListTable4-Accent1"/>
        <w:tblW w:w="12440" w:type="dxa"/>
        <w:tblLook w:val="04A0" w:firstRow="1" w:lastRow="0" w:firstColumn="1" w:lastColumn="0" w:noHBand="0" w:noVBand="1"/>
      </w:tblPr>
      <w:tblGrid>
        <w:gridCol w:w="2527"/>
        <w:gridCol w:w="1476"/>
        <w:gridCol w:w="847"/>
        <w:gridCol w:w="986"/>
        <w:gridCol w:w="895"/>
        <w:gridCol w:w="1326"/>
        <w:gridCol w:w="1016"/>
        <w:gridCol w:w="1336"/>
        <w:gridCol w:w="2031"/>
      </w:tblGrid>
      <w:tr w:rsidR="001808DF" w:rsidRPr="001808DF" w14:paraId="60348900" w14:textId="77777777" w:rsidTr="00927E59">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vMerge w:val="restart"/>
            <w:hideMark/>
          </w:tcPr>
          <w:p w14:paraId="531ACE91" w14:textId="77777777" w:rsidR="001808DF" w:rsidRPr="001808DF" w:rsidRDefault="001808DF" w:rsidP="001808DF">
            <w:pPr>
              <w:jc w:val="center"/>
              <w:rPr>
                <w:rFonts w:ascii="Times New Roman" w:hAnsi="Times New Roman"/>
                <w:i/>
                <w:iCs/>
                <w:color w:val="000000"/>
                <w:sz w:val="18"/>
                <w:szCs w:val="18"/>
                <w:lang w:val="en-GB"/>
              </w:rPr>
            </w:pPr>
            <w:r w:rsidRPr="001808DF">
              <w:rPr>
                <w:rFonts w:ascii="Times New Roman" w:hAnsi="Times New Roman"/>
                <w:i/>
                <w:iCs/>
                <w:color w:val="000000"/>
                <w:sz w:val="18"/>
                <w:szCs w:val="18"/>
                <w:lang w:val="en-GB"/>
              </w:rPr>
              <w:t>Recipient country/ region/project/programme</w:t>
            </w:r>
            <w:r w:rsidRPr="001808DF">
              <w:rPr>
                <w:rFonts w:ascii="Times New Roman" w:hAnsi="Times New Roman"/>
                <w:i/>
                <w:iCs/>
                <w:color w:val="000000"/>
                <w:sz w:val="18"/>
                <w:szCs w:val="18"/>
                <w:vertAlign w:val="superscript"/>
                <w:lang w:val="en-GB"/>
              </w:rPr>
              <w:t>b</w:t>
            </w:r>
          </w:p>
        </w:tc>
        <w:tc>
          <w:tcPr>
            <w:tcW w:w="2323" w:type="dxa"/>
            <w:gridSpan w:val="2"/>
            <w:noWrap/>
            <w:hideMark/>
          </w:tcPr>
          <w:p w14:paraId="46736E26"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Total amount</w:t>
            </w:r>
          </w:p>
        </w:tc>
        <w:tc>
          <w:tcPr>
            <w:tcW w:w="986" w:type="dxa"/>
            <w:vMerge w:val="restart"/>
            <w:hideMark/>
          </w:tcPr>
          <w:p w14:paraId="55558550"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Status</w:t>
            </w:r>
            <w:r w:rsidRPr="001808DF">
              <w:rPr>
                <w:rFonts w:ascii="Times New Roman" w:hAnsi="Times New Roman"/>
                <w:i/>
                <w:iCs/>
                <w:color w:val="000000"/>
                <w:sz w:val="18"/>
                <w:szCs w:val="18"/>
                <w:vertAlign w:val="superscript"/>
              </w:rPr>
              <w:t>c, 3</w:t>
            </w:r>
          </w:p>
        </w:tc>
        <w:tc>
          <w:tcPr>
            <w:tcW w:w="895" w:type="dxa"/>
            <w:vMerge w:val="restart"/>
            <w:hideMark/>
          </w:tcPr>
          <w:p w14:paraId="4CE84247"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Funding source</w:t>
            </w:r>
            <w:r w:rsidRPr="001808DF">
              <w:rPr>
                <w:rFonts w:ascii="Times New Roman" w:hAnsi="Times New Roman"/>
                <w:i/>
                <w:iCs/>
                <w:color w:val="000000"/>
                <w:sz w:val="18"/>
                <w:szCs w:val="18"/>
                <w:vertAlign w:val="superscript"/>
              </w:rPr>
              <w:t>g, 4</w:t>
            </w:r>
          </w:p>
        </w:tc>
        <w:tc>
          <w:tcPr>
            <w:tcW w:w="1326" w:type="dxa"/>
            <w:vMerge w:val="restart"/>
            <w:hideMark/>
          </w:tcPr>
          <w:p w14:paraId="05436D12"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Financial instrument</w:t>
            </w:r>
            <w:r w:rsidRPr="001808DF">
              <w:rPr>
                <w:rFonts w:ascii="Times New Roman" w:hAnsi="Times New Roman"/>
                <w:i/>
                <w:iCs/>
                <w:color w:val="000000"/>
                <w:sz w:val="18"/>
                <w:szCs w:val="18"/>
                <w:vertAlign w:val="superscript"/>
              </w:rPr>
              <w:t>g, 5</w:t>
            </w:r>
          </w:p>
        </w:tc>
        <w:tc>
          <w:tcPr>
            <w:tcW w:w="1016" w:type="dxa"/>
            <w:vMerge w:val="restart"/>
            <w:hideMark/>
          </w:tcPr>
          <w:p w14:paraId="06BC05C3"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Type of support</w:t>
            </w:r>
            <w:r w:rsidRPr="001808DF">
              <w:rPr>
                <w:rFonts w:ascii="Times New Roman" w:hAnsi="Times New Roman"/>
                <w:i/>
                <w:iCs/>
                <w:color w:val="000000"/>
                <w:sz w:val="18"/>
                <w:szCs w:val="18"/>
                <w:vertAlign w:val="superscript"/>
              </w:rPr>
              <w:t>g, h, 6</w:t>
            </w:r>
          </w:p>
        </w:tc>
        <w:tc>
          <w:tcPr>
            <w:tcW w:w="1336" w:type="dxa"/>
            <w:vMerge w:val="restart"/>
            <w:noWrap/>
            <w:hideMark/>
          </w:tcPr>
          <w:p w14:paraId="7635C27C"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Sector</w:t>
            </w:r>
            <w:r w:rsidRPr="001808DF">
              <w:rPr>
                <w:rFonts w:ascii="Times New Roman" w:hAnsi="Times New Roman"/>
                <w:i/>
                <w:iCs/>
                <w:color w:val="000000"/>
                <w:sz w:val="18"/>
                <w:szCs w:val="18"/>
                <w:vertAlign w:val="superscript"/>
              </w:rPr>
              <w:t>d, g, 7</w:t>
            </w:r>
          </w:p>
        </w:tc>
        <w:tc>
          <w:tcPr>
            <w:tcW w:w="2031" w:type="dxa"/>
            <w:vMerge w:val="restart"/>
            <w:hideMark/>
          </w:tcPr>
          <w:p w14:paraId="0772F52E" w14:textId="77777777" w:rsidR="001808DF" w:rsidRPr="001808DF"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Additional information</w:t>
            </w:r>
            <w:r w:rsidRPr="001808DF">
              <w:rPr>
                <w:rFonts w:ascii="Times New Roman" w:hAnsi="Times New Roman"/>
                <w:i/>
                <w:iCs/>
                <w:color w:val="000000"/>
                <w:sz w:val="18"/>
                <w:szCs w:val="18"/>
                <w:vertAlign w:val="superscript"/>
              </w:rPr>
              <w:t>e</w:t>
            </w:r>
          </w:p>
        </w:tc>
      </w:tr>
      <w:tr w:rsidR="001808DF" w:rsidRPr="001808DF" w14:paraId="50F5BAE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vMerge/>
            <w:hideMark/>
          </w:tcPr>
          <w:p w14:paraId="5A78B40B" w14:textId="77777777" w:rsidR="001808DF" w:rsidRPr="001808DF" w:rsidRDefault="001808DF" w:rsidP="001808DF">
            <w:pPr>
              <w:jc w:val="left"/>
              <w:rPr>
                <w:rFonts w:ascii="Times New Roman" w:hAnsi="Times New Roman"/>
                <w:i/>
                <w:iCs/>
                <w:color w:val="000000"/>
                <w:sz w:val="18"/>
                <w:szCs w:val="18"/>
              </w:rPr>
            </w:pPr>
          </w:p>
        </w:tc>
        <w:tc>
          <w:tcPr>
            <w:tcW w:w="2323" w:type="dxa"/>
            <w:gridSpan w:val="2"/>
            <w:hideMark/>
          </w:tcPr>
          <w:p w14:paraId="639FEB2D" w14:textId="77777777" w:rsidR="001808DF" w:rsidRPr="001808DF"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Climate-specific</w:t>
            </w:r>
            <w:r w:rsidRPr="001808DF">
              <w:rPr>
                <w:rFonts w:ascii="Times New Roman" w:hAnsi="Times New Roman"/>
                <w:i/>
                <w:iCs/>
                <w:color w:val="000000"/>
                <w:sz w:val="18"/>
                <w:szCs w:val="18"/>
                <w:vertAlign w:val="superscript"/>
              </w:rPr>
              <w:t>f, 2</w:t>
            </w:r>
          </w:p>
        </w:tc>
        <w:tc>
          <w:tcPr>
            <w:tcW w:w="986" w:type="dxa"/>
            <w:vMerge/>
            <w:hideMark/>
          </w:tcPr>
          <w:p w14:paraId="090E0DB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895" w:type="dxa"/>
            <w:vMerge/>
            <w:hideMark/>
          </w:tcPr>
          <w:p w14:paraId="7B31F72E"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326" w:type="dxa"/>
            <w:vMerge/>
            <w:hideMark/>
          </w:tcPr>
          <w:p w14:paraId="46E492A7"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016" w:type="dxa"/>
            <w:vMerge/>
            <w:hideMark/>
          </w:tcPr>
          <w:p w14:paraId="49DADCB8"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336" w:type="dxa"/>
            <w:vMerge/>
            <w:hideMark/>
          </w:tcPr>
          <w:p w14:paraId="6C5266B1"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2031" w:type="dxa"/>
            <w:vMerge/>
            <w:hideMark/>
          </w:tcPr>
          <w:p w14:paraId="303A8B10" w14:textId="77777777" w:rsidR="001808DF" w:rsidRPr="001808DF"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r>
      <w:tr w:rsidR="001808DF" w:rsidRPr="001808DF" w14:paraId="0C974CF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vMerge/>
            <w:hideMark/>
          </w:tcPr>
          <w:p w14:paraId="7E1024CD" w14:textId="77777777" w:rsidR="001808DF" w:rsidRPr="001808DF" w:rsidRDefault="001808DF" w:rsidP="001808DF">
            <w:pPr>
              <w:jc w:val="left"/>
              <w:rPr>
                <w:rFonts w:ascii="Times New Roman" w:hAnsi="Times New Roman"/>
                <w:i/>
                <w:iCs/>
                <w:color w:val="000000"/>
                <w:sz w:val="18"/>
                <w:szCs w:val="18"/>
              </w:rPr>
            </w:pPr>
          </w:p>
        </w:tc>
        <w:tc>
          <w:tcPr>
            <w:tcW w:w="1476" w:type="dxa"/>
            <w:hideMark/>
          </w:tcPr>
          <w:p w14:paraId="4C60DA76"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European euro - EUR</w:t>
            </w:r>
          </w:p>
        </w:tc>
        <w:tc>
          <w:tcPr>
            <w:tcW w:w="847" w:type="dxa"/>
            <w:hideMark/>
          </w:tcPr>
          <w:p w14:paraId="3AA9C2CD" w14:textId="77777777" w:rsidR="001808DF" w:rsidRPr="001808DF"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1808DF">
              <w:rPr>
                <w:rFonts w:ascii="Times New Roman" w:hAnsi="Times New Roman"/>
                <w:i/>
                <w:iCs/>
                <w:color w:val="000000"/>
                <w:sz w:val="18"/>
                <w:szCs w:val="18"/>
              </w:rPr>
              <w:t>USD</w:t>
            </w:r>
          </w:p>
        </w:tc>
        <w:tc>
          <w:tcPr>
            <w:tcW w:w="986" w:type="dxa"/>
            <w:vMerge/>
            <w:hideMark/>
          </w:tcPr>
          <w:p w14:paraId="1DA2F576"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895" w:type="dxa"/>
            <w:vMerge/>
            <w:hideMark/>
          </w:tcPr>
          <w:p w14:paraId="0FAF722F"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326" w:type="dxa"/>
            <w:vMerge/>
            <w:hideMark/>
          </w:tcPr>
          <w:p w14:paraId="58BC1F0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016" w:type="dxa"/>
            <w:vMerge/>
            <w:hideMark/>
          </w:tcPr>
          <w:p w14:paraId="43FF6B52"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336" w:type="dxa"/>
            <w:vMerge/>
            <w:hideMark/>
          </w:tcPr>
          <w:p w14:paraId="38C4F478"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2031" w:type="dxa"/>
            <w:vMerge/>
            <w:hideMark/>
          </w:tcPr>
          <w:p w14:paraId="76E3649A" w14:textId="77777777" w:rsidR="001808DF" w:rsidRPr="001808DF"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r>
      <w:tr w:rsidR="00927E59" w:rsidRPr="001808DF" w14:paraId="2FF27F9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6FDA6D" w14:textId="77777777" w:rsidR="00927E59" w:rsidRPr="001808DF" w:rsidRDefault="00927E59" w:rsidP="00927E59">
            <w:pPr>
              <w:jc w:val="left"/>
              <w:rPr>
                <w:rFonts w:ascii="Times New Roman" w:hAnsi="Times New Roman"/>
                <w:color w:val="000000"/>
                <w:sz w:val="18"/>
                <w:szCs w:val="18"/>
                <w:lang w:val="en-GB"/>
              </w:rPr>
            </w:pPr>
            <w:r w:rsidRPr="001808DF">
              <w:rPr>
                <w:rFonts w:ascii="Times New Roman" w:hAnsi="Times New Roman"/>
                <w:sz w:val="18"/>
                <w:szCs w:val="18"/>
                <w:lang w:val="en-GB"/>
              </w:rPr>
              <w:t>Total contributions through bilateral, regional and other channels</w:t>
            </w:r>
          </w:p>
        </w:tc>
        <w:tc>
          <w:tcPr>
            <w:tcW w:w="1476" w:type="dxa"/>
            <w:hideMark/>
          </w:tcPr>
          <w:p w14:paraId="151B3A6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4,770,342,237.31</w:t>
            </w:r>
          </w:p>
        </w:tc>
        <w:tc>
          <w:tcPr>
            <w:tcW w:w="847" w:type="dxa"/>
            <w:hideMark/>
          </w:tcPr>
          <w:p w14:paraId="509C3AB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4863CC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895" w:type="dxa"/>
            <w:hideMark/>
          </w:tcPr>
          <w:p w14:paraId="7CD6692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1326" w:type="dxa"/>
            <w:hideMark/>
          </w:tcPr>
          <w:p w14:paraId="488C9BE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1016" w:type="dxa"/>
            <w:hideMark/>
          </w:tcPr>
          <w:p w14:paraId="55453F9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1336" w:type="dxa"/>
            <w:hideMark/>
          </w:tcPr>
          <w:p w14:paraId="5CA53B7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2031" w:type="dxa"/>
            <w:hideMark/>
          </w:tcPr>
          <w:p w14:paraId="49E6A270" w14:textId="7DCD2B7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BADC4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15F36B"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Feasability study of a "waste to energy" project</w:t>
            </w:r>
          </w:p>
        </w:tc>
        <w:tc>
          <w:tcPr>
            <w:tcW w:w="1476" w:type="dxa"/>
            <w:hideMark/>
          </w:tcPr>
          <w:p w14:paraId="3627F36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407,300.00</w:t>
            </w:r>
          </w:p>
        </w:tc>
        <w:tc>
          <w:tcPr>
            <w:tcW w:w="847" w:type="dxa"/>
            <w:hideMark/>
          </w:tcPr>
          <w:p w14:paraId="35B0FA8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188C80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76F192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C24A7C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544BF5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96CCB0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1DB60A17" w14:textId="71BB46B1"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96A909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456ADE0"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Support for the implementation of a financing facility in South-African secondary cities</w:t>
            </w:r>
          </w:p>
        </w:tc>
        <w:tc>
          <w:tcPr>
            <w:tcW w:w="1476" w:type="dxa"/>
            <w:hideMark/>
          </w:tcPr>
          <w:p w14:paraId="0C59171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1,818,824.00</w:t>
            </w:r>
          </w:p>
        </w:tc>
        <w:tc>
          <w:tcPr>
            <w:tcW w:w="847" w:type="dxa"/>
            <w:hideMark/>
          </w:tcPr>
          <w:p w14:paraId="50D8518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5BBB4E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D16EE9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3CCAC7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E012A3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DBE84A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50F31B49" w14:textId="1DE9F84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33EBF0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39DF3A"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Subscription/support to the emission of the first green bond by the DBSA</w:t>
            </w:r>
          </w:p>
        </w:tc>
        <w:tc>
          <w:tcPr>
            <w:tcW w:w="1476" w:type="dxa"/>
            <w:hideMark/>
          </w:tcPr>
          <w:p w14:paraId="4F357CE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150,000,000.00</w:t>
            </w:r>
          </w:p>
        </w:tc>
        <w:tc>
          <w:tcPr>
            <w:tcW w:w="847" w:type="dxa"/>
            <w:hideMark/>
          </w:tcPr>
          <w:p w14:paraId="520572A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60D18A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F76EB2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026F02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(bond)</w:t>
            </w:r>
          </w:p>
        </w:tc>
        <w:tc>
          <w:tcPr>
            <w:tcW w:w="1016" w:type="dxa"/>
            <w:hideMark/>
          </w:tcPr>
          <w:p w14:paraId="70D81DF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E01D0F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16B9715D" w14:textId="1CA8B89D"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86E03E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331288"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Subscription/support to the emission of the first green bond by the DBSA</w:t>
            </w:r>
          </w:p>
        </w:tc>
        <w:tc>
          <w:tcPr>
            <w:tcW w:w="1476" w:type="dxa"/>
            <w:hideMark/>
          </w:tcPr>
          <w:p w14:paraId="375AE4F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50,000,000.00</w:t>
            </w:r>
          </w:p>
        </w:tc>
        <w:tc>
          <w:tcPr>
            <w:tcW w:w="847" w:type="dxa"/>
            <w:hideMark/>
          </w:tcPr>
          <w:p w14:paraId="350DBD0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B18A5D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B9EA76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0882DB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(bond)</w:t>
            </w:r>
          </w:p>
        </w:tc>
        <w:tc>
          <w:tcPr>
            <w:tcW w:w="1016" w:type="dxa"/>
            <w:hideMark/>
          </w:tcPr>
          <w:p w14:paraId="034DF0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00AEC7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1E1D630F" w14:textId="31E249FE"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D9CE74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F996DE4"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South Africa / Support to finance for affordable housing</w:t>
            </w:r>
          </w:p>
        </w:tc>
        <w:tc>
          <w:tcPr>
            <w:tcW w:w="1476" w:type="dxa"/>
            <w:hideMark/>
          </w:tcPr>
          <w:p w14:paraId="1C19B90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300,000.00</w:t>
            </w:r>
          </w:p>
        </w:tc>
        <w:tc>
          <w:tcPr>
            <w:tcW w:w="847" w:type="dxa"/>
            <w:hideMark/>
          </w:tcPr>
          <w:p w14:paraId="21DBAB9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352913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19A41F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5E0E5F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FE3FC2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84DCE9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0BFC6AE1" w14:textId="3CC29E5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1EAF3C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6212DF"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Angola / Rehabilitation project of a irrigated perimeter</w:t>
            </w:r>
          </w:p>
        </w:tc>
        <w:tc>
          <w:tcPr>
            <w:tcW w:w="1476" w:type="dxa"/>
            <w:hideMark/>
          </w:tcPr>
          <w:p w14:paraId="487ABAC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674,540.00</w:t>
            </w:r>
          </w:p>
        </w:tc>
        <w:tc>
          <w:tcPr>
            <w:tcW w:w="847" w:type="dxa"/>
            <w:hideMark/>
          </w:tcPr>
          <w:p w14:paraId="275BF58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DE70D5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3F79F8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DAF6DC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E1381F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5D6E121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2B8ADA8" w14:textId="3E673D5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5F3C34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97DD49"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Angola / Optimisation of the energy sector in Angola, cofinancing with the World Bank</w:t>
            </w:r>
          </w:p>
        </w:tc>
        <w:tc>
          <w:tcPr>
            <w:tcW w:w="1476" w:type="dxa"/>
            <w:hideMark/>
          </w:tcPr>
          <w:p w14:paraId="1610FCE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136,460,206.00</w:t>
            </w:r>
          </w:p>
        </w:tc>
        <w:tc>
          <w:tcPr>
            <w:tcW w:w="847" w:type="dxa"/>
            <w:hideMark/>
          </w:tcPr>
          <w:p w14:paraId="24C228E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7A794E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3087F9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812BE1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214094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5B394F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566DB31" w14:textId="07F2C4B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D7EFCA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96C0B9"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Benin / ACE Impact Benin</w:t>
            </w:r>
          </w:p>
        </w:tc>
        <w:tc>
          <w:tcPr>
            <w:tcW w:w="1476" w:type="dxa"/>
            <w:hideMark/>
          </w:tcPr>
          <w:p w14:paraId="296C5BD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4,300,000.00</w:t>
            </w:r>
          </w:p>
        </w:tc>
        <w:tc>
          <w:tcPr>
            <w:tcW w:w="847" w:type="dxa"/>
            <w:hideMark/>
          </w:tcPr>
          <w:p w14:paraId="3D0B15E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D54028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AF0E28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6305DB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8891B0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EDF206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70EA0998" w14:textId="0937297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21E1B36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BB0B823"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Benin / Guide local actors in market diffusion of Nubian vault</w:t>
            </w:r>
          </w:p>
        </w:tc>
        <w:tc>
          <w:tcPr>
            <w:tcW w:w="1476" w:type="dxa"/>
            <w:hideMark/>
          </w:tcPr>
          <w:p w14:paraId="75950C8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1,300,000.00</w:t>
            </w:r>
          </w:p>
        </w:tc>
        <w:tc>
          <w:tcPr>
            <w:tcW w:w="847" w:type="dxa"/>
            <w:hideMark/>
          </w:tcPr>
          <w:p w14:paraId="720D790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9E88BA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94299F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B18EB0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5FD26A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BC1074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741C9A6" w14:textId="215B9D8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7B12619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AB746A"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Innovative and ecological water treatment system</w:t>
            </w:r>
          </w:p>
        </w:tc>
        <w:tc>
          <w:tcPr>
            <w:tcW w:w="1476" w:type="dxa"/>
            <w:hideMark/>
          </w:tcPr>
          <w:p w14:paraId="4E9E011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573,000.00</w:t>
            </w:r>
          </w:p>
        </w:tc>
        <w:tc>
          <w:tcPr>
            <w:tcW w:w="847" w:type="dxa"/>
            <w:hideMark/>
          </w:tcPr>
          <w:p w14:paraId="1E9CAF7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C0529F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280DF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4ABEAA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257197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22788E3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05F3F533" w14:textId="02091DB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3C584D8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B37DE2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Optimization of low tension city networks</w:t>
            </w:r>
          </w:p>
        </w:tc>
        <w:tc>
          <w:tcPr>
            <w:tcW w:w="1476" w:type="dxa"/>
            <w:hideMark/>
          </w:tcPr>
          <w:p w14:paraId="7952BD2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11,743.00</w:t>
            </w:r>
          </w:p>
        </w:tc>
        <w:tc>
          <w:tcPr>
            <w:tcW w:w="847" w:type="dxa"/>
            <w:hideMark/>
          </w:tcPr>
          <w:p w14:paraId="762FA7C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D4588D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F9F757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369925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420247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022E13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527A0FF" w14:textId="4037CC1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0DB81D8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2A3D7D1"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Solar plant financing</w:t>
            </w:r>
          </w:p>
        </w:tc>
        <w:tc>
          <w:tcPr>
            <w:tcW w:w="1476" w:type="dxa"/>
            <w:hideMark/>
          </w:tcPr>
          <w:p w14:paraId="029B2C3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9,300,000.00</w:t>
            </w:r>
          </w:p>
        </w:tc>
        <w:tc>
          <w:tcPr>
            <w:tcW w:w="847" w:type="dxa"/>
            <w:hideMark/>
          </w:tcPr>
          <w:p w14:paraId="15FD0CA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7DB637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683ECA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2E1A986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D54E00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C22A8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8B89EFC" w14:textId="0629D3B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6581C25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B51F180"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Solar plant financing</w:t>
            </w:r>
          </w:p>
        </w:tc>
        <w:tc>
          <w:tcPr>
            <w:tcW w:w="1476" w:type="dxa"/>
            <w:hideMark/>
          </w:tcPr>
          <w:p w14:paraId="41AAA87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6,900,000.00</w:t>
            </w:r>
          </w:p>
        </w:tc>
        <w:tc>
          <w:tcPr>
            <w:tcW w:w="847" w:type="dxa"/>
            <w:hideMark/>
          </w:tcPr>
          <w:p w14:paraId="4B0CFB7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C17430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373D5C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7DDD633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1346E6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37D3B0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64DE61D" w14:textId="67CA1CAE"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2D9BC8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08B12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Improvement and securing of agricultural production</w:t>
            </w:r>
          </w:p>
        </w:tc>
        <w:tc>
          <w:tcPr>
            <w:tcW w:w="1476" w:type="dxa"/>
            <w:hideMark/>
          </w:tcPr>
          <w:p w14:paraId="6E82396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10,000,000.00</w:t>
            </w:r>
          </w:p>
        </w:tc>
        <w:tc>
          <w:tcPr>
            <w:tcW w:w="847" w:type="dxa"/>
            <w:hideMark/>
          </w:tcPr>
          <w:p w14:paraId="14E122C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BFEDCD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B6A193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055296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E22C5A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706C64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9F18DCC" w14:textId="5BA52C6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9E1C4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623473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Improvement and securing of agricultural production</w:t>
            </w:r>
          </w:p>
        </w:tc>
        <w:tc>
          <w:tcPr>
            <w:tcW w:w="1476" w:type="dxa"/>
            <w:hideMark/>
          </w:tcPr>
          <w:p w14:paraId="326FC24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10,000,000.00</w:t>
            </w:r>
          </w:p>
        </w:tc>
        <w:tc>
          <w:tcPr>
            <w:tcW w:w="847" w:type="dxa"/>
            <w:hideMark/>
          </w:tcPr>
          <w:p w14:paraId="047DDC1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B71293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F46C1B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881DC2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8E77BD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386BF5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3687874" w14:textId="4DDAE76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FD552C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4C4FD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Improvement and securing of agricultural production</w:t>
            </w:r>
          </w:p>
        </w:tc>
        <w:tc>
          <w:tcPr>
            <w:tcW w:w="1476" w:type="dxa"/>
            <w:hideMark/>
          </w:tcPr>
          <w:p w14:paraId="5BA027E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3,500,000.00</w:t>
            </w:r>
          </w:p>
        </w:tc>
        <w:tc>
          <w:tcPr>
            <w:tcW w:w="847" w:type="dxa"/>
            <w:hideMark/>
          </w:tcPr>
          <w:p w14:paraId="2A287EC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E93427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269002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138CCC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B15205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485D9C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E01A2F4" w14:textId="52D0A57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B2E37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D5FBA8"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Improvement and securing of agricultural production</w:t>
            </w:r>
          </w:p>
        </w:tc>
        <w:tc>
          <w:tcPr>
            <w:tcW w:w="1476" w:type="dxa"/>
            <w:hideMark/>
          </w:tcPr>
          <w:p w14:paraId="4D24219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3,500,000.00</w:t>
            </w:r>
          </w:p>
        </w:tc>
        <w:tc>
          <w:tcPr>
            <w:tcW w:w="847" w:type="dxa"/>
            <w:hideMark/>
          </w:tcPr>
          <w:p w14:paraId="7E2880B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2DF639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EFC9A2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BB2C59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452788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AE6FB5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A44C45F" w14:textId="45D34FB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FD8840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724102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Support to decentralisation and local and regional authorities (PADCT in French)</w:t>
            </w:r>
          </w:p>
        </w:tc>
        <w:tc>
          <w:tcPr>
            <w:tcW w:w="1476" w:type="dxa"/>
            <w:hideMark/>
          </w:tcPr>
          <w:p w14:paraId="0D8D9E7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w:t>
            </w:r>
          </w:p>
        </w:tc>
        <w:tc>
          <w:tcPr>
            <w:tcW w:w="847" w:type="dxa"/>
            <w:hideMark/>
          </w:tcPr>
          <w:p w14:paraId="0D03ED7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ABA436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6B8975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292C50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39DE1B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AE8A4E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2A0B556A" w14:textId="34723D7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373E8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04D9CB8"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Support to decentralisation and local and regional authorities (PADCT in French)</w:t>
            </w:r>
          </w:p>
        </w:tc>
        <w:tc>
          <w:tcPr>
            <w:tcW w:w="1476" w:type="dxa"/>
            <w:hideMark/>
          </w:tcPr>
          <w:p w14:paraId="3C81FDB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1,750,000.00</w:t>
            </w:r>
          </w:p>
        </w:tc>
        <w:tc>
          <w:tcPr>
            <w:tcW w:w="847" w:type="dxa"/>
            <w:hideMark/>
          </w:tcPr>
          <w:p w14:paraId="61EEF1C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6BF470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3148D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6796CB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B4D63A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2F3F09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1361367C" w14:textId="0D0C23A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35F6CE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0BB7036"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Project to strenghten the resilience of drinkable water public services in a context of crisis</w:t>
            </w:r>
          </w:p>
        </w:tc>
        <w:tc>
          <w:tcPr>
            <w:tcW w:w="1476" w:type="dxa"/>
            <w:hideMark/>
          </w:tcPr>
          <w:p w14:paraId="11CCB69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1,500,000.00</w:t>
            </w:r>
          </w:p>
        </w:tc>
        <w:tc>
          <w:tcPr>
            <w:tcW w:w="847" w:type="dxa"/>
            <w:hideMark/>
          </w:tcPr>
          <w:p w14:paraId="758572B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B8E57E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ECF242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BAA502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FD177D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1EED86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22F1DAB1" w14:textId="54D50A7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F6682B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EE1A106"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Burkina Faso / Live and live better in non planned areas</w:t>
            </w:r>
          </w:p>
        </w:tc>
        <w:tc>
          <w:tcPr>
            <w:tcW w:w="1476" w:type="dxa"/>
            <w:hideMark/>
          </w:tcPr>
          <w:p w14:paraId="60EB4B7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w:t>
            </w:r>
          </w:p>
        </w:tc>
        <w:tc>
          <w:tcPr>
            <w:tcW w:w="847" w:type="dxa"/>
            <w:hideMark/>
          </w:tcPr>
          <w:p w14:paraId="3DBB818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D64FBB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618CBD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050810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B718F9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E9DEB8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4B62265C" w14:textId="6F2EDDE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3DAE5AC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B1AAE0"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Burkina Faso / Help and action - Together for Resilient Public Action against crises</w:t>
            </w:r>
          </w:p>
        </w:tc>
        <w:tc>
          <w:tcPr>
            <w:tcW w:w="1476" w:type="dxa"/>
            <w:hideMark/>
          </w:tcPr>
          <w:p w14:paraId="3CF5520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w:t>
            </w:r>
          </w:p>
        </w:tc>
        <w:tc>
          <w:tcPr>
            <w:tcW w:w="847" w:type="dxa"/>
            <w:hideMark/>
          </w:tcPr>
          <w:p w14:paraId="2A57C92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4CCC0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DFCE93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A8C6BC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80F87F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6E0AE7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64918529" w14:textId="406DCC5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5B4E9F3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4DC3DF5"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Cameroon / Local energy transition (energy production, storage and energy efficiency, intelligent monitoring of flux)</w:t>
            </w:r>
          </w:p>
        </w:tc>
        <w:tc>
          <w:tcPr>
            <w:tcW w:w="1476" w:type="dxa"/>
            <w:hideMark/>
          </w:tcPr>
          <w:p w14:paraId="7041C16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w:t>
            </w:r>
          </w:p>
        </w:tc>
        <w:tc>
          <w:tcPr>
            <w:tcW w:w="847" w:type="dxa"/>
            <w:hideMark/>
          </w:tcPr>
          <w:p w14:paraId="25A5B81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193B67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ACD212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A7E523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B2457C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C4935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F89FA28" w14:textId="2F7F918E"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3C248AE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23E8373"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Cameroon / Ecological and portable toilets in the town of Yaoundé</w:t>
            </w:r>
          </w:p>
        </w:tc>
        <w:tc>
          <w:tcPr>
            <w:tcW w:w="1476" w:type="dxa"/>
            <w:hideMark/>
          </w:tcPr>
          <w:p w14:paraId="6345D2C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469,300.00</w:t>
            </w:r>
          </w:p>
        </w:tc>
        <w:tc>
          <w:tcPr>
            <w:tcW w:w="847" w:type="dxa"/>
            <w:hideMark/>
          </w:tcPr>
          <w:p w14:paraId="08B3193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9DC454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25A81E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536048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457D2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4839524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5A16EA3A" w14:textId="2EE145CE"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504FDE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0F0FBCE"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Cameroon / Study for the projet of hydroelectric dam in Kekem</w:t>
            </w:r>
          </w:p>
        </w:tc>
        <w:tc>
          <w:tcPr>
            <w:tcW w:w="1476" w:type="dxa"/>
            <w:hideMark/>
          </w:tcPr>
          <w:p w14:paraId="17F909C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695,118.00</w:t>
            </w:r>
          </w:p>
        </w:tc>
        <w:tc>
          <w:tcPr>
            <w:tcW w:w="847" w:type="dxa"/>
            <w:hideMark/>
          </w:tcPr>
          <w:p w14:paraId="47F88EA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58660F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F42763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3BED6D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B44669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3A20BE6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535E99D" w14:textId="119BBE5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FBAED4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0D9876"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Cameroon / Implementation of tools against atmospheric pollution in Yaoundé</w:t>
            </w:r>
          </w:p>
        </w:tc>
        <w:tc>
          <w:tcPr>
            <w:tcW w:w="1476" w:type="dxa"/>
            <w:hideMark/>
          </w:tcPr>
          <w:p w14:paraId="5B9EB99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568,450.00</w:t>
            </w:r>
          </w:p>
        </w:tc>
        <w:tc>
          <w:tcPr>
            <w:tcW w:w="847" w:type="dxa"/>
            <w:hideMark/>
          </w:tcPr>
          <w:p w14:paraId="73429DB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DA9305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EB1A40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FEE492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379483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ED53BA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(pollution)</w:t>
            </w:r>
          </w:p>
        </w:tc>
        <w:tc>
          <w:tcPr>
            <w:tcW w:w="2031" w:type="dxa"/>
            <w:hideMark/>
          </w:tcPr>
          <w:p w14:paraId="655E5A4B" w14:textId="657EDC1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38F82A9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12D8432"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Cameroon / Land management plateform and monitoring of agricultural productions</w:t>
            </w:r>
          </w:p>
        </w:tc>
        <w:tc>
          <w:tcPr>
            <w:tcW w:w="1476" w:type="dxa"/>
            <w:hideMark/>
          </w:tcPr>
          <w:p w14:paraId="7A35766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613,615.00</w:t>
            </w:r>
          </w:p>
        </w:tc>
        <w:tc>
          <w:tcPr>
            <w:tcW w:w="847" w:type="dxa"/>
            <w:hideMark/>
          </w:tcPr>
          <w:p w14:paraId="700C8AE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C39F4B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66E1C3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93D875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87D8C7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2381863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B07E565" w14:textId="58152A6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159380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877120"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Cameroon / Inclusive finance in Africa facing ecological and social transition challenges: stakes and capacity building of African actors with a innovative and adapted training offer</w:t>
            </w:r>
          </w:p>
        </w:tc>
        <w:tc>
          <w:tcPr>
            <w:tcW w:w="1476" w:type="dxa"/>
            <w:hideMark/>
          </w:tcPr>
          <w:p w14:paraId="1E0B92E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650,000.00</w:t>
            </w:r>
          </w:p>
        </w:tc>
        <w:tc>
          <w:tcPr>
            <w:tcW w:w="847" w:type="dxa"/>
            <w:hideMark/>
          </w:tcPr>
          <w:p w14:paraId="3D10275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FC2635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F69CA8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88CB48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8F5899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3EAB24D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46B1298A" w14:textId="635B208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25C244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6B0DCA2"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Cameroon / Support to the development of pro-biodiversity agricultural sectors</w:t>
            </w:r>
          </w:p>
        </w:tc>
        <w:tc>
          <w:tcPr>
            <w:tcW w:w="1476" w:type="dxa"/>
            <w:hideMark/>
          </w:tcPr>
          <w:p w14:paraId="5A0D130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2,500,000.00</w:t>
            </w:r>
          </w:p>
        </w:tc>
        <w:tc>
          <w:tcPr>
            <w:tcW w:w="847" w:type="dxa"/>
            <w:hideMark/>
          </w:tcPr>
          <w:p w14:paraId="42A108F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6E2598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492644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F1E649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C04E7E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341E2A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1A1418A" w14:textId="7F89792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AFD/STOA</w:t>
            </w:r>
          </w:p>
        </w:tc>
      </w:tr>
      <w:tr w:rsidR="00927E59" w:rsidRPr="001808DF" w14:paraId="615D0E4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E9574B"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Cameroon / Hydropower dam (Nachtigal)</w:t>
            </w:r>
          </w:p>
        </w:tc>
        <w:tc>
          <w:tcPr>
            <w:tcW w:w="1476" w:type="dxa"/>
            <w:hideMark/>
          </w:tcPr>
          <w:p w14:paraId="49C6B05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33,000,000.00</w:t>
            </w:r>
          </w:p>
        </w:tc>
        <w:tc>
          <w:tcPr>
            <w:tcW w:w="847" w:type="dxa"/>
            <w:hideMark/>
          </w:tcPr>
          <w:p w14:paraId="6668C1A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BD992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4E7ADC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0703616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16" w:type="dxa"/>
            <w:hideMark/>
          </w:tcPr>
          <w:p w14:paraId="27BD3EC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21F451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4AB7966" w14:textId="31F8B51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2CBF5F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9FA8E6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Central African Republic / Rehabilitation of the bypass road of Bangui airport</w:t>
            </w:r>
          </w:p>
        </w:tc>
        <w:tc>
          <w:tcPr>
            <w:tcW w:w="1476" w:type="dxa"/>
            <w:hideMark/>
          </w:tcPr>
          <w:p w14:paraId="2C366EA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w:t>
            </w:r>
          </w:p>
        </w:tc>
        <w:tc>
          <w:tcPr>
            <w:tcW w:w="847" w:type="dxa"/>
            <w:hideMark/>
          </w:tcPr>
          <w:p w14:paraId="3F40811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8A6446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D9BCBF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CED59D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89C580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0EA1D5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0073BAA5" w14:textId="6CEDE57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90DF3F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A84DD8"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Chad / Drinkable water supply of NDjaména via the rehabilitation and network extension and strenghtening of the Chadian Society of Waters</w:t>
            </w:r>
          </w:p>
        </w:tc>
        <w:tc>
          <w:tcPr>
            <w:tcW w:w="1476" w:type="dxa"/>
            <w:hideMark/>
          </w:tcPr>
          <w:p w14:paraId="74BF043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7,500,000.00</w:t>
            </w:r>
          </w:p>
        </w:tc>
        <w:tc>
          <w:tcPr>
            <w:tcW w:w="847" w:type="dxa"/>
            <w:hideMark/>
          </w:tcPr>
          <w:p w14:paraId="5F11033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AB594B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317501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067E51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CCB497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DCE2BF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397A0491" w14:textId="120705C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34B143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755E50F"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Binder Léré Park as a sustainable land management tool, development of populations and biodiversity conservation</w:t>
            </w:r>
          </w:p>
        </w:tc>
        <w:tc>
          <w:tcPr>
            <w:tcW w:w="1476" w:type="dxa"/>
            <w:hideMark/>
          </w:tcPr>
          <w:p w14:paraId="45415A7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2,400,000.00</w:t>
            </w:r>
          </w:p>
        </w:tc>
        <w:tc>
          <w:tcPr>
            <w:tcW w:w="847" w:type="dxa"/>
            <w:hideMark/>
          </w:tcPr>
          <w:p w14:paraId="7738AE9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48FDB5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DDF2AE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57E52A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A36F1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8CFDB0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912DA3D" w14:textId="3924161D"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59FFD8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252D1A6"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Chad / Binder Léré Park as a sustainable land management tool, development of populations and biodiversity conservation</w:t>
            </w:r>
          </w:p>
        </w:tc>
        <w:tc>
          <w:tcPr>
            <w:tcW w:w="1476" w:type="dxa"/>
            <w:hideMark/>
          </w:tcPr>
          <w:p w14:paraId="1E41C77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5,600,000.00</w:t>
            </w:r>
          </w:p>
        </w:tc>
        <w:tc>
          <w:tcPr>
            <w:tcW w:w="847" w:type="dxa"/>
            <w:hideMark/>
          </w:tcPr>
          <w:p w14:paraId="5C8CF05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5EE60C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5046EB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6183EF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B3382E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232ED6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76CB704C" w14:textId="677C7A0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3D6808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CF41BA"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Chad / Chad Lake Initiative for land development of Kanem and Bahr El Ghazal</w:t>
            </w:r>
          </w:p>
        </w:tc>
        <w:tc>
          <w:tcPr>
            <w:tcW w:w="1476" w:type="dxa"/>
            <w:hideMark/>
          </w:tcPr>
          <w:p w14:paraId="4B1929E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2,380,000.00</w:t>
            </w:r>
          </w:p>
        </w:tc>
        <w:tc>
          <w:tcPr>
            <w:tcW w:w="847" w:type="dxa"/>
            <w:hideMark/>
          </w:tcPr>
          <w:p w14:paraId="1F6958A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77A374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6A6DB3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A34603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65CD1C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1E8ECC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2FCF6EB2" w14:textId="19D22BD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F83B9E" w14:paraId="33AA0D6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70E6B8E"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Côte D'ivoire / Affordable and sustainable housing</w:t>
            </w:r>
          </w:p>
        </w:tc>
        <w:tc>
          <w:tcPr>
            <w:tcW w:w="1476" w:type="dxa"/>
            <w:hideMark/>
          </w:tcPr>
          <w:p w14:paraId="1F40E14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694,000.00</w:t>
            </w:r>
          </w:p>
        </w:tc>
        <w:tc>
          <w:tcPr>
            <w:tcW w:w="847" w:type="dxa"/>
            <w:hideMark/>
          </w:tcPr>
          <w:p w14:paraId="170E5D1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D1548F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49C11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253893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9C2ACD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1C6D62A4" w14:textId="77777777" w:rsidR="00927E59" w:rsidRPr="00F83B9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F83B9E">
              <w:rPr>
                <w:rFonts w:ascii="Times New Roman" w:hAnsi="Times New Roman"/>
                <w:sz w:val="18"/>
                <w:szCs w:val="18"/>
                <w:lang w:val="en-GB"/>
              </w:rPr>
              <w:t>Other (urban Development And Management)</w:t>
            </w:r>
          </w:p>
        </w:tc>
        <w:tc>
          <w:tcPr>
            <w:tcW w:w="2031" w:type="dxa"/>
            <w:hideMark/>
          </w:tcPr>
          <w:p w14:paraId="2B6DF057" w14:textId="0C9CDB6A" w:rsidR="00927E59" w:rsidRPr="00F83B9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GB"/>
              </w:rPr>
            </w:pPr>
            <w:r w:rsidRPr="00341B65">
              <w:t>FASEP</w:t>
            </w:r>
          </w:p>
        </w:tc>
      </w:tr>
      <w:tr w:rsidR="00927E59" w:rsidRPr="001808DF" w14:paraId="26EC287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DCFF890"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Côte D'ivoire / Reliable, affordable and sustainable electricity in Bingerville</w:t>
            </w:r>
          </w:p>
        </w:tc>
        <w:tc>
          <w:tcPr>
            <w:tcW w:w="1476" w:type="dxa"/>
            <w:hideMark/>
          </w:tcPr>
          <w:p w14:paraId="4E7F7A3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528,000.00</w:t>
            </w:r>
          </w:p>
        </w:tc>
        <w:tc>
          <w:tcPr>
            <w:tcW w:w="847" w:type="dxa"/>
            <w:hideMark/>
          </w:tcPr>
          <w:p w14:paraId="0B814C6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A5CE7E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938821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7E4C1F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DF11CD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5ECE36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5BDC2108" w14:textId="4CFCA40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7B5823B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CD94109"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Côte D'ivoire / Study for the first part of sanitation project in Yopougon</w:t>
            </w:r>
          </w:p>
        </w:tc>
        <w:tc>
          <w:tcPr>
            <w:tcW w:w="1476" w:type="dxa"/>
            <w:hideMark/>
          </w:tcPr>
          <w:p w14:paraId="45A0CE0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847,452.00</w:t>
            </w:r>
          </w:p>
        </w:tc>
        <w:tc>
          <w:tcPr>
            <w:tcW w:w="847" w:type="dxa"/>
            <w:hideMark/>
          </w:tcPr>
          <w:p w14:paraId="450C177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BED09E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FA2667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441EB3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FE9DD8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19E516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04A2F9DC" w14:textId="6DBB1C5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79B62B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5E3508"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Côte D'ivoire / Smart transport system for Abidjan</w:t>
            </w:r>
          </w:p>
        </w:tc>
        <w:tc>
          <w:tcPr>
            <w:tcW w:w="1476" w:type="dxa"/>
            <w:hideMark/>
          </w:tcPr>
          <w:p w14:paraId="5C257E4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232,819.20</w:t>
            </w:r>
          </w:p>
        </w:tc>
        <w:tc>
          <w:tcPr>
            <w:tcW w:w="847" w:type="dxa"/>
            <w:hideMark/>
          </w:tcPr>
          <w:p w14:paraId="256B165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84483D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783659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6DE17F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149659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7CA76E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5D3FF566" w14:textId="2D14570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Treasury loan</w:t>
            </w:r>
          </w:p>
        </w:tc>
      </w:tr>
      <w:tr w:rsidR="00927E59" w:rsidRPr="001808DF" w14:paraId="424DB67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CAE2CCD"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Côte D'ivoire / Abidjan metro project management assistance</w:t>
            </w:r>
          </w:p>
        </w:tc>
        <w:tc>
          <w:tcPr>
            <w:tcW w:w="1476" w:type="dxa"/>
            <w:hideMark/>
          </w:tcPr>
          <w:p w14:paraId="20F993B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2,600,000.00</w:t>
            </w:r>
          </w:p>
        </w:tc>
        <w:tc>
          <w:tcPr>
            <w:tcW w:w="847" w:type="dxa"/>
            <w:hideMark/>
          </w:tcPr>
          <w:p w14:paraId="21A45B6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95421D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BA211C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4390409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(Loan)</w:t>
            </w:r>
          </w:p>
        </w:tc>
        <w:tc>
          <w:tcPr>
            <w:tcW w:w="1016" w:type="dxa"/>
            <w:hideMark/>
          </w:tcPr>
          <w:p w14:paraId="100A466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53BD90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14029653" w14:textId="6384EEB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F4110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A5D8B35"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Côte D'ivoire / Third phase of the financing "Development of education, formation, youth integration" (DEFI 3)</w:t>
            </w:r>
          </w:p>
        </w:tc>
        <w:tc>
          <w:tcPr>
            <w:tcW w:w="1476" w:type="dxa"/>
            <w:hideMark/>
          </w:tcPr>
          <w:p w14:paraId="31B24EE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39,390,000.00</w:t>
            </w:r>
          </w:p>
        </w:tc>
        <w:tc>
          <w:tcPr>
            <w:tcW w:w="847" w:type="dxa"/>
            <w:hideMark/>
          </w:tcPr>
          <w:p w14:paraId="2089441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D06EAB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D677B0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5E84BE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BB4E73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617CE7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1A58E475" w14:textId="3E44365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648C92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E25E0D2"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Côte D'ivoire / Project Resilience of cotton systems in the North of Ivory Coast</w:t>
            </w:r>
          </w:p>
        </w:tc>
        <w:tc>
          <w:tcPr>
            <w:tcW w:w="1476" w:type="dxa"/>
            <w:hideMark/>
          </w:tcPr>
          <w:p w14:paraId="6E2EB71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40,000,000.00</w:t>
            </w:r>
          </w:p>
        </w:tc>
        <w:tc>
          <w:tcPr>
            <w:tcW w:w="847" w:type="dxa"/>
            <w:hideMark/>
          </w:tcPr>
          <w:p w14:paraId="1132252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BC7129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F202BA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03688F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73259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19BC7A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0479C6E" w14:textId="55A6787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FFEM</w:t>
            </w:r>
          </w:p>
        </w:tc>
      </w:tr>
      <w:tr w:rsidR="00927E59" w:rsidRPr="001808DF" w14:paraId="7B1339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59C8E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Côte D'ivoire / Soil restauration and degraded forest landscapes in Ivory Coast</w:t>
            </w:r>
          </w:p>
        </w:tc>
        <w:tc>
          <w:tcPr>
            <w:tcW w:w="1476" w:type="dxa"/>
            <w:hideMark/>
          </w:tcPr>
          <w:p w14:paraId="2C7DA8E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600,000.00</w:t>
            </w:r>
          </w:p>
        </w:tc>
        <w:tc>
          <w:tcPr>
            <w:tcW w:w="847" w:type="dxa"/>
            <w:hideMark/>
          </w:tcPr>
          <w:p w14:paraId="6BC47A7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B9BAA1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DD9BD8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548B74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1AC642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D8B16F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BFBEF2C" w14:textId="1694051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994C0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9AB77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Comoros / Improvement of scolar environment in the Comores (PDFC)</w:t>
            </w:r>
          </w:p>
        </w:tc>
        <w:tc>
          <w:tcPr>
            <w:tcW w:w="1476" w:type="dxa"/>
            <w:hideMark/>
          </w:tcPr>
          <w:p w14:paraId="697D25D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4,378,000.00</w:t>
            </w:r>
          </w:p>
        </w:tc>
        <w:tc>
          <w:tcPr>
            <w:tcW w:w="847" w:type="dxa"/>
            <w:hideMark/>
          </w:tcPr>
          <w:p w14:paraId="0122CD7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F30B52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AA1929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381D43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6B7B92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14789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006E1127" w14:textId="0359C8DE"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B3F87B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AA3608"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Comoros / Improvement of scolar environment in the Comores (PDFC)</w:t>
            </w:r>
          </w:p>
        </w:tc>
        <w:tc>
          <w:tcPr>
            <w:tcW w:w="1476" w:type="dxa"/>
            <w:hideMark/>
          </w:tcPr>
          <w:p w14:paraId="6EE7D17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5,970,000.00</w:t>
            </w:r>
          </w:p>
        </w:tc>
        <w:tc>
          <w:tcPr>
            <w:tcW w:w="847" w:type="dxa"/>
            <w:hideMark/>
          </w:tcPr>
          <w:p w14:paraId="4E5AE04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F5BB46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C23AEE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FF8A5B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0FA04E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29A8D8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1E3325D8" w14:textId="71D1653D"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D84D65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47474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Comoros / Improvement of scolar environment in the Comores (PDFC)</w:t>
            </w:r>
          </w:p>
        </w:tc>
        <w:tc>
          <w:tcPr>
            <w:tcW w:w="1476" w:type="dxa"/>
            <w:hideMark/>
          </w:tcPr>
          <w:p w14:paraId="2C877FE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22,000.00</w:t>
            </w:r>
          </w:p>
        </w:tc>
        <w:tc>
          <w:tcPr>
            <w:tcW w:w="847" w:type="dxa"/>
            <w:hideMark/>
          </w:tcPr>
          <w:p w14:paraId="6541E74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C536BE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75EA10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4557BC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E79D45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2D3C1A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30BA1358" w14:textId="0B82A20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F9BFA4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C20548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Comoros / Improvement of scolar environment in the Comores (PDFC)</w:t>
            </w:r>
          </w:p>
        </w:tc>
        <w:tc>
          <w:tcPr>
            <w:tcW w:w="1476" w:type="dxa"/>
            <w:hideMark/>
          </w:tcPr>
          <w:p w14:paraId="1F576F1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w:t>
            </w:r>
          </w:p>
        </w:tc>
        <w:tc>
          <w:tcPr>
            <w:tcW w:w="847" w:type="dxa"/>
            <w:hideMark/>
          </w:tcPr>
          <w:p w14:paraId="784CEFE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A9DA15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C42F6F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0087D2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0B70A5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914105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01C3623A" w14:textId="45B9B91E"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6E32CA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DDD39E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Comoros / Strenghtening the resilience of COI countries by the development of improved meteorologic, hydrologic and climate services (Hydromet)</w:t>
            </w:r>
          </w:p>
        </w:tc>
        <w:tc>
          <w:tcPr>
            <w:tcW w:w="1476" w:type="dxa"/>
            <w:hideMark/>
          </w:tcPr>
          <w:p w14:paraId="0B03480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w:t>
            </w:r>
          </w:p>
        </w:tc>
        <w:tc>
          <w:tcPr>
            <w:tcW w:w="847" w:type="dxa"/>
            <w:hideMark/>
          </w:tcPr>
          <w:p w14:paraId="17EF311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E3A7B6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49CB53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AE0216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36DFE8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DCB3F9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69525712" w14:textId="6882AB1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4FB5B5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33BCD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Congo / Programme of sustainable land use in the Republic of Congo</w:t>
            </w:r>
          </w:p>
        </w:tc>
        <w:tc>
          <w:tcPr>
            <w:tcW w:w="1476" w:type="dxa"/>
            <w:hideMark/>
          </w:tcPr>
          <w:p w14:paraId="6FE1096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6,300,000.00</w:t>
            </w:r>
          </w:p>
        </w:tc>
        <w:tc>
          <w:tcPr>
            <w:tcW w:w="847" w:type="dxa"/>
            <w:hideMark/>
          </w:tcPr>
          <w:p w14:paraId="2731B6B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93A5FD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F7CB10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D9F0F5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A1B406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281E50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C3B9621" w14:textId="01B5E05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973F6B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ECBD7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Congo / Programme of sustainable land use in the Republic of Congo</w:t>
            </w:r>
          </w:p>
        </w:tc>
        <w:tc>
          <w:tcPr>
            <w:tcW w:w="1476" w:type="dxa"/>
            <w:hideMark/>
          </w:tcPr>
          <w:p w14:paraId="0A2EB29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700,000.00</w:t>
            </w:r>
          </w:p>
        </w:tc>
        <w:tc>
          <w:tcPr>
            <w:tcW w:w="847" w:type="dxa"/>
            <w:hideMark/>
          </w:tcPr>
          <w:p w14:paraId="3C87061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3010D5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A68FDB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8DB650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3BE77F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D0CCC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F090E3D" w14:textId="11ECDBCE"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FFEM</w:t>
            </w:r>
          </w:p>
        </w:tc>
      </w:tr>
      <w:tr w:rsidR="00927E59" w:rsidRPr="001808DF" w14:paraId="67E34D9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0CC283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Congo / Pilote project about the elaboration of information system on water for adaptation to climate changes in the Congo Basin</w:t>
            </w:r>
          </w:p>
        </w:tc>
        <w:tc>
          <w:tcPr>
            <w:tcW w:w="1476" w:type="dxa"/>
            <w:hideMark/>
          </w:tcPr>
          <w:p w14:paraId="7330859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w:t>
            </w:r>
          </w:p>
        </w:tc>
        <w:tc>
          <w:tcPr>
            <w:tcW w:w="847" w:type="dxa"/>
            <w:hideMark/>
          </w:tcPr>
          <w:p w14:paraId="2783205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C7BB17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055287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DFDE9B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0FD04A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5A934D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175D0DB3" w14:textId="46F22F3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21DE235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624713A"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(république Démocratique Du Congo) / Solar network development and refinancing</w:t>
            </w:r>
          </w:p>
        </w:tc>
        <w:tc>
          <w:tcPr>
            <w:tcW w:w="1476" w:type="dxa"/>
            <w:hideMark/>
          </w:tcPr>
          <w:p w14:paraId="0F18699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w:t>
            </w:r>
          </w:p>
        </w:tc>
        <w:tc>
          <w:tcPr>
            <w:tcW w:w="847" w:type="dxa"/>
            <w:hideMark/>
          </w:tcPr>
          <w:p w14:paraId="3698273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626376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3279DD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21DF28E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09302F8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89C658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42F09057" w14:textId="35B4ECB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37918A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FE69E4"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(république Démocratique Du Congo) / Adduction project of drinkable water Mpungwe-Bukavu</w:t>
            </w:r>
          </w:p>
        </w:tc>
        <w:tc>
          <w:tcPr>
            <w:tcW w:w="1476" w:type="dxa"/>
            <w:hideMark/>
          </w:tcPr>
          <w:p w14:paraId="78312CE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13,500,000.00</w:t>
            </w:r>
          </w:p>
        </w:tc>
        <w:tc>
          <w:tcPr>
            <w:tcW w:w="847" w:type="dxa"/>
            <w:hideMark/>
          </w:tcPr>
          <w:p w14:paraId="1193F13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39A4C8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175FC8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665B71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72CA97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76F337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0015E830" w14:textId="1CCD7D9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6B6C5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B4C19A"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Other (république Démocratique Du Congo) / Programme of strenghtening of the health system in two health zones in the province of North Kivu</w:t>
            </w:r>
          </w:p>
        </w:tc>
        <w:tc>
          <w:tcPr>
            <w:tcW w:w="1476" w:type="dxa"/>
            <w:hideMark/>
          </w:tcPr>
          <w:p w14:paraId="2C73F1C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1,350,000.00</w:t>
            </w:r>
          </w:p>
        </w:tc>
        <w:tc>
          <w:tcPr>
            <w:tcW w:w="847" w:type="dxa"/>
            <w:hideMark/>
          </w:tcPr>
          <w:p w14:paraId="770E7DE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200423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EF8D5E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B31DE6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32EC33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4047AC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3AE74E61" w14:textId="55C33BE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C26B34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C43078"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(république Démocratique Du Congo) / Programme Convention - Reinforcement programme of civil society initiatives for change</w:t>
            </w:r>
          </w:p>
        </w:tc>
        <w:tc>
          <w:tcPr>
            <w:tcW w:w="1476" w:type="dxa"/>
            <w:hideMark/>
          </w:tcPr>
          <w:p w14:paraId="4D844B6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w:t>
            </w:r>
          </w:p>
        </w:tc>
        <w:tc>
          <w:tcPr>
            <w:tcW w:w="847" w:type="dxa"/>
            <w:hideMark/>
          </w:tcPr>
          <w:p w14:paraId="674E7AA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8C41B4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6575EF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0E3F4D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434A94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34F0C7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7A9D35D2" w14:textId="17D8D81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324CAD6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B8532D"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Other (république Démocratique Du Congo) / Programme Convention - Reinforcement programme of civil society initiatives for change</w:t>
            </w:r>
          </w:p>
        </w:tc>
        <w:tc>
          <w:tcPr>
            <w:tcW w:w="1476" w:type="dxa"/>
            <w:hideMark/>
          </w:tcPr>
          <w:p w14:paraId="015BE1F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w:t>
            </w:r>
          </w:p>
        </w:tc>
        <w:tc>
          <w:tcPr>
            <w:tcW w:w="847" w:type="dxa"/>
            <w:hideMark/>
          </w:tcPr>
          <w:p w14:paraId="3CF82A2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776E6B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77D4AF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CB22C8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A6299A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3AE2D8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0C159047" w14:textId="6A48834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344E7A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A58922"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Djibouti / Project of extension and strenghtening of the sanitation network of Djibouti - phase II (global projet 12 EURM)</w:t>
            </w:r>
          </w:p>
        </w:tc>
        <w:tc>
          <w:tcPr>
            <w:tcW w:w="1476" w:type="dxa"/>
            <w:hideMark/>
          </w:tcPr>
          <w:p w14:paraId="638ABE1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5,440,000.00</w:t>
            </w:r>
          </w:p>
        </w:tc>
        <w:tc>
          <w:tcPr>
            <w:tcW w:w="847" w:type="dxa"/>
            <w:hideMark/>
          </w:tcPr>
          <w:p w14:paraId="5CAB189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ADA9D4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FD0EA3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CB5FAA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C5D94C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D20CA3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3DFB785A" w14:textId="049F729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3CF2FB0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775B5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Egypt / Implementation of decentralised water treatment systems</w:t>
            </w:r>
          </w:p>
        </w:tc>
        <w:tc>
          <w:tcPr>
            <w:tcW w:w="1476" w:type="dxa"/>
            <w:hideMark/>
          </w:tcPr>
          <w:p w14:paraId="3EF7EDA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790,450.00</w:t>
            </w:r>
          </w:p>
        </w:tc>
        <w:tc>
          <w:tcPr>
            <w:tcW w:w="847" w:type="dxa"/>
            <w:hideMark/>
          </w:tcPr>
          <w:p w14:paraId="4864D95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FF399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F4FFAD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A57442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0DE668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4F104B7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3F2D03AE" w14:textId="3A3535D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BCE926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09647EA"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Egypt / Building of the French University of Egypt</w:t>
            </w:r>
          </w:p>
        </w:tc>
        <w:tc>
          <w:tcPr>
            <w:tcW w:w="1476" w:type="dxa"/>
            <w:hideMark/>
          </w:tcPr>
          <w:p w14:paraId="3051B13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840,000.00</w:t>
            </w:r>
          </w:p>
        </w:tc>
        <w:tc>
          <w:tcPr>
            <w:tcW w:w="847" w:type="dxa"/>
            <w:hideMark/>
          </w:tcPr>
          <w:p w14:paraId="4907DF8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E16E40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F36E44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7DFEAF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44676B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E4490D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07762DFA" w14:textId="1350C0E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29C84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D47229"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Egypt / Building of the French University of Egypt</w:t>
            </w:r>
          </w:p>
        </w:tc>
        <w:tc>
          <w:tcPr>
            <w:tcW w:w="1476" w:type="dxa"/>
            <w:hideMark/>
          </w:tcPr>
          <w:p w14:paraId="572C4D7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140,000.00</w:t>
            </w:r>
          </w:p>
        </w:tc>
        <w:tc>
          <w:tcPr>
            <w:tcW w:w="847" w:type="dxa"/>
            <w:hideMark/>
          </w:tcPr>
          <w:p w14:paraId="59A4750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52B044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E501D7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28739D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8C3D91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C6CCA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49CE8D1" w14:textId="11E5005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D0E1C0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8A5B80"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Egypt / Loan of public policy in the social protection sector (phase 2)</w:t>
            </w:r>
          </w:p>
        </w:tc>
        <w:tc>
          <w:tcPr>
            <w:tcW w:w="1476" w:type="dxa"/>
            <w:hideMark/>
          </w:tcPr>
          <w:p w14:paraId="1BE5059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9,000,000.00</w:t>
            </w:r>
          </w:p>
        </w:tc>
        <w:tc>
          <w:tcPr>
            <w:tcW w:w="847" w:type="dxa"/>
            <w:hideMark/>
          </w:tcPr>
          <w:p w14:paraId="3C13F4E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4A8131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EF1683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E38FB4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B0C83B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A261B2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(urban Development)</w:t>
            </w:r>
          </w:p>
        </w:tc>
        <w:tc>
          <w:tcPr>
            <w:tcW w:w="2031" w:type="dxa"/>
            <w:hideMark/>
          </w:tcPr>
          <w:p w14:paraId="72EBD9C4" w14:textId="13AF72A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EFDD36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15715A3"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Ethiopia / INTERAIDE Ethiopia - South Ethiopian Rural development</w:t>
            </w:r>
          </w:p>
        </w:tc>
        <w:tc>
          <w:tcPr>
            <w:tcW w:w="1476" w:type="dxa"/>
            <w:hideMark/>
          </w:tcPr>
          <w:p w14:paraId="04E5CBC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2,550,000.00</w:t>
            </w:r>
          </w:p>
        </w:tc>
        <w:tc>
          <w:tcPr>
            <w:tcW w:w="847" w:type="dxa"/>
            <w:hideMark/>
          </w:tcPr>
          <w:p w14:paraId="7EC8838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D6A309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DD6A59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E9C37A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A0FBD4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8DE700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787C2E01" w14:textId="1A113F5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D9BC70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A4C832"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Ethiopia / INTERAIDE Ethiopia - South Ethiopian Rural development</w:t>
            </w:r>
          </w:p>
        </w:tc>
        <w:tc>
          <w:tcPr>
            <w:tcW w:w="1476" w:type="dxa"/>
            <w:hideMark/>
          </w:tcPr>
          <w:p w14:paraId="1EA130E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2,000,000.00</w:t>
            </w:r>
          </w:p>
        </w:tc>
        <w:tc>
          <w:tcPr>
            <w:tcW w:w="847" w:type="dxa"/>
            <w:hideMark/>
          </w:tcPr>
          <w:p w14:paraId="28DF039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E99654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DCE980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9AB127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2F05BD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9FFFD3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CA19347" w14:textId="7E25620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4EC39BD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2F7F9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Ethiopia / INTERAIDE Ethiopia - South Ethiopian Rural development</w:t>
            </w:r>
          </w:p>
        </w:tc>
        <w:tc>
          <w:tcPr>
            <w:tcW w:w="1476" w:type="dxa"/>
            <w:hideMark/>
          </w:tcPr>
          <w:p w14:paraId="753F474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w:t>
            </w:r>
          </w:p>
        </w:tc>
        <w:tc>
          <w:tcPr>
            <w:tcW w:w="847" w:type="dxa"/>
            <w:hideMark/>
          </w:tcPr>
          <w:p w14:paraId="179D82D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0B0960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1780E9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5D4895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5A61B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067095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6BDE6B34" w14:textId="34F3D7A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75893F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3F050A"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Gambia / Resilience of Organisations for Transformative Smallholder Agriculture</w:t>
            </w:r>
          </w:p>
        </w:tc>
        <w:tc>
          <w:tcPr>
            <w:tcW w:w="1476" w:type="dxa"/>
            <w:hideMark/>
          </w:tcPr>
          <w:p w14:paraId="29B11A5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2,730,000.00</w:t>
            </w:r>
          </w:p>
        </w:tc>
        <w:tc>
          <w:tcPr>
            <w:tcW w:w="847" w:type="dxa"/>
            <w:hideMark/>
          </w:tcPr>
          <w:p w14:paraId="0A4D317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E6E4C6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8753C5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499CA2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AECF22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F121CD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4E9C5DE" w14:textId="710D8BA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44713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322F8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Ghana / Credit Line to Ghana Infrastructure Investment Fund (GIIF)</w:t>
            </w:r>
          </w:p>
        </w:tc>
        <w:tc>
          <w:tcPr>
            <w:tcW w:w="1476" w:type="dxa"/>
            <w:hideMark/>
          </w:tcPr>
          <w:p w14:paraId="6C56D12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7,528,119.80</w:t>
            </w:r>
          </w:p>
        </w:tc>
        <w:tc>
          <w:tcPr>
            <w:tcW w:w="847" w:type="dxa"/>
            <w:hideMark/>
          </w:tcPr>
          <w:p w14:paraId="59A256A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3E21E6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4B52CE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589AC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DB18F1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FCB019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1A095D25" w14:textId="1C0E3E1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53ADB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5B100E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Ghana / Credit Line to Ghana Infrastructure Investment Fund (GIIF)</w:t>
            </w:r>
          </w:p>
        </w:tc>
        <w:tc>
          <w:tcPr>
            <w:tcW w:w="1476" w:type="dxa"/>
            <w:hideMark/>
          </w:tcPr>
          <w:p w14:paraId="527C7B5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30,112,479.20</w:t>
            </w:r>
          </w:p>
        </w:tc>
        <w:tc>
          <w:tcPr>
            <w:tcW w:w="847" w:type="dxa"/>
            <w:hideMark/>
          </w:tcPr>
          <w:p w14:paraId="0C9518F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EEAA8F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B602C2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38983C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D91D7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EF6619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0D0B4AA2" w14:textId="2DF977C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2724BF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0C5539"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Ghana / Project of agricultural management of water in the North West of Ghana</w:t>
            </w:r>
          </w:p>
        </w:tc>
        <w:tc>
          <w:tcPr>
            <w:tcW w:w="1476" w:type="dxa"/>
            <w:hideMark/>
          </w:tcPr>
          <w:p w14:paraId="7A2E3FB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3,500,000.00</w:t>
            </w:r>
          </w:p>
        </w:tc>
        <w:tc>
          <w:tcPr>
            <w:tcW w:w="847" w:type="dxa"/>
            <w:hideMark/>
          </w:tcPr>
          <w:p w14:paraId="5B4EA79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381405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08D878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094CB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74A84A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0CFDAA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104064C" w14:textId="36227E3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BD51FD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5D9A2C4"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Guinea / Financing complement for the project of rehabilitation and extension of the transport and electricity distribution network</w:t>
            </w:r>
          </w:p>
        </w:tc>
        <w:tc>
          <w:tcPr>
            <w:tcW w:w="1476" w:type="dxa"/>
            <w:hideMark/>
          </w:tcPr>
          <w:p w14:paraId="4946229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18,000,000.00</w:t>
            </w:r>
          </w:p>
        </w:tc>
        <w:tc>
          <w:tcPr>
            <w:tcW w:w="847" w:type="dxa"/>
            <w:hideMark/>
          </w:tcPr>
          <w:p w14:paraId="22A9D3D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831E3C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CFB69D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41800D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7E550F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35FB5D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9CF2BEF" w14:textId="6946D27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81E8B0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33D89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Guinea-bissau / Sustainable development of mangrove agriculture in Guinea-Buissau</w:t>
            </w:r>
          </w:p>
        </w:tc>
        <w:tc>
          <w:tcPr>
            <w:tcW w:w="1476" w:type="dxa"/>
            <w:hideMark/>
          </w:tcPr>
          <w:p w14:paraId="3209165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187,500.00</w:t>
            </w:r>
          </w:p>
        </w:tc>
        <w:tc>
          <w:tcPr>
            <w:tcW w:w="847" w:type="dxa"/>
            <w:hideMark/>
          </w:tcPr>
          <w:p w14:paraId="21ABAAD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1C6487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ED6937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8E4D3D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DA09AA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558E80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ECB4B90" w14:textId="4059053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5BD608D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6C99DA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Guinea-bissau / Sustainable development of mangrove agriculture in Guinea-Buissau</w:t>
            </w:r>
          </w:p>
        </w:tc>
        <w:tc>
          <w:tcPr>
            <w:tcW w:w="1476" w:type="dxa"/>
            <w:hideMark/>
          </w:tcPr>
          <w:p w14:paraId="3FB3175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187,500.00</w:t>
            </w:r>
          </w:p>
        </w:tc>
        <w:tc>
          <w:tcPr>
            <w:tcW w:w="847" w:type="dxa"/>
            <w:hideMark/>
          </w:tcPr>
          <w:p w14:paraId="549268F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FD1FD8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5F84BE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183F22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DED557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4F5E41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83C4955" w14:textId="0A65CE0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2A78B3C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D1DD41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Kenya / Agricultural yield improvements by satellite</w:t>
            </w:r>
          </w:p>
        </w:tc>
        <w:tc>
          <w:tcPr>
            <w:tcW w:w="1476" w:type="dxa"/>
            <w:hideMark/>
          </w:tcPr>
          <w:p w14:paraId="3C5EEBE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800,000.00</w:t>
            </w:r>
          </w:p>
        </w:tc>
        <w:tc>
          <w:tcPr>
            <w:tcW w:w="847" w:type="dxa"/>
            <w:hideMark/>
          </w:tcPr>
          <w:p w14:paraId="208C931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BF3F6E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954E1E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86C164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5A002E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469B3E1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CA9D5B7" w14:textId="0048DBB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A448F4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94F0F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Kenya / Director scheme for river regeneration in Nairobi</w:t>
            </w:r>
          </w:p>
        </w:tc>
        <w:tc>
          <w:tcPr>
            <w:tcW w:w="1476" w:type="dxa"/>
            <w:hideMark/>
          </w:tcPr>
          <w:p w14:paraId="33EE201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699,000.00</w:t>
            </w:r>
          </w:p>
        </w:tc>
        <w:tc>
          <w:tcPr>
            <w:tcW w:w="847" w:type="dxa"/>
            <w:hideMark/>
          </w:tcPr>
          <w:p w14:paraId="515291E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7B56DC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640E04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1E8E91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F432DB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1F3E746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3A04EEA9" w14:textId="4732E09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Treasury loan</w:t>
            </w:r>
          </w:p>
        </w:tc>
      </w:tr>
      <w:tr w:rsidR="00927E59" w:rsidRPr="001808DF" w14:paraId="7667F9B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3A68DE"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Kenya / Rehabilitation, extension, exploitation of line 4 of the urban rail network of Nairobi</w:t>
            </w:r>
          </w:p>
        </w:tc>
        <w:tc>
          <w:tcPr>
            <w:tcW w:w="1476" w:type="dxa"/>
            <w:hideMark/>
          </w:tcPr>
          <w:p w14:paraId="52D5FC1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51,200,000.00</w:t>
            </w:r>
          </w:p>
        </w:tc>
        <w:tc>
          <w:tcPr>
            <w:tcW w:w="847" w:type="dxa"/>
            <w:hideMark/>
          </w:tcPr>
          <w:p w14:paraId="7633F5D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26AEE8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B4D9E8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BC6EFE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9EDD1A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391972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636009E1" w14:textId="56632DB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Treasury loan</w:t>
            </w:r>
          </w:p>
        </w:tc>
      </w:tr>
      <w:tr w:rsidR="00927E59" w:rsidRPr="001808DF" w14:paraId="11641F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E3E0C9"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Kenya / Interconnexion project between geothermal crater of Menengai and Rongai station</w:t>
            </w:r>
          </w:p>
        </w:tc>
        <w:tc>
          <w:tcPr>
            <w:tcW w:w="1476" w:type="dxa"/>
            <w:hideMark/>
          </w:tcPr>
          <w:p w14:paraId="7A3349D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65,200,000.00</w:t>
            </w:r>
          </w:p>
        </w:tc>
        <w:tc>
          <w:tcPr>
            <w:tcW w:w="847" w:type="dxa"/>
            <w:hideMark/>
          </w:tcPr>
          <w:p w14:paraId="1CA5DB7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1E103A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054EF1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564F04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C6323C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3261059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4F1FC8B8" w14:textId="434A492D"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55B5214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9155CC1"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Kenya / SME financing</w:t>
            </w:r>
          </w:p>
        </w:tc>
        <w:tc>
          <w:tcPr>
            <w:tcW w:w="1476" w:type="dxa"/>
            <w:hideMark/>
          </w:tcPr>
          <w:p w14:paraId="539423A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18,516,804.00</w:t>
            </w:r>
          </w:p>
        </w:tc>
        <w:tc>
          <w:tcPr>
            <w:tcW w:w="847" w:type="dxa"/>
            <w:hideMark/>
          </w:tcPr>
          <w:p w14:paraId="7528280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093E85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544FEC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22EF532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52564C8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3C36BF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0B123CDA" w14:textId="008CCE7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218099B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0CB8A53"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Kenya / Refinancing of a senior loan - food industry sector</w:t>
            </w:r>
          </w:p>
        </w:tc>
        <w:tc>
          <w:tcPr>
            <w:tcW w:w="1476" w:type="dxa"/>
            <w:hideMark/>
          </w:tcPr>
          <w:p w14:paraId="3B86559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376,975.00</w:t>
            </w:r>
          </w:p>
        </w:tc>
        <w:tc>
          <w:tcPr>
            <w:tcW w:w="847" w:type="dxa"/>
            <w:hideMark/>
          </w:tcPr>
          <w:p w14:paraId="2B8E479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C5E300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4641AF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F6A1FB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550522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56B85D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8FB733C" w14:textId="424D0BF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B84224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D94ED6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Kenya / Fight against Covid-19 spread through the improvement of  access to sanitation and hygiene in informal districts of Nairobi</w:t>
            </w:r>
          </w:p>
        </w:tc>
        <w:tc>
          <w:tcPr>
            <w:tcW w:w="1476" w:type="dxa"/>
            <w:hideMark/>
          </w:tcPr>
          <w:p w14:paraId="3565251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990,000.00</w:t>
            </w:r>
          </w:p>
        </w:tc>
        <w:tc>
          <w:tcPr>
            <w:tcW w:w="847" w:type="dxa"/>
            <w:hideMark/>
          </w:tcPr>
          <w:p w14:paraId="044BFF6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291E06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15B461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59C6BF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CE6E8D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17FD24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3FB2DAE4" w14:textId="12A7502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1BB764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72432F9"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Madagascar / Vegetalized sanitation system</w:t>
            </w:r>
          </w:p>
        </w:tc>
        <w:tc>
          <w:tcPr>
            <w:tcW w:w="1476" w:type="dxa"/>
            <w:hideMark/>
          </w:tcPr>
          <w:p w14:paraId="32C435E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739,110.00</w:t>
            </w:r>
          </w:p>
        </w:tc>
        <w:tc>
          <w:tcPr>
            <w:tcW w:w="847" w:type="dxa"/>
            <w:hideMark/>
          </w:tcPr>
          <w:p w14:paraId="2C53ADC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13EE8F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57B0EC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CF224E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07FB35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E1044F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61324CDC" w14:textId="6EF6F3E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2C68B8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FB654C4"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Study for the reduction of physical and commercial losses associated to drinkable water distribution</w:t>
            </w:r>
          </w:p>
        </w:tc>
        <w:tc>
          <w:tcPr>
            <w:tcW w:w="1476" w:type="dxa"/>
            <w:hideMark/>
          </w:tcPr>
          <w:p w14:paraId="40DED98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245,974.40</w:t>
            </w:r>
          </w:p>
        </w:tc>
        <w:tc>
          <w:tcPr>
            <w:tcW w:w="847" w:type="dxa"/>
            <w:hideMark/>
          </w:tcPr>
          <w:p w14:paraId="404B6F9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90527D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5D5FBC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D28121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54B340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116EBE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1765833F" w14:textId="557DB08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60A34B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7B755F"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Project of support to professional training in Madagascar</w:t>
            </w:r>
          </w:p>
        </w:tc>
        <w:tc>
          <w:tcPr>
            <w:tcW w:w="1476" w:type="dxa"/>
            <w:hideMark/>
          </w:tcPr>
          <w:p w14:paraId="43529A0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495,000.00</w:t>
            </w:r>
          </w:p>
        </w:tc>
        <w:tc>
          <w:tcPr>
            <w:tcW w:w="847" w:type="dxa"/>
            <w:hideMark/>
          </w:tcPr>
          <w:p w14:paraId="52ECA4B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B77B89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AF1C7A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8855E7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F8593F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289F59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019FAF06" w14:textId="0249D27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A2AA7A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09683B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Project of support to professional training in Madagascar</w:t>
            </w:r>
          </w:p>
        </w:tc>
        <w:tc>
          <w:tcPr>
            <w:tcW w:w="1476" w:type="dxa"/>
            <w:hideMark/>
          </w:tcPr>
          <w:p w14:paraId="19488FC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495,000.00</w:t>
            </w:r>
          </w:p>
        </w:tc>
        <w:tc>
          <w:tcPr>
            <w:tcW w:w="847" w:type="dxa"/>
            <w:hideMark/>
          </w:tcPr>
          <w:p w14:paraId="0FC1706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B0223D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C24E13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DDFED9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2AA9D2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65B150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F430BDB" w14:textId="6AEA2BA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BB1197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16D8184"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Projet of support to professional training in Madagascar</w:t>
            </w:r>
          </w:p>
        </w:tc>
        <w:tc>
          <w:tcPr>
            <w:tcW w:w="1476" w:type="dxa"/>
            <w:hideMark/>
          </w:tcPr>
          <w:p w14:paraId="010E570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55,000.00</w:t>
            </w:r>
          </w:p>
        </w:tc>
        <w:tc>
          <w:tcPr>
            <w:tcW w:w="847" w:type="dxa"/>
            <w:hideMark/>
          </w:tcPr>
          <w:p w14:paraId="1E2CA81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239555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C8AFD6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B2802A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8FA21C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EEF6F3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28B7916" w14:textId="5995E76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FAAE61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2B7160"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Projet of support to professional training in Madagascar</w:t>
            </w:r>
          </w:p>
        </w:tc>
        <w:tc>
          <w:tcPr>
            <w:tcW w:w="1476" w:type="dxa"/>
            <w:hideMark/>
          </w:tcPr>
          <w:p w14:paraId="41A96D1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55,000.00</w:t>
            </w:r>
          </w:p>
        </w:tc>
        <w:tc>
          <w:tcPr>
            <w:tcW w:w="847" w:type="dxa"/>
            <w:hideMark/>
          </w:tcPr>
          <w:p w14:paraId="1BCA863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38AA4D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8E1EDC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E6B847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DC5CAA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7FB76E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050E4648" w14:textId="2046220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C33743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A49C118"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Projet of support to professional training in Madagascar</w:t>
            </w:r>
          </w:p>
        </w:tc>
        <w:tc>
          <w:tcPr>
            <w:tcW w:w="1476" w:type="dxa"/>
            <w:hideMark/>
          </w:tcPr>
          <w:p w14:paraId="6A818D2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275,000.00</w:t>
            </w:r>
          </w:p>
        </w:tc>
        <w:tc>
          <w:tcPr>
            <w:tcW w:w="847" w:type="dxa"/>
            <w:hideMark/>
          </w:tcPr>
          <w:p w14:paraId="071136C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A6E9AA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02FBAE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2221FA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224836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DD1384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5E688E99" w14:textId="7EBB3BA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F5F1DE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FDA298"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Madagascar / Projet of support to professional training in Madagascar</w:t>
            </w:r>
          </w:p>
        </w:tc>
        <w:tc>
          <w:tcPr>
            <w:tcW w:w="1476" w:type="dxa"/>
            <w:hideMark/>
          </w:tcPr>
          <w:p w14:paraId="7953619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275,000.00</w:t>
            </w:r>
          </w:p>
        </w:tc>
        <w:tc>
          <w:tcPr>
            <w:tcW w:w="847" w:type="dxa"/>
            <w:hideMark/>
          </w:tcPr>
          <w:p w14:paraId="0ED36C1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FE69BF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CFA95B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44D994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FFDAA1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173B6E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5F3DC298" w14:textId="44E4388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5421A2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F0B1B35"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Support to Pasteur Institute Madagascar</w:t>
            </w:r>
          </w:p>
        </w:tc>
        <w:tc>
          <w:tcPr>
            <w:tcW w:w="1476" w:type="dxa"/>
            <w:hideMark/>
          </w:tcPr>
          <w:p w14:paraId="481F967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210,000.00</w:t>
            </w:r>
          </w:p>
        </w:tc>
        <w:tc>
          <w:tcPr>
            <w:tcW w:w="847" w:type="dxa"/>
            <w:hideMark/>
          </w:tcPr>
          <w:p w14:paraId="7EDD629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E1C66F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2A6F46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9FB427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7311B9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1FCDD6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5CC5A46F" w14:textId="2FC07561"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2256EAC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F152B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Inclusive and lasting access to water, hygiene and sanitation services for vulnerable populations in Manakara</w:t>
            </w:r>
          </w:p>
        </w:tc>
        <w:tc>
          <w:tcPr>
            <w:tcW w:w="1476" w:type="dxa"/>
            <w:hideMark/>
          </w:tcPr>
          <w:p w14:paraId="0BFFBB9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800,000.00</w:t>
            </w:r>
          </w:p>
        </w:tc>
        <w:tc>
          <w:tcPr>
            <w:tcW w:w="847" w:type="dxa"/>
            <w:hideMark/>
          </w:tcPr>
          <w:p w14:paraId="6CCD03E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01B593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439369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1F11D5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A00946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34A644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17F4B881" w14:textId="6015AB4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16C1376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B78C94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Young farmers project - phase 2 (PROJA 2)</w:t>
            </w:r>
          </w:p>
        </w:tc>
        <w:tc>
          <w:tcPr>
            <w:tcW w:w="1476" w:type="dxa"/>
            <w:hideMark/>
          </w:tcPr>
          <w:p w14:paraId="63CF6AF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700,000.00</w:t>
            </w:r>
          </w:p>
        </w:tc>
        <w:tc>
          <w:tcPr>
            <w:tcW w:w="847" w:type="dxa"/>
            <w:hideMark/>
          </w:tcPr>
          <w:p w14:paraId="2748217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539670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631DD8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20CF63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64E51D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15A7090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4128D3D" w14:textId="6F22A23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BB96E3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762C0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Consolidation and development of inclusive microfinance institutions' networks of Madagascar</w:t>
            </w:r>
          </w:p>
        </w:tc>
        <w:tc>
          <w:tcPr>
            <w:tcW w:w="1476" w:type="dxa"/>
            <w:hideMark/>
          </w:tcPr>
          <w:p w14:paraId="0983CD5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800,000.00</w:t>
            </w:r>
          </w:p>
        </w:tc>
        <w:tc>
          <w:tcPr>
            <w:tcW w:w="847" w:type="dxa"/>
            <w:hideMark/>
          </w:tcPr>
          <w:p w14:paraId="2068DF9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2576A8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E9F2E8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BC9281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F13F0E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4B0D424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56B57E41" w14:textId="409B6A0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55307C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C6DFD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Economy to the service of biodiversity and men</w:t>
            </w:r>
          </w:p>
        </w:tc>
        <w:tc>
          <w:tcPr>
            <w:tcW w:w="1476" w:type="dxa"/>
            <w:hideMark/>
          </w:tcPr>
          <w:p w14:paraId="5F86387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300,000.00</w:t>
            </w:r>
          </w:p>
        </w:tc>
        <w:tc>
          <w:tcPr>
            <w:tcW w:w="847" w:type="dxa"/>
            <w:hideMark/>
          </w:tcPr>
          <w:p w14:paraId="3B30DC4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C7FB90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AEB347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C478B2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FB2F2B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0F157D1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66CC0E2" w14:textId="25FD449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319271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02B4213"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Madagascar / Agrisud International</w:t>
            </w:r>
          </w:p>
        </w:tc>
        <w:tc>
          <w:tcPr>
            <w:tcW w:w="1476" w:type="dxa"/>
            <w:hideMark/>
          </w:tcPr>
          <w:p w14:paraId="5692B53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w:t>
            </w:r>
          </w:p>
        </w:tc>
        <w:tc>
          <w:tcPr>
            <w:tcW w:w="847" w:type="dxa"/>
            <w:hideMark/>
          </w:tcPr>
          <w:p w14:paraId="553E981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D5D31B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B48723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552D88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648F15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75F184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6324F4E" w14:textId="6255D05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FFEM</w:t>
            </w:r>
          </w:p>
        </w:tc>
      </w:tr>
      <w:tr w:rsidR="00927E59" w:rsidRPr="001808DF" w14:paraId="70F86E4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6FCBF2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Madagascar / Towards a lateral electrification model for rural zones in the North of Madagascar</w:t>
            </w:r>
          </w:p>
        </w:tc>
        <w:tc>
          <w:tcPr>
            <w:tcW w:w="1476" w:type="dxa"/>
            <w:hideMark/>
          </w:tcPr>
          <w:p w14:paraId="493EC88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2,440,000.00</w:t>
            </w:r>
          </w:p>
        </w:tc>
        <w:tc>
          <w:tcPr>
            <w:tcW w:w="847" w:type="dxa"/>
            <w:hideMark/>
          </w:tcPr>
          <w:p w14:paraId="08A0098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E9A977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BB1DA7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116FB7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9B913B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C35278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5E39F853" w14:textId="3E4D0F6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5F6669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AB89B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Malawi / Maintenance models and support to the governance of Water and Sanitation</w:t>
            </w:r>
          </w:p>
        </w:tc>
        <w:tc>
          <w:tcPr>
            <w:tcW w:w="1476" w:type="dxa"/>
            <w:hideMark/>
          </w:tcPr>
          <w:p w14:paraId="20CFD98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2,500,000.00</w:t>
            </w:r>
          </w:p>
        </w:tc>
        <w:tc>
          <w:tcPr>
            <w:tcW w:w="847" w:type="dxa"/>
            <w:hideMark/>
          </w:tcPr>
          <w:p w14:paraId="60D8B68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4E04D5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C04B23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B35C21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864E67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1E96C5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22ED5584" w14:textId="18BB037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F02E6E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8CBA80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Malawi / Support to family agricultures</w:t>
            </w:r>
          </w:p>
        </w:tc>
        <w:tc>
          <w:tcPr>
            <w:tcW w:w="1476" w:type="dxa"/>
            <w:hideMark/>
          </w:tcPr>
          <w:p w14:paraId="17FA966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2,000,000.00</w:t>
            </w:r>
          </w:p>
        </w:tc>
        <w:tc>
          <w:tcPr>
            <w:tcW w:w="847" w:type="dxa"/>
            <w:hideMark/>
          </w:tcPr>
          <w:p w14:paraId="0367955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7D870B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567DA1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C2783F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2FF91F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718FCA1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449670B" w14:textId="10628B3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5D1A75E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D626C24"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Mali / Treatment of disposed waste in the city of Bamako</w:t>
            </w:r>
          </w:p>
        </w:tc>
        <w:tc>
          <w:tcPr>
            <w:tcW w:w="1476" w:type="dxa"/>
            <w:hideMark/>
          </w:tcPr>
          <w:p w14:paraId="33DB6AB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117,843.60</w:t>
            </w:r>
          </w:p>
        </w:tc>
        <w:tc>
          <w:tcPr>
            <w:tcW w:w="847" w:type="dxa"/>
            <w:hideMark/>
          </w:tcPr>
          <w:p w14:paraId="039A76F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7D3360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CCB8E6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8227DD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E42E0C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6B5D7D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1925E04C" w14:textId="7A31C22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8F52ED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B295AB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Mali / Credit line with portfolio guarantee Euriz and technical assistance on grant</w:t>
            </w:r>
          </w:p>
        </w:tc>
        <w:tc>
          <w:tcPr>
            <w:tcW w:w="1476" w:type="dxa"/>
            <w:hideMark/>
          </w:tcPr>
          <w:p w14:paraId="5C8AACE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w:t>
            </w:r>
          </w:p>
        </w:tc>
        <w:tc>
          <w:tcPr>
            <w:tcW w:w="847" w:type="dxa"/>
            <w:hideMark/>
          </w:tcPr>
          <w:p w14:paraId="4F17BBC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C8BEBC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EE02DD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94C86E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7E0ED8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B04BC7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5FBE0C92" w14:textId="1D61F62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AA8821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1135E0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Mali / Credit line with portfolio guarantee Euriz and technical assistance on grant</w:t>
            </w:r>
          </w:p>
        </w:tc>
        <w:tc>
          <w:tcPr>
            <w:tcW w:w="1476" w:type="dxa"/>
            <w:hideMark/>
          </w:tcPr>
          <w:p w14:paraId="2F0AFD8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12,000,000.00</w:t>
            </w:r>
          </w:p>
        </w:tc>
        <w:tc>
          <w:tcPr>
            <w:tcW w:w="847" w:type="dxa"/>
            <w:hideMark/>
          </w:tcPr>
          <w:p w14:paraId="53ADB6E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A4DB97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2D101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72E45A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532A44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2D43F3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738AB0AB" w14:textId="3C100DF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ECD034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D936A79"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Credit line with portfolio guarantee Euriz and technical assistance on grant</w:t>
            </w:r>
          </w:p>
        </w:tc>
        <w:tc>
          <w:tcPr>
            <w:tcW w:w="1476" w:type="dxa"/>
            <w:hideMark/>
          </w:tcPr>
          <w:p w14:paraId="3B686DB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w:t>
            </w:r>
          </w:p>
        </w:tc>
        <w:tc>
          <w:tcPr>
            <w:tcW w:w="847" w:type="dxa"/>
            <w:hideMark/>
          </w:tcPr>
          <w:p w14:paraId="3044C89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9CFFF8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B8BB4F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9AB35E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84009F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BCBAFF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002A38AD" w14:textId="7B575DB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BD28A4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0306F2"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Credit line with portfolio guarantee Euriz and technical assistance on grant</w:t>
            </w:r>
          </w:p>
        </w:tc>
        <w:tc>
          <w:tcPr>
            <w:tcW w:w="1476" w:type="dxa"/>
            <w:hideMark/>
          </w:tcPr>
          <w:p w14:paraId="712E3F7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600,000.00</w:t>
            </w:r>
          </w:p>
        </w:tc>
        <w:tc>
          <w:tcPr>
            <w:tcW w:w="847" w:type="dxa"/>
            <w:hideMark/>
          </w:tcPr>
          <w:p w14:paraId="164591F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5FEAE7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678DCD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5BDA98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81D966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220D38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305EB1AA" w14:textId="3C51827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C8AC8C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70F45CC"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Security and Development in  North and Centre Mali - Phase 3</w:t>
            </w:r>
          </w:p>
        </w:tc>
        <w:tc>
          <w:tcPr>
            <w:tcW w:w="1476" w:type="dxa"/>
            <w:hideMark/>
          </w:tcPr>
          <w:p w14:paraId="3FF5569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2,800,000.00</w:t>
            </w:r>
          </w:p>
        </w:tc>
        <w:tc>
          <w:tcPr>
            <w:tcW w:w="847" w:type="dxa"/>
            <w:hideMark/>
          </w:tcPr>
          <w:p w14:paraId="42078A2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64C46A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73F1C8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B36592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F0745E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5105CE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(security)</w:t>
            </w:r>
          </w:p>
        </w:tc>
        <w:tc>
          <w:tcPr>
            <w:tcW w:w="2031" w:type="dxa"/>
            <w:hideMark/>
          </w:tcPr>
          <w:p w14:paraId="1FC891B6" w14:textId="1D8C69DE"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7664D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44ABEC"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Security and Development in  North and Centre Mali - Phase 3</w:t>
            </w:r>
          </w:p>
        </w:tc>
        <w:tc>
          <w:tcPr>
            <w:tcW w:w="1476" w:type="dxa"/>
            <w:hideMark/>
          </w:tcPr>
          <w:p w14:paraId="1C84308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w:t>
            </w:r>
          </w:p>
        </w:tc>
        <w:tc>
          <w:tcPr>
            <w:tcW w:w="847" w:type="dxa"/>
            <w:hideMark/>
          </w:tcPr>
          <w:p w14:paraId="1645D8C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099ECD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C1F9D7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3E8C24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3714AB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C4B7E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(security)</w:t>
            </w:r>
          </w:p>
        </w:tc>
        <w:tc>
          <w:tcPr>
            <w:tcW w:w="2031" w:type="dxa"/>
            <w:hideMark/>
          </w:tcPr>
          <w:p w14:paraId="572DE991" w14:textId="040CE72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15D77F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B8CC18"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Security and Development in  North and Centre Mali - Phase 3</w:t>
            </w:r>
          </w:p>
        </w:tc>
        <w:tc>
          <w:tcPr>
            <w:tcW w:w="1476" w:type="dxa"/>
            <w:hideMark/>
          </w:tcPr>
          <w:p w14:paraId="2E7A9A5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700,000.00</w:t>
            </w:r>
          </w:p>
        </w:tc>
        <w:tc>
          <w:tcPr>
            <w:tcW w:w="847" w:type="dxa"/>
            <w:hideMark/>
          </w:tcPr>
          <w:p w14:paraId="307F215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82DFEF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79BEC3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3C24F6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06BFBB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9A3FC8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(security)</w:t>
            </w:r>
          </w:p>
        </w:tc>
        <w:tc>
          <w:tcPr>
            <w:tcW w:w="2031" w:type="dxa"/>
            <w:hideMark/>
          </w:tcPr>
          <w:p w14:paraId="331BECF0" w14:textId="23044E1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4F779AC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D05B8F"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Mali / GERES - Renewable Energy Group, Environment and Solidarities</w:t>
            </w:r>
          </w:p>
        </w:tc>
        <w:tc>
          <w:tcPr>
            <w:tcW w:w="1476" w:type="dxa"/>
            <w:hideMark/>
          </w:tcPr>
          <w:p w14:paraId="1955371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w:t>
            </w:r>
          </w:p>
        </w:tc>
        <w:tc>
          <w:tcPr>
            <w:tcW w:w="847" w:type="dxa"/>
            <w:hideMark/>
          </w:tcPr>
          <w:p w14:paraId="752F6BC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745DBB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E0B37E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F6D524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FF9EC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1EDC10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0913963F" w14:textId="3C3047F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B80FA3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A7A4885"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3 Frontiers</w:t>
            </w:r>
          </w:p>
        </w:tc>
        <w:tc>
          <w:tcPr>
            <w:tcW w:w="1476" w:type="dxa"/>
            <w:hideMark/>
          </w:tcPr>
          <w:p w14:paraId="003CE9F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w:t>
            </w:r>
          </w:p>
        </w:tc>
        <w:tc>
          <w:tcPr>
            <w:tcW w:w="847" w:type="dxa"/>
            <w:hideMark/>
          </w:tcPr>
          <w:p w14:paraId="3BE76AF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7FE4F5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23739F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BB68AE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4FB63C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B30D64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B98AF11" w14:textId="303B8BB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DCA19C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E0BDE0E"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3 Frontiers</w:t>
            </w:r>
          </w:p>
        </w:tc>
        <w:tc>
          <w:tcPr>
            <w:tcW w:w="1476" w:type="dxa"/>
            <w:hideMark/>
          </w:tcPr>
          <w:p w14:paraId="0852A34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w:t>
            </w:r>
          </w:p>
        </w:tc>
        <w:tc>
          <w:tcPr>
            <w:tcW w:w="847" w:type="dxa"/>
            <w:hideMark/>
          </w:tcPr>
          <w:p w14:paraId="654E3BE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55DACD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5BD9C3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61E9C1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F57A59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077FC9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56217D20" w14:textId="68D74EC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6429E4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D4BC960"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3 Frontiers</w:t>
            </w:r>
          </w:p>
        </w:tc>
        <w:tc>
          <w:tcPr>
            <w:tcW w:w="1476" w:type="dxa"/>
            <w:hideMark/>
          </w:tcPr>
          <w:p w14:paraId="4F7938C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w:t>
            </w:r>
          </w:p>
        </w:tc>
        <w:tc>
          <w:tcPr>
            <w:tcW w:w="847" w:type="dxa"/>
            <w:hideMark/>
          </w:tcPr>
          <w:p w14:paraId="7884CA8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95B079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43E34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16538E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345E95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C15713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DA5372E" w14:textId="4C59E35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C4E6AA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BED6F9"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Mali / 3 Frontiers</w:t>
            </w:r>
          </w:p>
        </w:tc>
        <w:tc>
          <w:tcPr>
            <w:tcW w:w="1476" w:type="dxa"/>
            <w:hideMark/>
          </w:tcPr>
          <w:p w14:paraId="4849C56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w:t>
            </w:r>
          </w:p>
        </w:tc>
        <w:tc>
          <w:tcPr>
            <w:tcW w:w="847" w:type="dxa"/>
            <w:hideMark/>
          </w:tcPr>
          <w:p w14:paraId="5125F98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8E34B7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2D4269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FD97EC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5E208F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B7EC6B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99961EC" w14:textId="15B87BA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3DF64BF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75F8E26"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Mali / Control and adaptation of intermediary cities in the medium valley of Senegalan river</w:t>
            </w:r>
          </w:p>
        </w:tc>
        <w:tc>
          <w:tcPr>
            <w:tcW w:w="1476" w:type="dxa"/>
            <w:hideMark/>
          </w:tcPr>
          <w:p w14:paraId="77DD01B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1,500,000.00</w:t>
            </w:r>
          </w:p>
        </w:tc>
        <w:tc>
          <w:tcPr>
            <w:tcW w:w="847" w:type="dxa"/>
            <w:hideMark/>
          </w:tcPr>
          <w:p w14:paraId="7497FFB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639930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9C9558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BE2A61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10A5A8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53EEFD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(urban Development)</w:t>
            </w:r>
          </w:p>
        </w:tc>
        <w:tc>
          <w:tcPr>
            <w:tcW w:w="2031" w:type="dxa"/>
            <w:hideMark/>
          </w:tcPr>
          <w:p w14:paraId="4A83D103" w14:textId="158393B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C</w:t>
            </w:r>
          </w:p>
        </w:tc>
      </w:tr>
      <w:tr w:rsidR="00927E59" w:rsidRPr="001808DF" w14:paraId="7030C16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CCDF1F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Mali / PISCCA - Environment protechtion, fighting against climate change and sustainable development</w:t>
            </w:r>
          </w:p>
        </w:tc>
        <w:tc>
          <w:tcPr>
            <w:tcW w:w="1476" w:type="dxa"/>
            <w:hideMark/>
          </w:tcPr>
          <w:p w14:paraId="73C86E6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210,000.00</w:t>
            </w:r>
          </w:p>
        </w:tc>
        <w:tc>
          <w:tcPr>
            <w:tcW w:w="847" w:type="dxa"/>
            <w:hideMark/>
          </w:tcPr>
          <w:p w14:paraId="6B3FCE1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9D31C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2E63AB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5683F7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B57E47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w:t>
            </w:r>
          </w:p>
        </w:tc>
        <w:tc>
          <w:tcPr>
            <w:tcW w:w="1336" w:type="dxa"/>
            <w:hideMark/>
          </w:tcPr>
          <w:p w14:paraId="15E596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23DCFF09" w14:textId="146495C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DE586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979658A"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Mauritania / Improvement of food security with draining stimulus in the regions of Gorgol and Guidimaka - Phase 2</w:t>
            </w:r>
          </w:p>
        </w:tc>
        <w:tc>
          <w:tcPr>
            <w:tcW w:w="1476" w:type="dxa"/>
            <w:hideMark/>
          </w:tcPr>
          <w:p w14:paraId="61392B2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8,425,000.00</w:t>
            </w:r>
          </w:p>
        </w:tc>
        <w:tc>
          <w:tcPr>
            <w:tcW w:w="847" w:type="dxa"/>
            <w:hideMark/>
          </w:tcPr>
          <w:p w14:paraId="693A91E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6FD018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32F3B2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5FD351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DEA78B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726CC2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67266FB" w14:textId="11C2ECF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77969B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5B06C7"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Mauritania / Improvement of food security with draining stimulus in the regions of Gorgol and Guidimaka - Phase 2</w:t>
            </w:r>
          </w:p>
        </w:tc>
        <w:tc>
          <w:tcPr>
            <w:tcW w:w="1476" w:type="dxa"/>
            <w:hideMark/>
          </w:tcPr>
          <w:p w14:paraId="34200AD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1,500,000.00</w:t>
            </w:r>
          </w:p>
        </w:tc>
        <w:tc>
          <w:tcPr>
            <w:tcW w:w="847" w:type="dxa"/>
            <w:hideMark/>
          </w:tcPr>
          <w:p w14:paraId="4C4C880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F0BA85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471BF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C08388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26C973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AF0DC9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54C3425" w14:textId="6B791AA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D2EF45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7D9C8D4"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Mauritania / Improvement of food security with draining stimulus in the regions of Gorgol and Guidimaka - Phase 2</w:t>
            </w:r>
          </w:p>
        </w:tc>
        <w:tc>
          <w:tcPr>
            <w:tcW w:w="1476" w:type="dxa"/>
            <w:hideMark/>
          </w:tcPr>
          <w:p w14:paraId="08FA591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w:t>
            </w:r>
          </w:p>
        </w:tc>
        <w:tc>
          <w:tcPr>
            <w:tcW w:w="847" w:type="dxa"/>
            <w:hideMark/>
          </w:tcPr>
          <w:p w14:paraId="073791C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9E1614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65CD72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2B6B33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606C3E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C95B30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60306F7" w14:textId="35AC634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DF9AB9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D6099C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Mauritania / Project in support of the national facility for adaptive social protection</w:t>
            </w:r>
          </w:p>
        </w:tc>
        <w:tc>
          <w:tcPr>
            <w:tcW w:w="1476" w:type="dxa"/>
            <w:hideMark/>
          </w:tcPr>
          <w:p w14:paraId="5DF9326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2,500,000.00</w:t>
            </w:r>
          </w:p>
        </w:tc>
        <w:tc>
          <w:tcPr>
            <w:tcW w:w="847" w:type="dxa"/>
            <w:hideMark/>
          </w:tcPr>
          <w:p w14:paraId="3C0F669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5DFB28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1CFDE2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E8B199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962C83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DA7F61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4F97CF54" w14:textId="6311D1A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038E4F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38DD81"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Mauritania / Project in support of the national facility for adaptive social protection</w:t>
            </w:r>
          </w:p>
        </w:tc>
        <w:tc>
          <w:tcPr>
            <w:tcW w:w="1476" w:type="dxa"/>
            <w:hideMark/>
          </w:tcPr>
          <w:p w14:paraId="26967E4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2,500,000.00</w:t>
            </w:r>
          </w:p>
        </w:tc>
        <w:tc>
          <w:tcPr>
            <w:tcW w:w="847" w:type="dxa"/>
            <w:hideMark/>
          </w:tcPr>
          <w:p w14:paraId="7677FAA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3D8D39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039C40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3225D1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859402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2FFC08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7889240C" w14:textId="0017B68E"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48E4FE6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B55E81"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Mauritania / GRET - Professionals of united development</w:t>
            </w:r>
          </w:p>
        </w:tc>
        <w:tc>
          <w:tcPr>
            <w:tcW w:w="1476" w:type="dxa"/>
            <w:hideMark/>
          </w:tcPr>
          <w:p w14:paraId="05F7553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900,000.00</w:t>
            </w:r>
          </w:p>
        </w:tc>
        <w:tc>
          <w:tcPr>
            <w:tcW w:w="847" w:type="dxa"/>
            <w:hideMark/>
          </w:tcPr>
          <w:p w14:paraId="7C8D6E2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8C7D76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5A0B48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13AC53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6AD63F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4E1CEE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65CB7218" w14:textId="5CC28DB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7BAF57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01712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Mauritius / Contingency loan covid and Adaptation at CC Mauritius</w:t>
            </w:r>
          </w:p>
        </w:tc>
        <w:tc>
          <w:tcPr>
            <w:tcW w:w="1476" w:type="dxa"/>
            <w:hideMark/>
          </w:tcPr>
          <w:p w14:paraId="165F42B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99,000,000.00</w:t>
            </w:r>
          </w:p>
        </w:tc>
        <w:tc>
          <w:tcPr>
            <w:tcW w:w="847" w:type="dxa"/>
            <w:hideMark/>
          </w:tcPr>
          <w:p w14:paraId="5F8FDE0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D462B3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7F54B1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84F080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AF3B77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2D1BED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23935F47" w14:textId="282FDD4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73D855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67CBC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Mauritius / Contingency loan covid and Adaptation at CC Mauritius</w:t>
            </w:r>
          </w:p>
        </w:tc>
        <w:tc>
          <w:tcPr>
            <w:tcW w:w="1476" w:type="dxa"/>
            <w:hideMark/>
          </w:tcPr>
          <w:p w14:paraId="4B02045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48,000,000.00</w:t>
            </w:r>
          </w:p>
        </w:tc>
        <w:tc>
          <w:tcPr>
            <w:tcW w:w="847" w:type="dxa"/>
            <w:hideMark/>
          </w:tcPr>
          <w:p w14:paraId="276E208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6E3A6F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68991E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6AFE10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459932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B6F1A6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1055D0F2" w14:textId="22D9C2C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9595BB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323C7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Mauritius / Contingency loan covid and Adaptation at CC Mauritius</w:t>
            </w:r>
          </w:p>
        </w:tc>
        <w:tc>
          <w:tcPr>
            <w:tcW w:w="1476" w:type="dxa"/>
            <w:hideMark/>
          </w:tcPr>
          <w:p w14:paraId="0847835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495,000.00</w:t>
            </w:r>
          </w:p>
        </w:tc>
        <w:tc>
          <w:tcPr>
            <w:tcW w:w="847" w:type="dxa"/>
            <w:hideMark/>
          </w:tcPr>
          <w:p w14:paraId="3A868B1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6925C6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7EEAE1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A9A3CD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A1CE7A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1F10DC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57AA3FAB" w14:textId="1CA4237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72F04A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41F3D3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Mauritius / Contingency loan covid and Adaptation at CC Mauritius</w:t>
            </w:r>
          </w:p>
        </w:tc>
        <w:tc>
          <w:tcPr>
            <w:tcW w:w="1476" w:type="dxa"/>
            <w:hideMark/>
          </w:tcPr>
          <w:p w14:paraId="2D7D1FE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240,000.00</w:t>
            </w:r>
          </w:p>
        </w:tc>
        <w:tc>
          <w:tcPr>
            <w:tcW w:w="847" w:type="dxa"/>
            <w:hideMark/>
          </w:tcPr>
          <w:p w14:paraId="343CE8F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FC1E04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BC53B5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88239A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6EA3BE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308889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596C34B6" w14:textId="396FBB5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80B3A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D17E83"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Convergence and resilience of territories - FEC 2</w:t>
            </w:r>
          </w:p>
        </w:tc>
        <w:tc>
          <w:tcPr>
            <w:tcW w:w="1476" w:type="dxa"/>
            <w:hideMark/>
          </w:tcPr>
          <w:p w14:paraId="6CEF424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40,000,000.00</w:t>
            </w:r>
          </w:p>
        </w:tc>
        <w:tc>
          <w:tcPr>
            <w:tcW w:w="847" w:type="dxa"/>
            <w:hideMark/>
          </w:tcPr>
          <w:p w14:paraId="31CD893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515AF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BEBC4D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EEBA67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15D800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B04E50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75D42E90" w14:textId="3DED1EA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6E1FA9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1CC776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Convergence and resilience of territories - FEC 2</w:t>
            </w:r>
          </w:p>
        </w:tc>
        <w:tc>
          <w:tcPr>
            <w:tcW w:w="1476" w:type="dxa"/>
            <w:hideMark/>
          </w:tcPr>
          <w:p w14:paraId="6C0E940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40,000,000.00</w:t>
            </w:r>
          </w:p>
        </w:tc>
        <w:tc>
          <w:tcPr>
            <w:tcW w:w="847" w:type="dxa"/>
            <w:hideMark/>
          </w:tcPr>
          <w:p w14:paraId="0651749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DF2603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661903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7E597D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DFE1BF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883DA6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555F5F90" w14:textId="23E0442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B0B4A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657668B"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Convergence and resilience of territories - FEC 2</w:t>
            </w:r>
          </w:p>
        </w:tc>
        <w:tc>
          <w:tcPr>
            <w:tcW w:w="1476" w:type="dxa"/>
            <w:hideMark/>
          </w:tcPr>
          <w:p w14:paraId="4205CDB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700,000.00</w:t>
            </w:r>
          </w:p>
        </w:tc>
        <w:tc>
          <w:tcPr>
            <w:tcW w:w="847" w:type="dxa"/>
            <w:hideMark/>
          </w:tcPr>
          <w:p w14:paraId="73B1E2E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A5AE10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B77C86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D4FB86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66184C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630C0A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075CB7FE" w14:textId="3205BB7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D1D29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B36691E"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Morocco / Convergence and resilience of territories - FEC 2</w:t>
            </w:r>
          </w:p>
        </w:tc>
        <w:tc>
          <w:tcPr>
            <w:tcW w:w="1476" w:type="dxa"/>
            <w:hideMark/>
          </w:tcPr>
          <w:p w14:paraId="016B827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700,000.00</w:t>
            </w:r>
          </w:p>
        </w:tc>
        <w:tc>
          <w:tcPr>
            <w:tcW w:w="847" w:type="dxa"/>
            <w:hideMark/>
          </w:tcPr>
          <w:p w14:paraId="1478A53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365DE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611209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A1B3D8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2136E1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E73DF8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7E53BA40" w14:textId="7DC5B41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68A8D6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CEF8B0"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Revitalisation of Moroccan rural lands through jobs and entrepreneurship in the agricultural and para-agricultural sector</w:t>
            </w:r>
          </w:p>
        </w:tc>
        <w:tc>
          <w:tcPr>
            <w:tcW w:w="1476" w:type="dxa"/>
            <w:hideMark/>
          </w:tcPr>
          <w:p w14:paraId="292726E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52,500,000.00</w:t>
            </w:r>
          </w:p>
        </w:tc>
        <w:tc>
          <w:tcPr>
            <w:tcW w:w="847" w:type="dxa"/>
            <w:hideMark/>
          </w:tcPr>
          <w:p w14:paraId="5E0CDAF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E3813A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857188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053EC1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E954FC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1215C5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7DFFA19" w14:textId="438769E1"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F4B189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C5EF5EA"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Revitalisation of Moroccan rural lands through jobs and entrepreneurship in the agricultural and para-agricultural sector</w:t>
            </w:r>
          </w:p>
        </w:tc>
        <w:tc>
          <w:tcPr>
            <w:tcW w:w="1476" w:type="dxa"/>
            <w:hideMark/>
          </w:tcPr>
          <w:p w14:paraId="420D01E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210,000.00</w:t>
            </w:r>
          </w:p>
        </w:tc>
        <w:tc>
          <w:tcPr>
            <w:tcW w:w="847" w:type="dxa"/>
            <w:hideMark/>
          </w:tcPr>
          <w:p w14:paraId="080DCF7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4DD8B1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22E7A7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C1C805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C747F6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C480DD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348149A" w14:textId="3784534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5DAFAF3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FBE926"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Women autonomisation by sustainable entrepreneurship in rural zones of the region of Marrakech-Safi</w:t>
            </w:r>
          </w:p>
        </w:tc>
        <w:tc>
          <w:tcPr>
            <w:tcW w:w="1476" w:type="dxa"/>
            <w:hideMark/>
          </w:tcPr>
          <w:p w14:paraId="412C0D6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w:t>
            </w:r>
          </w:p>
        </w:tc>
        <w:tc>
          <w:tcPr>
            <w:tcW w:w="847" w:type="dxa"/>
            <w:hideMark/>
          </w:tcPr>
          <w:p w14:paraId="520BF86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04526D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7EED78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0CF00F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06553B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A4A0FC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464B9C15" w14:textId="3C387A3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F4E065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E1A5C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Women autonomisation by sustainable entrepreneurship in rural zones of the region of Marrakech-Safi</w:t>
            </w:r>
          </w:p>
        </w:tc>
        <w:tc>
          <w:tcPr>
            <w:tcW w:w="1476" w:type="dxa"/>
            <w:hideMark/>
          </w:tcPr>
          <w:p w14:paraId="66A274A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w:t>
            </w:r>
          </w:p>
        </w:tc>
        <w:tc>
          <w:tcPr>
            <w:tcW w:w="847" w:type="dxa"/>
            <w:hideMark/>
          </w:tcPr>
          <w:p w14:paraId="0160FF1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126A41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272E46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CB1DA3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E0C319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4D732A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1EBE8DAE" w14:textId="200080D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6D103BE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56A91A"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Project of improvement of agricultural sector performances</w:t>
            </w:r>
          </w:p>
        </w:tc>
        <w:tc>
          <w:tcPr>
            <w:tcW w:w="1476" w:type="dxa"/>
            <w:hideMark/>
          </w:tcPr>
          <w:p w14:paraId="7AA20E5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w:t>
            </w:r>
          </w:p>
        </w:tc>
        <w:tc>
          <w:tcPr>
            <w:tcW w:w="847" w:type="dxa"/>
            <w:hideMark/>
          </w:tcPr>
          <w:p w14:paraId="360C9C1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CCCBD4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5870D7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91D381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0FCE54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0F4AD5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5AB70BA" w14:textId="1E16AB8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7620CF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2D7E152"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Territorial approach Climate-Energy: Adaptation and mitigation measures on rural territories and link cities</w:t>
            </w:r>
          </w:p>
        </w:tc>
        <w:tc>
          <w:tcPr>
            <w:tcW w:w="1476" w:type="dxa"/>
            <w:hideMark/>
          </w:tcPr>
          <w:p w14:paraId="4EEBC1C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700,000.00</w:t>
            </w:r>
          </w:p>
        </w:tc>
        <w:tc>
          <w:tcPr>
            <w:tcW w:w="847" w:type="dxa"/>
            <w:hideMark/>
          </w:tcPr>
          <w:p w14:paraId="4575077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5AB5D5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A28533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80CDD1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08B789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19E885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69E0FD4B" w14:textId="65C25E9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14D5585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798876C"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Morocco / Territorial approach Climate-Energy: Adaptation and mitigation measures on rural territories and link cities</w:t>
            </w:r>
          </w:p>
        </w:tc>
        <w:tc>
          <w:tcPr>
            <w:tcW w:w="1476" w:type="dxa"/>
            <w:hideMark/>
          </w:tcPr>
          <w:p w14:paraId="0190017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700,000.00</w:t>
            </w:r>
          </w:p>
        </w:tc>
        <w:tc>
          <w:tcPr>
            <w:tcW w:w="847" w:type="dxa"/>
            <w:hideMark/>
          </w:tcPr>
          <w:p w14:paraId="0C960EA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3BCC1E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B67D13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8D0EFE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28F9BF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A5E93D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095B7648" w14:textId="4CC5041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FE39CE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7AAAD36"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Mozambique / Resilience of mangrove ecosystems and natural disaster risk reduction in Mozambique</w:t>
            </w:r>
          </w:p>
        </w:tc>
        <w:tc>
          <w:tcPr>
            <w:tcW w:w="1476" w:type="dxa"/>
            <w:hideMark/>
          </w:tcPr>
          <w:p w14:paraId="49C3E5E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950,000.00</w:t>
            </w:r>
          </w:p>
        </w:tc>
        <w:tc>
          <w:tcPr>
            <w:tcW w:w="847" w:type="dxa"/>
            <w:hideMark/>
          </w:tcPr>
          <w:p w14:paraId="7B56CCD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BFD47B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EB5422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AB8742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14C60F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A30E66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103F53B" w14:textId="42A75E9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9469C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07BDF6"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Mozambique / Resilience of mangrove ecosystems and natural disaster risk reduction in Mozambique</w:t>
            </w:r>
          </w:p>
        </w:tc>
        <w:tc>
          <w:tcPr>
            <w:tcW w:w="1476" w:type="dxa"/>
            <w:hideMark/>
          </w:tcPr>
          <w:p w14:paraId="260F50F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950,000.00</w:t>
            </w:r>
          </w:p>
        </w:tc>
        <w:tc>
          <w:tcPr>
            <w:tcW w:w="847" w:type="dxa"/>
            <w:hideMark/>
          </w:tcPr>
          <w:p w14:paraId="34A31D2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0A33FA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1CEEB7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A2C652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430C3E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DD987F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D419D91" w14:textId="196FBC9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14B81D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4E7A4B1"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Mozambique / Resilience of mangrove ecosystems and natural disaster risk reduction in Mozambique</w:t>
            </w:r>
          </w:p>
        </w:tc>
        <w:tc>
          <w:tcPr>
            <w:tcW w:w="1476" w:type="dxa"/>
            <w:hideMark/>
          </w:tcPr>
          <w:p w14:paraId="55A60F4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2,050,000.00</w:t>
            </w:r>
          </w:p>
        </w:tc>
        <w:tc>
          <w:tcPr>
            <w:tcW w:w="847" w:type="dxa"/>
            <w:hideMark/>
          </w:tcPr>
          <w:p w14:paraId="5EA46BE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4CD8D8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CBC89B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7FBA7A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C5C067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170D7A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10ED69A" w14:textId="6B86E13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7FF3B5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C0581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Mozambique / Resilience of mangrove ecosystems and natural disaster risk reduction in Mozambique</w:t>
            </w:r>
          </w:p>
        </w:tc>
        <w:tc>
          <w:tcPr>
            <w:tcW w:w="1476" w:type="dxa"/>
            <w:hideMark/>
          </w:tcPr>
          <w:p w14:paraId="16012FE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2,050,000.00</w:t>
            </w:r>
          </w:p>
        </w:tc>
        <w:tc>
          <w:tcPr>
            <w:tcW w:w="847" w:type="dxa"/>
            <w:hideMark/>
          </w:tcPr>
          <w:p w14:paraId="4698387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8BA1A5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69287C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E6EB76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87EBE9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161738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29ACEE0" w14:textId="21D6B59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DEEAD9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9576BE"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Niger / Karey Gorou - Strenghtening of water supply in Niamey</w:t>
            </w:r>
          </w:p>
        </w:tc>
        <w:tc>
          <w:tcPr>
            <w:tcW w:w="1476" w:type="dxa"/>
            <w:hideMark/>
          </w:tcPr>
          <w:p w14:paraId="21F9189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24,400,000.00</w:t>
            </w:r>
          </w:p>
        </w:tc>
        <w:tc>
          <w:tcPr>
            <w:tcW w:w="847" w:type="dxa"/>
            <w:hideMark/>
          </w:tcPr>
          <w:p w14:paraId="6C3109D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0540ED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3C9564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E006A7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10039C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0B67C1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63C23EC3" w14:textId="5EB766A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0B314E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88618CD"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Niger / Nariindu 3: promoting local milk in Sahel</w:t>
            </w:r>
          </w:p>
        </w:tc>
        <w:tc>
          <w:tcPr>
            <w:tcW w:w="1476" w:type="dxa"/>
            <w:hideMark/>
          </w:tcPr>
          <w:p w14:paraId="0B724AF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285,000.00</w:t>
            </w:r>
          </w:p>
        </w:tc>
        <w:tc>
          <w:tcPr>
            <w:tcW w:w="847" w:type="dxa"/>
            <w:hideMark/>
          </w:tcPr>
          <w:p w14:paraId="3AB38F9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597AEB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71600F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230BC5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2B5DB3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5A80B7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ACC0A47" w14:textId="0BAE22B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6952483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1364E05"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Nigeria / Financing in the renewable energy sector</w:t>
            </w:r>
          </w:p>
        </w:tc>
        <w:tc>
          <w:tcPr>
            <w:tcW w:w="1476" w:type="dxa"/>
            <w:hideMark/>
          </w:tcPr>
          <w:p w14:paraId="3B5BD6C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w:t>
            </w:r>
          </w:p>
        </w:tc>
        <w:tc>
          <w:tcPr>
            <w:tcW w:w="847" w:type="dxa"/>
            <w:hideMark/>
          </w:tcPr>
          <w:p w14:paraId="4D4B7CA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3F96C1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2B4268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438405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1016" w:type="dxa"/>
            <w:hideMark/>
          </w:tcPr>
          <w:p w14:paraId="7D096EA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DE79C3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961D5C1" w14:textId="7BC315D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43D3FA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A976E5"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Nigeria / Project of urban transport in the town of Kaduna</w:t>
            </w:r>
          </w:p>
        </w:tc>
        <w:tc>
          <w:tcPr>
            <w:tcW w:w="1476" w:type="dxa"/>
            <w:hideMark/>
          </w:tcPr>
          <w:p w14:paraId="4442EDE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110,000,000.00</w:t>
            </w:r>
          </w:p>
        </w:tc>
        <w:tc>
          <w:tcPr>
            <w:tcW w:w="847" w:type="dxa"/>
            <w:hideMark/>
          </w:tcPr>
          <w:p w14:paraId="56ADB86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187CFB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2393F5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9405AA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4E2954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385B2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4B0EDCE6" w14:textId="6AC4F90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D5116A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BF597D"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Rwanda / Contribution to the national program of energy access</w:t>
            </w:r>
          </w:p>
        </w:tc>
        <w:tc>
          <w:tcPr>
            <w:tcW w:w="1476" w:type="dxa"/>
            <w:hideMark/>
          </w:tcPr>
          <w:p w14:paraId="23D8BAE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80,000,000.00</w:t>
            </w:r>
          </w:p>
        </w:tc>
        <w:tc>
          <w:tcPr>
            <w:tcW w:w="847" w:type="dxa"/>
            <w:hideMark/>
          </w:tcPr>
          <w:p w14:paraId="4C86BCA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8004E3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EC5CEB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5979BB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43EA57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25E66C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A98A725" w14:textId="7507FCE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024337B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DEC0D5"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Rwanda / Citizen platform for sustainable city</w:t>
            </w:r>
          </w:p>
        </w:tc>
        <w:tc>
          <w:tcPr>
            <w:tcW w:w="1476" w:type="dxa"/>
            <w:hideMark/>
          </w:tcPr>
          <w:p w14:paraId="4E98A61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158,832.00</w:t>
            </w:r>
          </w:p>
        </w:tc>
        <w:tc>
          <w:tcPr>
            <w:tcW w:w="847" w:type="dxa"/>
            <w:hideMark/>
          </w:tcPr>
          <w:p w14:paraId="51296E6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D7CD39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8CDF27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FDC8CD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B12D48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C6F945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(digital)</w:t>
            </w:r>
          </w:p>
        </w:tc>
        <w:tc>
          <w:tcPr>
            <w:tcW w:w="2031" w:type="dxa"/>
            <w:hideMark/>
          </w:tcPr>
          <w:p w14:paraId="1F9A6C8E" w14:textId="3D7517D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7035CD1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7BE1151"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Senegal / Improvement project of management and information tools on air and seawater quality in Dakar</w:t>
            </w:r>
          </w:p>
        </w:tc>
        <w:tc>
          <w:tcPr>
            <w:tcW w:w="1476" w:type="dxa"/>
            <w:hideMark/>
          </w:tcPr>
          <w:p w14:paraId="01AB517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784,583.71</w:t>
            </w:r>
          </w:p>
        </w:tc>
        <w:tc>
          <w:tcPr>
            <w:tcW w:w="847" w:type="dxa"/>
            <w:hideMark/>
          </w:tcPr>
          <w:p w14:paraId="2460B7B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D75BD6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8EF1C6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821D0B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451F8B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7C0643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(digital)</w:t>
            </w:r>
          </w:p>
        </w:tc>
        <w:tc>
          <w:tcPr>
            <w:tcW w:w="2031" w:type="dxa"/>
            <w:hideMark/>
          </w:tcPr>
          <w:p w14:paraId="3AD09D78" w14:textId="35D5D62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28CE78B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B0B17DE"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Senegal / Implementation of a low-carbon district for the train station area Petersen (Dakar)</w:t>
            </w:r>
          </w:p>
        </w:tc>
        <w:tc>
          <w:tcPr>
            <w:tcW w:w="1476" w:type="dxa"/>
            <w:hideMark/>
          </w:tcPr>
          <w:p w14:paraId="539F985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570,000.00</w:t>
            </w:r>
          </w:p>
        </w:tc>
        <w:tc>
          <w:tcPr>
            <w:tcW w:w="847" w:type="dxa"/>
            <w:hideMark/>
          </w:tcPr>
          <w:p w14:paraId="2CA4CCC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951A3F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C0C569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06264C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9C0E7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3871B51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7D3D03FA" w14:textId="1BC12A11"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EA04C0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FAF2A8"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Senegal / Demonstrator of ecoconstruction for youth learning</w:t>
            </w:r>
          </w:p>
        </w:tc>
        <w:tc>
          <w:tcPr>
            <w:tcW w:w="1476" w:type="dxa"/>
            <w:hideMark/>
          </w:tcPr>
          <w:p w14:paraId="1D3BE48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72,000.00</w:t>
            </w:r>
          </w:p>
        </w:tc>
        <w:tc>
          <w:tcPr>
            <w:tcW w:w="847" w:type="dxa"/>
            <w:hideMark/>
          </w:tcPr>
          <w:p w14:paraId="1DBA220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8B80F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824768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9E2DDD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F6697E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DDDE48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04954C64" w14:textId="7402A3CE"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6A0BD0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6918F1F"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Senegal / Express Regional Train of Dakar</w:t>
            </w:r>
          </w:p>
        </w:tc>
        <w:tc>
          <w:tcPr>
            <w:tcW w:w="1476" w:type="dxa"/>
            <w:hideMark/>
          </w:tcPr>
          <w:p w14:paraId="692C655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30,000,000.00</w:t>
            </w:r>
          </w:p>
        </w:tc>
        <w:tc>
          <w:tcPr>
            <w:tcW w:w="847" w:type="dxa"/>
            <w:hideMark/>
          </w:tcPr>
          <w:p w14:paraId="6739771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29B03E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FF083A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8F6E7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31040F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199B28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1062BAB0" w14:textId="219E398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FC742E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F801C71"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Senegal / Autonomous Sanitation in Dakar region (PAAD in French)</w:t>
            </w:r>
          </w:p>
        </w:tc>
        <w:tc>
          <w:tcPr>
            <w:tcW w:w="1476" w:type="dxa"/>
            <w:hideMark/>
          </w:tcPr>
          <w:p w14:paraId="00CFFAAA"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10,800,000.00</w:t>
            </w:r>
          </w:p>
        </w:tc>
        <w:tc>
          <w:tcPr>
            <w:tcW w:w="847" w:type="dxa"/>
            <w:hideMark/>
          </w:tcPr>
          <w:p w14:paraId="45CFF68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632017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76F4F2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43B8C7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B88852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F68ED6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17695AA6" w14:textId="12B5B9C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1BC8BA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A5FA03E"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Senegal / Autonomous Sanitation in Dakar region (PAAD in French)</w:t>
            </w:r>
          </w:p>
        </w:tc>
        <w:tc>
          <w:tcPr>
            <w:tcW w:w="1476" w:type="dxa"/>
            <w:hideMark/>
          </w:tcPr>
          <w:p w14:paraId="2193471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800,000.00</w:t>
            </w:r>
          </w:p>
        </w:tc>
        <w:tc>
          <w:tcPr>
            <w:tcW w:w="847" w:type="dxa"/>
            <w:hideMark/>
          </w:tcPr>
          <w:p w14:paraId="2A19F0C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037C6F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6D880B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ACED2E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B7DF3B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9FC4AE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2ED1CD45" w14:textId="2FB40EA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531661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45AF33" w14:textId="77777777" w:rsidR="00927E59" w:rsidRPr="00F83B9E" w:rsidRDefault="00927E59" w:rsidP="00927E59">
            <w:pPr>
              <w:ind w:firstLineChars="100" w:firstLine="181"/>
              <w:jc w:val="left"/>
              <w:rPr>
                <w:rFonts w:ascii="Times New Roman" w:hAnsi="Times New Roman"/>
                <w:color w:val="000000"/>
                <w:sz w:val="18"/>
                <w:szCs w:val="18"/>
                <w:lang w:val="en-GB"/>
              </w:rPr>
            </w:pPr>
            <w:r w:rsidRPr="00F83B9E">
              <w:rPr>
                <w:rFonts w:ascii="Times New Roman" w:hAnsi="Times New Roman"/>
                <w:sz w:val="18"/>
                <w:szCs w:val="18"/>
                <w:lang w:val="en-GB"/>
              </w:rPr>
              <w:t>Senegal / Autonomous Sanitation in Dakar region (PAAD in French)</w:t>
            </w:r>
          </w:p>
        </w:tc>
        <w:tc>
          <w:tcPr>
            <w:tcW w:w="1476" w:type="dxa"/>
            <w:hideMark/>
          </w:tcPr>
          <w:p w14:paraId="015F203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2,700,000.00</w:t>
            </w:r>
          </w:p>
        </w:tc>
        <w:tc>
          <w:tcPr>
            <w:tcW w:w="847" w:type="dxa"/>
            <w:hideMark/>
          </w:tcPr>
          <w:p w14:paraId="39633B4A"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EE65BE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6607FF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F18FDE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CD1F12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D1CEAE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096DD281" w14:textId="6DB7B54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DE41DE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278322"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Autonomous Sanitation in Dakar region (PAAD in French)</w:t>
            </w:r>
          </w:p>
        </w:tc>
        <w:tc>
          <w:tcPr>
            <w:tcW w:w="1476" w:type="dxa"/>
            <w:hideMark/>
          </w:tcPr>
          <w:p w14:paraId="7DDEA15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w:t>
            </w:r>
          </w:p>
        </w:tc>
        <w:tc>
          <w:tcPr>
            <w:tcW w:w="847" w:type="dxa"/>
            <w:hideMark/>
          </w:tcPr>
          <w:p w14:paraId="60DF84D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9F7A22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C1412D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923EBA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214DAF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521C38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3B57AF12" w14:textId="62DFEE0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192488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5B2080"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Support to the development of secondary education - phase 2</w:t>
            </w:r>
          </w:p>
        </w:tc>
        <w:tc>
          <w:tcPr>
            <w:tcW w:w="1476" w:type="dxa"/>
            <w:hideMark/>
          </w:tcPr>
          <w:p w14:paraId="79FA873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5,700,000.00</w:t>
            </w:r>
          </w:p>
        </w:tc>
        <w:tc>
          <w:tcPr>
            <w:tcW w:w="847" w:type="dxa"/>
            <w:hideMark/>
          </w:tcPr>
          <w:p w14:paraId="1B225C7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041208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D8903A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C5EE5A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F9C2CE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573647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36E24588" w14:textId="5F5348B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ECB3E4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3F42507"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Support to the development of secondary education - phase 2</w:t>
            </w:r>
          </w:p>
        </w:tc>
        <w:tc>
          <w:tcPr>
            <w:tcW w:w="1476" w:type="dxa"/>
            <w:hideMark/>
          </w:tcPr>
          <w:p w14:paraId="483D3EC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1,350,000.00</w:t>
            </w:r>
          </w:p>
        </w:tc>
        <w:tc>
          <w:tcPr>
            <w:tcW w:w="847" w:type="dxa"/>
            <w:hideMark/>
          </w:tcPr>
          <w:p w14:paraId="709F46B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967D6A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FA3BE1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7C0028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C2E834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F704E5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727ADF09" w14:textId="189A523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CC28F7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620F3C0"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Sustainable management of forestry resources of Bignona</w:t>
            </w:r>
          </w:p>
        </w:tc>
        <w:tc>
          <w:tcPr>
            <w:tcW w:w="1476" w:type="dxa"/>
            <w:hideMark/>
          </w:tcPr>
          <w:p w14:paraId="3933CB0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w:t>
            </w:r>
          </w:p>
        </w:tc>
        <w:tc>
          <w:tcPr>
            <w:tcW w:w="847" w:type="dxa"/>
            <w:hideMark/>
          </w:tcPr>
          <w:p w14:paraId="1300301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942DCA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51869E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4A4B92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E61253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1FDE044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Forestry</w:t>
            </w:r>
          </w:p>
        </w:tc>
        <w:tc>
          <w:tcPr>
            <w:tcW w:w="2031" w:type="dxa"/>
            <w:hideMark/>
          </w:tcPr>
          <w:p w14:paraId="2357DCE9" w14:textId="1486458D"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1CF236B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F05AFC0"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Rural communities and electricity access in Casamance</w:t>
            </w:r>
          </w:p>
        </w:tc>
        <w:tc>
          <w:tcPr>
            <w:tcW w:w="1476" w:type="dxa"/>
            <w:hideMark/>
          </w:tcPr>
          <w:p w14:paraId="2834408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480,000.00</w:t>
            </w:r>
          </w:p>
        </w:tc>
        <w:tc>
          <w:tcPr>
            <w:tcW w:w="847" w:type="dxa"/>
            <w:hideMark/>
          </w:tcPr>
          <w:p w14:paraId="779C447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0FBB01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29F765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A8BB77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D0AB54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ED995E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4C5967DC" w14:textId="33DCA5F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3D3426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2900FD"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Access Programme to Renewable Energies - phase 2</w:t>
            </w:r>
          </w:p>
        </w:tc>
        <w:tc>
          <w:tcPr>
            <w:tcW w:w="1476" w:type="dxa"/>
            <w:hideMark/>
          </w:tcPr>
          <w:p w14:paraId="2717B7D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w:t>
            </w:r>
          </w:p>
        </w:tc>
        <w:tc>
          <w:tcPr>
            <w:tcW w:w="847" w:type="dxa"/>
            <w:hideMark/>
          </w:tcPr>
          <w:p w14:paraId="53F462F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1863A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56C3E1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4979AC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7199FA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D0DCD7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58F1561" w14:textId="475D168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961D6D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AEE9D7"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Strenghtening sanitary, social and economic covid-19 crisis resilience for populations of the Podor Department</w:t>
            </w:r>
          </w:p>
        </w:tc>
        <w:tc>
          <w:tcPr>
            <w:tcW w:w="1476" w:type="dxa"/>
            <w:hideMark/>
          </w:tcPr>
          <w:p w14:paraId="154D8C9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w:t>
            </w:r>
          </w:p>
        </w:tc>
        <w:tc>
          <w:tcPr>
            <w:tcW w:w="847" w:type="dxa"/>
            <w:hideMark/>
          </w:tcPr>
          <w:p w14:paraId="5B181CA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71026A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1A7DBC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FA6B4C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97260E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3FC6E9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262C37B5" w14:textId="2863218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43B09DE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7C103D"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Senegal / Women Engage for a Common Future - WECF France</w:t>
            </w:r>
          </w:p>
        </w:tc>
        <w:tc>
          <w:tcPr>
            <w:tcW w:w="1476" w:type="dxa"/>
            <w:hideMark/>
          </w:tcPr>
          <w:p w14:paraId="7787999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450,000.00</w:t>
            </w:r>
          </w:p>
        </w:tc>
        <w:tc>
          <w:tcPr>
            <w:tcW w:w="847" w:type="dxa"/>
            <w:hideMark/>
          </w:tcPr>
          <w:p w14:paraId="281D621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A4829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D6823B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F2FD7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9714B9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A6E51A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653F2D10" w14:textId="46CC25C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FFEM</w:t>
            </w:r>
          </w:p>
        </w:tc>
      </w:tr>
      <w:tr w:rsidR="00927E59" w:rsidRPr="001808DF" w14:paraId="7D2DA2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9A64749"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Senegal / Fight against desertification with the support to pastoralism in FERLO</w:t>
            </w:r>
          </w:p>
        </w:tc>
        <w:tc>
          <w:tcPr>
            <w:tcW w:w="1476" w:type="dxa"/>
            <w:hideMark/>
          </w:tcPr>
          <w:p w14:paraId="2B09A75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48,000.00</w:t>
            </w:r>
          </w:p>
        </w:tc>
        <w:tc>
          <w:tcPr>
            <w:tcW w:w="847" w:type="dxa"/>
            <w:hideMark/>
          </w:tcPr>
          <w:p w14:paraId="2C659D0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14703D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C6C371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E892B5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F5184B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55D834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F82EF93" w14:textId="3946E0E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0BFF9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AC7DE75"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Seychelles / Project in support to epidemiological surveillance network and emergy management (SEGA One Health Network) - Third phase (2018-2022)</w:t>
            </w:r>
          </w:p>
        </w:tc>
        <w:tc>
          <w:tcPr>
            <w:tcW w:w="1476" w:type="dxa"/>
            <w:hideMark/>
          </w:tcPr>
          <w:p w14:paraId="40AE0D2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1,080,000.00</w:t>
            </w:r>
          </w:p>
        </w:tc>
        <w:tc>
          <w:tcPr>
            <w:tcW w:w="847" w:type="dxa"/>
            <w:hideMark/>
          </w:tcPr>
          <w:p w14:paraId="703AE15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DE48AF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3B432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2FD3E0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84172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1CDB2E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6B561712" w14:textId="09CC39A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0B6732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DC863A"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Sudan / Aflasafe Sudan</w:t>
            </w:r>
          </w:p>
        </w:tc>
        <w:tc>
          <w:tcPr>
            <w:tcW w:w="1476" w:type="dxa"/>
            <w:hideMark/>
          </w:tcPr>
          <w:p w14:paraId="0A162C4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550,000.00</w:t>
            </w:r>
          </w:p>
        </w:tc>
        <w:tc>
          <w:tcPr>
            <w:tcW w:w="847" w:type="dxa"/>
            <w:hideMark/>
          </w:tcPr>
          <w:p w14:paraId="0FAC4A2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FA6594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BBC6DE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6D0568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195958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2960CE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1799784" w14:textId="144E7C6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CF6374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26B7A1A"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TANZANIA / Phase 5 of the Bus Rapid Transit (BRT) of Dar Es Salaam</w:t>
            </w:r>
          </w:p>
        </w:tc>
        <w:tc>
          <w:tcPr>
            <w:tcW w:w="1476" w:type="dxa"/>
            <w:hideMark/>
          </w:tcPr>
          <w:p w14:paraId="10380B7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178,000,000.00</w:t>
            </w:r>
          </w:p>
        </w:tc>
        <w:tc>
          <w:tcPr>
            <w:tcW w:w="847" w:type="dxa"/>
            <w:hideMark/>
          </w:tcPr>
          <w:p w14:paraId="511BB94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F9FC0B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EB12A3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DAD2B8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76B2EE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5F27C5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72986F64" w14:textId="71C2602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8E681F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B2900D"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TANZANIA / Complementary financing to a field hospital project of Aga Khan Hospital of Dar Es Salaam to improve treatment of patients affected with covid-19 in Tanzania</w:t>
            </w:r>
          </w:p>
        </w:tc>
        <w:tc>
          <w:tcPr>
            <w:tcW w:w="1476" w:type="dxa"/>
            <w:hideMark/>
          </w:tcPr>
          <w:p w14:paraId="194D41F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54,000.00</w:t>
            </w:r>
          </w:p>
        </w:tc>
        <w:tc>
          <w:tcPr>
            <w:tcW w:w="847" w:type="dxa"/>
            <w:hideMark/>
          </w:tcPr>
          <w:p w14:paraId="43E7F19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42C711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7FC736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AE2FDC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12F3F5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C9EE5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56CB8628" w14:textId="44C53151"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D4F118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1423D1"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Togo / Programme of extension of electric networks in Urban centres of Togo</w:t>
            </w:r>
          </w:p>
        </w:tc>
        <w:tc>
          <w:tcPr>
            <w:tcW w:w="1476" w:type="dxa"/>
            <w:hideMark/>
          </w:tcPr>
          <w:p w14:paraId="05AEC8E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40,000,000.00</w:t>
            </w:r>
          </w:p>
        </w:tc>
        <w:tc>
          <w:tcPr>
            <w:tcW w:w="847" w:type="dxa"/>
            <w:hideMark/>
          </w:tcPr>
          <w:p w14:paraId="1D5E977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0E6987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974B37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D160E6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233A9B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303781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7233903" w14:textId="4A12D76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6E5253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D5FBE3B"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Togo / Project of improvement of sanitary conditions in scolar and rural environment in the Savanas' Region (phase II)</w:t>
            </w:r>
          </w:p>
        </w:tc>
        <w:tc>
          <w:tcPr>
            <w:tcW w:w="1476" w:type="dxa"/>
            <w:hideMark/>
          </w:tcPr>
          <w:p w14:paraId="0D11D00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7,600,000.00</w:t>
            </w:r>
          </w:p>
        </w:tc>
        <w:tc>
          <w:tcPr>
            <w:tcW w:w="847" w:type="dxa"/>
            <w:hideMark/>
          </w:tcPr>
          <w:p w14:paraId="7F655F7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F0D809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40C4CC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6EA08E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B63FF4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6440DB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6BCF3305" w14:textId="0975412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1995D1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FD1F6D1"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Togo / Agroecology for food soverainety and climate change adaptation in West Africa - phase 2</w:t>
            </w:r>
          </w:p>
        </w:tc>
        <w:tc>
          <w:tcPr>
            <w:tcW w:w="1476" w:type="dxa"/>
            <w:hideMark/>
          </w:tcPr>
          <w:p w14:paraId="54F6741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w:t>
            </w:r>
          </w:p>
        </w:tc>
        <w:tc>
          <w:tcPr>
            <w:tcW w:w="847" w:type="dxa"/>
            <w:hideMark/>
          </w:tcPr>
          <w:p w14:paraId="0DD13B4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EDAE15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E0481D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DF5821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E8BE77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83CCFC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FFABFB4" w14:textId="070DBAB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41DF529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962422"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Togo / Agroecology for food soverainety and climate change adaptation in West Africa - phase 2</w:t>
            </w:r>
          </w:p>
        </w:tc>
        <w:tc>
          <w:tcPr>
            <w:tcW w:w="1476" w:type="dxa"/>
            <w:hideMark/>
          </w:tcPr>
          <w:p w14:paraId="61F51D3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w:t>
            </w:r>
          </w:p>
        </w:tc>
        <w:tc>
          <w:tcPr>
            <w:tcW w:w="847" w:type="dxa"/>
            <w:hideMark/>
          </w:tcPr>
          <w:p w14:paraId="136DDB5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8833ED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E0F83F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446994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373575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AEA8BE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30715E3" w14:textId="5F83552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2F6ADF6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F6F9238"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Togo / Entrepreneurs of the World</w:t>
            </w:r>
          </w:p>
        </w:tc>
        <w:tc>
          <w:tcPr>
            <w:tcW w:w="1476" w:type="dxa"/>
            <w:hideMark/>
          </w:tcPr>
          <w:p w14:paraId="66493D6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900,000.00</w:t>
            </w:r>
          </w:p>
        </w:tc>
        <w:tc>
          <w:tcPr>
            <w:tcW w:w="847" w:type="dxa"/>
            <w:hideMark/>
          </w:tcPr>
          <w:p w14:paraId="22C5175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E1E5C8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D03F5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91A00E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5A2AA1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C630E7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F2EBF3A" w14:textId="1F185E3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1EB17A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2082E68"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Tunisia / Hydro-meteorological monitoring system</w:t>
            </w:r>
          </w:p>
        </w:tc>
        <w:tc>
          <w:tcPr>
            <w:tcW w:w="1476" w:type="dxa"/>
            <w:hideMark/>
          </w:tcPr>
          <w:p w14:paraId="7EE91F0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567,522.00</w:t>
            </w:r>
          </w:p>
        </w:tc>
        <w:tc>
          <w:tcPr>
            <w:tcW w:w="847" w:type="dxa"/>
            <w:hideMark/>
          </w:tcPr>
          <w:p w14:paraId="505821D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016137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9F65D9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B71C9D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7582DD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CE385E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(research)</w:t>
            </w:r>
          </w:p>
        </w:tc>
        <w:tc>
          <w:tcPr>
            <w:tcW w:w="2031" w:type="dxa"/>
            <w:hideMark/>
          </w:tcPr>
          <w:p w14:paraId="3F956907" w14:textId="018FAC7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75443F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F7EB11"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Tunisia / Loan of public policy to support reforms in favour of the resilience of Tunisian economy</w:t>
            </w:r>
          </w:p>
        </w:tc>
        <w:tc>
          <w:tcPr>
            <w:tcW w:w="1476" w:type="dxa"/>
            <w:hideMark/>
          </w:tcPr>
          <w:p w14:paraId="4C01ACE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12,000,000.00</w:t>
            </w:r>
          </w:p>
        </w:tc>
        <w:tc>
          <w:tcPr>
            <w:tcW w:w="847" w:type="dxa"/>
            <w:hideMark/>
          </w:tcPr>
          <w:p w14:paraId="775265C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F17003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070537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03EBE0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20C8BB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659241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64CAE8DD" w14:textId="0868153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7911D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6BF76B3"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Tunisia / Loan of public policy to support reforms in favour of the resilience of Tunisian economy</w:t>
            </w:r>
          </w:p>
        </w:tc>
        <w:tc>
          <w:tcPr>
            <w:tcW w:w="1476" w:type="dxa"/>
            <w:hideMark/>
          </w:tcPr>
          <w:p w14:paraId="0A399E6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w:t>
            </w:r>
          </w:p>
        </w:tc>
        <w:tc>
          <w:tcPr>
            <w:tcW w:w="847" w:type="dxa"/>
            <w:hideMark/>
          </w:tcPr>
          <w:p w14:paraId="5F7F769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7F470A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79226D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CE9933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7C2C31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5C3E04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7681406A" w14:textId="154F8F4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74B7675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1E7B2C"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Uganda / Artificial smart solution for the performance of the drinkable water network of Kampala</w:t>
            </w:r>
          </w:p>
        </w:tc>
        <w:tc>
          <w:tcPr>
            <w:tcW w:w="1476" w:type="dxa"/>
            <w:hideMark/>
          </w:tcPr>
          <w:p w14:paraId="2D68438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599,396.00</w:t>
            </w:r>
          </w:p>
        </w:tc>
        <w:tc>
          <w:tcPr>
            <w:tcW w:w="847" w:type="dxa"/>
            <w:hideMark/>
          </w:tcPr>
          <w:p w14:paraId="13F2F49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A9E5C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855996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6EA243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F7BFCC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29CBA2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219F3B6C" w14:textId="2B22EF4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6C777DC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B053F6A"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Uganda / Financing of a hospital construction</w:t>
            </w:r>
          </w:p>
        </w:tc>
        <w:tc>
          <w:tcPr>
            <w:tcW w:w="1476" w:type="dxa"/>
            <w:hideMark/>
          </w:tcPr>
          <w:p w14:paraId="535E9D3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5,777,484.00</w:t>
            </w:r>
          </w:p>
        </w:tc>
        <w:tc>
          <w:tcPr>
            <w:tcW w:w="847" w:type="dxa"/>
            <w:hideMark/>
          </w:tcPr>
          <w:p w14:paraId="6FC36E9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777C9D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9861AB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78BC86E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38FEEE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3CD33E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24C842D" w14:textId="499A536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A7464F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21F7F1"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Albania / Project of improvement of the drinkable water service in the region of Durrës</w:t>
            </w:r>
          </w:p>
        </w:tc>
        <w:tc>
          <w:tcPr>
            <w:tcW w:w="1476" w:type="dxa"/>
            <w:hideMark/>
          </w:tcPr>
          <w:p w14:paraId="1531A3B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46,800,000.00</w:t>
            </w:r>
          </w:p>
        </w:tc>
        <w:tc>
          <w:tcPr>
            <w:tcW w:w="847" w:type="dxa"/>
            <w:hideMark/>
          </w:tcPr>
          <w:p w14:paraId="2C62115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9405ED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5826FD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8084A0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10C51E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0AF95B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2B1046AF" w14:textId="5B8645CD"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0AB6BA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E514253"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Albania / Project of improvement of the drinkable water service in the region of Durrës</w:t>
            </w:r>
          </w:p>
        </w:tc>
        <w:tc>
          <w:tcPr>
            <w:tcW w:w="1476" w:type="dxa"/>
            <w:hideMark/>
          </w:tcPr>
          <w:p w14:paraId="1E6A3CA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1,200,000.00</w:t>
            </w:r>
          </w:p>
        </w:tc>
        <w:tc>
          <w:tcPr>
            <w:tcW w:w="847" w:type="dxa"/>
            <w:hideMark/>
          </w:tcPr>
          <w:p w14:paraId="6CA5859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503EC0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2824BC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BA170C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B703C3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BC2CD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1B46A818" w14:textId="6B32378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83A38B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B4D8B5B"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Albania / Project of improvement of the drinkable water service in the region of Durrës</w:t>
            </w:r>
          </w:p>
        </w:tc>
        <w:tc>
          <w:tcPr>
            <w:tcW w:w="1476" w:type="dxa"/>
            <w:hideMark/>
          </w:tcPr>
          <w:p w14:paraId="78E809E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780,000.00</w:t>
            </w:r>
          </w:p>
        </w:tc>
        <w:tc>
          <w:tcPr>
            <w:tcW w:w="847" w:type="dxa"/>
            <w:hideMark/>
          </w:tcPr>
          <w:p w14:paraId="78D10B8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6B348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6EC761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87B742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323B23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B77DA3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1FFB56B6" w14:textId="0971628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3D201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9EB1F4"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Albania / Project of improvement of the drinkable water service in the region of Durrës</w:t>
            </w:r>
          </w:p>
        </w:tc>
        <w:tc>
          <w:tcPr>
            <w:tcW w:w="1476" w:type="dxa"/>
            <w:hideMark/>
          </w:tcPr>
          <w:p w14:paraId="2F1D9F9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w:t>
            </w:r>
          </w:p>
        </w:tc>
        <w:tc>
          <w:tcPr>
            <w:tcW w:w="847" w:type="dxa"/>
            <w:hideMark/>
          </w:tcPr>
          <w:p w14:paraId="1E7FC49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6A6785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B62F85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EDD386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7C9C6B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2D9720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4AF994E5" w14:textId="31E91B2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4A583FA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837849"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Albania / Strenghtening project of humid zones management in the Balkans for the conservation of the dalmatian Pelican</w:t>
            </w:r>
          </w:p>
        </w:tc>
        <w:tc>
          <w:tcPr>
            <w:tcW w:w="1476" w:type="dxa"/>
            <w:hideMark/>
          </w:tcPr>
          <w:p w14:paraId="70AA3BB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w:t>
            </w:r>
          </w:p>
        </w:tc>
        <w:tc>
          <w:tcPr>
            <w:tcW w:w="847" w:type="dxa"/>
            <w:hideMark/>
          </w:tcPr>
          <w:p w14:paraId="4DC0F7D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EF043A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2611E8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2DC595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A5C189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5A28960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62113CD9" w14:textId="3BEA560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16C0194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68EB5F2"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Albania / Strenghtening project of humid zones management in the Balkans for the conservation of the dalmatian Pelican</w:t>
            </w:r>
          </w:p>
        </w:tc>
        <w:tc>
          <w:tcPr>
            <w:tcW w:w="1476" w:type="dxa"/>
            <w:hideMark/>
          </w:tcPr>
          <w:p w14:paraId="1BE6DB4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w:t>
            </w:r>
          </w:p>
        </w:tc>
        <w:tc>
          <w:tcPr>
            <w:tcW w:w="847" w:type="dxa"/>
            <w:hideMark/>
          </w:tcPr>
          <w:p w14:paraId="027829B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6E5E87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D12F40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B29354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6EE5C4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1570E8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3D3FDE6" w14:textId="3AE37A6E"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5C85C0C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2967F86"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Armenia / Development of floating solar power station</w:t>
            </w:r>
          </w:p>
        </w:tc>
        <w:tc>
          <w:tcPr>
            <w:tcW w:w="1476" w:type="dxa"/>
            <w:hideMark/>
          </w:tcPr>
          <w:p w14:paraId="42A7238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794,016.00</w:t>
            </w:r>
          </w:p>
        </w:tc>
        <w:tc>
          <w:tcPr>
            <w:tcW w:w="847" w:type="dxa"/>
            <w:hideMark/>
          </w:tcPr>
          <w:p w14:paraId="2109CDF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02EC51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4AABD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4B007D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02992C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5EFD32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C852FC1" w14:textId="03C20DC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38F95E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406416"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Bangladesh / Financing of investments in renewable energy, energy efficiency and women' entrepreneurship</w:t>
            </w:r>
          </w:p>
        </w:tc>
        <w:tc>
          <w:tcPr>
            <w:tcW w:w="1476" w:type="dxa"/>
            <w:hideMark/>
          </w:tcPr>
          <w:p w14:paraId="4B4C6DC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45,000,000.00</w:t>
            </w:r>
          </w:p>
        </w:tc>
        <w:tc>
          <w:tcPr>
            <w:tcW w:w="847" w:type="dxa"/>
            <w:hideMark/>
          </w:tcPr>
          <w:p w14:paraId="4E1BE6D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F74DDB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16A94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0C1062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817174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8E425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3732642" w14:textId="3289862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167D9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677B14A"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Bangladesh / Modernisation of social programs and support to the covid-19 crisis' response</w:t>
            </w:r>
          </w:p>
        </w:tc>
        <w:tc>
          <w:tcPr>
            <w:tcW w:w="1476" w:type="dxa"/>
            <w:hideMark/>
          </w:tcPr>
          <w:p w14:paraId="48D937F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34,500,000.00</w:t>
            </w:r>
          </w:p>
        </w:tc>
        <w:tc>
          <w:tcPr>
            <w:tcW w:w="847" w:type="dxa"/>
            <w:hideMark/>
          </w:tcPr>
          <w:p w14:paraId="50445DD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9D0BE8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82AD89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EC45A5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DC9D57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30F937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(cities)</w:t>
            </w:r>
          </w:p>
        </w:tc>
        <w:tc>
          <w:tcPr>
            <w:tcW w:w="2031" w:type="dxa"/>
            <w:hideMark/>
          </w:tcPr>
          <w:p w14:paraId="479A3173" w14:textId="74F8BF7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EE8AB5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8008980"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Cambodia / Development program of rural infrastructures "RID4CAM"</w:t>
            </w:r>
          </w:p>
        </w:tc>
        <w:tc>
          <w:tcPr>
            <w:tcW w:w="1476" w:type="dxa"/>
            <w:hideMark/>
          </w:tcPr>
          <w:p w14:paraId="17A798D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50,000,000.00</w:t>
            </w:r>
          </w:p>
        </w:tc>
        <w:tc>
          <w:tcPr>
            <w:tcW w:w="847" w:type="dxa"/>
            <w:hideMark/>
          </w:tcPr>
          <w:p w14:paraId="139E5A7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D0047F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ED6166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6254D3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010503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CE1EC8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23CBB42" w14:textId="74CFB4F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8307ED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F012230"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Cambodia / Agricultural Value Chain Competitiveness and Safety Enhancement Project</w:t>
            </w:r>
          </w:p>
        </w:tc>
        <w:tc>
          <w:tcPr>
            <w:tcW w:w="1476" w:type="dxa"/>
            <w:hideMark/>
          </w:tcPr>
          <w:p w14:paraId="0989442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20,000,000.00</w:t>
            </w:r>
          </w:p>
        </w:tc>
        <w:tc>
          <w:tcPr>
            <w:tcW w:w="847" w:type="dxa"/>
            <w:hideMark/>
          </w:tcPr>
          <w:p w14:paraId="72089FA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FE0A8F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8BE347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3EE957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2E7C12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FE8E7D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5513805E" w14:textId="618A56CD"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6237A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77E34FA"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China / Ecological revitalisation in the District of Pingnan  (Fujian Province)</w:t>
            </w:r>
          </w:p>
        </w:tc>
        <w:tc>
          <w:tcPr>
            <w:tcW w:w="1476" w:type="dxa"/>
            <w:hideMark/>
          </w:tcPr>
          <w:p w14:paraId="2FC329D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16,400,000.00</w:t>
            </w:r>
          </w:p>
        </w:tc>
        <w:tc>
          <w:tcPr>
            <w:tcW w:w="847" w:type="dxa"/>
            <w:hideMark/>
          </w:tcPr>
          <w:p w14:paraId="6D2A1BB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3751A5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E7F2DC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00C066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85E98D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019B6B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58338B6" w14:textId="5604589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137547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A281EE5"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China / Ecological revitalisation in the District of Pingnan  (Fujian Province)</w:t>
            </w:r>
          </w:p>
        </w:tc>
        <w:tc>
          <w:tcPr>
            <w:tcW w:w="1476" w:type="dxa"/>
            <w:hideMark/>
          </w:tcPr>
          <w:p w14:paraId="1035EB3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2,800,000.00</w:t>
            </w:r>
          </w:p>
        </w:tc>
        <w:tc>
          <w:tcPr>
            <w:tcW w:w="847" w:type="dxa"/>
            <w:hideMark/>
          </w:tcPr>
          <w:p w14:paraId="7F8C92E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EEBF15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C979A5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F0994E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DA19D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C2A241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7B7CCC5" w14:textId="17C038F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05A2E8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AF59B4"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 xml:space="preserve">China / Energy cogeneration from agricultural and forestry biomass in the city of Xinzhou (Shanxi Province) </w:t>
            </w:r>
          </w:p>
        </w:tc>
        <w:tc>
          <w:tcPr>
            <w:tcW w:w="1476" w:type="dxa"/>
            <w:hideMark/>
          </w:tcPr>
          <w:p w14:paraId="5C11226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27,000,000.00</w:t>
            </w:r>
          </w:p>
        </w:tc>
        <w:tc>
          <w:tcPr>
            <w:tcW w:w="847" w:type="dxa"/>
            <w:hideMark/>
          </w:tcPr>
          <w:p w14:paraId="186106A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D493AF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D66F63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200341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CDBDC6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9A256A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3E2D6DF" w14:textId="4EC1885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0F50CB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EB80B9E"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Cook Islands / Financing grant of Oceanian Network of Public Health Surveillance (ROSSP in French)</w:t>
            </w:r>
          </w:p>
        </w:tc>
        <w:tc>
          <w:tcPr>
            <w:tcW w:w="1476" w:type="dxa"/>
            <w:hideMark/>
          </w:tcPr>
          <w:p w14:paraId="75A2A20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2,000,000.00</w:t>
            </w:r>
          </w:p>
        </w:tc>
        <w:tc>
          <w:tcPr>
            <w:tcW w:w="847" w:type="dxa"/>
            <w:hideMark/>
          </w:tcPr>
          <w:p w14:paraId="7B2F140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81F310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FA871B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C20799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4E4669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940DAE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181A3878" w14:textId="7796887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23945AA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F4A584"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Georgia / Improvement of floading risk prevention and water surface quality deradation in Tbilissi</w:t>
            </w:r>
          </w:p>
        </w:tc>
        <w:tc>
          <w:tcPr>
            <w:tcW w:w="1476" w:type="dxa"/>
            <w:hideMark/>
          </w:tcPr>
          <w:p w14:paraId="2B7E69C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735,095.00</w:t>
            </w:r>
          </w:p>
        </w:tc>
        <w:tc>
          <w:tcPr>
            <w:tcW w:w="847" w:type="dxa"/>
            <w:hideMark/>
          </w:tcPr>
          <w:p w14:paraId="2BADEE2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A966B1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79652A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CEDA49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3CFF91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C94B99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00A06020" w14:textId="22C26EF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89CA12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67A1C1"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Georgia / Third loan of public policy for the development of energy efficiency and reform implementation (top-up Covid)</w:t>
            </w:r>
          </w:p>
        </w:tc>
        <w:tc>
          <w:tcPr>
            <w:tcW w:w="1476" w:type="dxa"/>
            <w:hideMark/>
          </w:tcPr>
          <w:p w14:paraId="5BB50E3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120,000,000.00</w:t>
            </w:r>
          </w:p>
        </w:tc>
        <w:tc>
          <w:tcPr>
            <w:tcW w:w="847" w:type="dxa"/>
            <w:hideMark/>
          </w:tcPr>
          <w:p w14:paraId="4BF0274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720446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BED33A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5E380C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3CF6C5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77B311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C176578" w14:textId="4C426A5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77E2122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BE053D4"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India / Acquisition of a stake - energy sector</w:t>
            </w:r>
          </w:p>
        </w:tc>
        <w:tc>
          <w:tcPr>
            <w:tcW w:w="1476" w:type="dxa"/>
            <w:hideMark/>
          </w:tcPr>
          <w:p w14:paraId="07FCB7F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4,466,262.00</w:t>
            </w:r>
          </w:p>
        </w:tc>
        <w:tc>
          <w:tcPr>
            <w:tcW w:w="847" w:type="dxa"/>
            <w:hideMark/>
          </w:tcPr>
          <w:p w14:paraId="052B6C2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DE10F0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E0B3B5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3FF1504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16" w:type="dxa"/>
            <w:hideMark/>
          </w:tcPr>
          <w:p w14:paraId="27A27B0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F55B7D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679C0B1" w14:textId="2E0DB59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741F87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6DE4EEF"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India / Financing of a photovoltaic plant</w:t>
            </w:r>
          </w:p>
        </w:tc>
        <w:tc>
          <w:tcPr>
            <w:tcW w:w="1476" w:type="dxa"/>
            <w:hideMark/>
          </w:tcPr>
          <w:p w14:paraId="098703AA"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33,875,935.00</w:t>
            </w:r>
          </w:p>
        </w:tc>
        <w:tc>
          <w:tcPr>
            <w:tcW w:w="847" w:type="dxa"/>
            <w:hideMark/>
          </w:tcPr>
          <w:p w14:paraId="1BA4464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8281FF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65F970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C31E64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(Guarantee)</w:t>
            </w:r>
          </w:p>
        </w:tc>
        <w:tc>
          <w:tcPr>
            <w:tcW w:w="1016" w:type="dxa"/>
            <w:hideMark/>
          </w:tcPr>
          <w:p w14:paraId="415ADEA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61C3F0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4AAB647" w14:textId="005F250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2163C0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8948AB2"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India / Project of continuous supply of drinkable water in the city of Chandigarh</w:t>
            </w:r>
          </w:p>
        </w:tc>
        <w:tc>
          <w:tcPr>
            <w:tcW w:w="1476" w:type="dxa"/>
            <w:hideMark/>
          </w:tcPr>
          <w:p w14:paraId="7599D6F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22,080,000.00</w:t>
            </w:r>
          </w:p>
        </w:tc>
        <w:tc>
          <w:tcPr>
            <w:tcW w:w="847" w:type="dxa"/>
            <w:hideMark/>
          </w:tcPr>
          <w:p w14:paraId="29D85E6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CAB6B5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740D59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D4F1A0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EA6A1B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9979AA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68153EC7" w14:textId="2EC7F83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D0DB29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0982F3"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India / Project of continuous supply of drinkable water in the city of Chandigarh</w:t>
            </w:r>
          </w:p>
        </w:tc>
        <w:tc>
          <w:tcPr>
            <w:tcW w:w="1476" w:type="dxa"/>
            <w:hideMark/>
          </w:tcPr>
          <w:p w14:paraId="59F19D2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22,560,000.00</w:t>
            </w:r>
          </w:p>
        </w:tc>
        <w:tc>
          <w:tcPr>
            <w:tcW w:w="847" w:type="dxa"/>
            <w:hideMark/>
          </w:tcPr>
          <w:p w14:paraId="2526211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2D0D70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0D6400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662F22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CF0C96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C6BBC0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7C192E2F" w14:textId="134946B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51AD33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892BE3"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India / Public policy loan in the sector of the social protection in the framework of the Covid-19 pandemics in India</w:t>
            </w:r>
          </w:p>
        </w:tc>
        <w:tc>
          <w:tcPr>
            <w:tcW w:w="1476" w:type="dxa"/>
            <w:hideMark/>
          </w:tcPr>
          <w:p w14:paraId="466585F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w:t>
            </w:r>
          </w:p>
        </w:tc>
        <w:tc>
          <w:tcPr>
            <w:tcW w:w="847" w:type="dxa"/>
            <w:hideMark/>
          </w:tcPr>
          <w:p w14:paraId="3FD25C0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420807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EBF5A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03B942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8B08F7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87B96A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084F4BC7" w14:textId="6075D12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AFD/STOA</w:t>
            </w:r>
          </w:p>
        </w:tc>
      </w:tr>
      <w:tr w:rsidR="00927E59" w:rsidRPr="001808DF" w14:paraId="79B178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265247"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 xml:space="preserve">India / Calabria windpower farm </w:t>
            </w:r>
          </w:p>
        </w:tc>
        <w:tc>
          <w:tcPr>
            <w:tcW w:w="1476" w:type="dxa"/>
            <w:hideMark/>
          </w:tcPr>
          <w:p w14:paraId="462F517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45,000,000.00</w:t>
            </w:r>
          </w:p>
        </w:tc>
        <w:tc>
          <w:tcPr>
            <w:tcW w:w="847" w:type="dxa"/>
            <w:hideMark/>
          </w:tcPr>
          <w:p w14:paraId="2054729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2BC94B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7A33C5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4C4E2D4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16" w:type="dxa"/>
            <w:hideMark/>
          </w:tcPr>
          <w:p w14:paraId="6E2C7AD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B72BB0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B7E5C8E" w14:textId="49744ED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E07BE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7AA394"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Indonesia / KRisNA - capacity building  of Indonesian oceanographic research project</w:t>
            </w:r>
          </w:p>
        </w:tc>
        <w:tc>
          <w:tcPr>
            <w:tcW w:w="1476" w:type="dxa"/>
            <w:hideMark/>
          </w:tcPr>
          <w:p w14:paraId="03E2246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43,200,000.00</w:t>
            </w:r>
          </w:p>
        </w:tc>
        <w:tc>
          <w:tcPr>
            <w:tcW w:w="847" w:type="dxa"/>
            <w:hideMark/>
          </w:tcPr>
          <w:p w14:paraId="159A7F3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3105DD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5ECE5A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C33551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854454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3F15F5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DE2BA08" w14:textId="6839B25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2322FD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2A600B"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Indonesia / KRisNA - capacity building  of Indonesian oceanographic research project</w:t>
            </w:r>
          </w:p>
        </w:tc>
        <w:tc>
          <w:tcPr>
            <w:tcW w:w="1476" w:type="dxa"/>
            <w:hideMark/>
          </w:tcPr>
          <w:p w14:paraId="16B3493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64,800,000.00</w:t>
            </w:r>
          </w:p>
        </w:tc>
        <w:tc>
          <w:tcPr>
            <w:tcW w:w="847" w:type="dxa"/>
            <w:hideMark/>
          </w:tcPr>
          <w:p w14:paraId="770C4D7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E04DEE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BE8AD9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85974D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AE4524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434E5C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C5FCC6C" w14:textId="24A9C9A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18F99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A6308F4"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Indonesia / Program to strengthen resilience against natural disasters (PrPP DREAM: Disaster Risk Enhancement and Management Programme)</w:t>
            </w:r>
          </w:p>
        </w:tc>
        <w:tc>
          <w:tcPr>
            <w:tcW w:w="1476" w:type="dxa"/>
            <w:hideMark/>
          </w:tcPr>
          <w:p w14:paraId="645B400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77,000,000.00</w:t>
            </w:r>
          </w:p>
        </w:tc>
        <w:tc>
          <w:tcPr>
            <w:tcW w:w="847" w:type="dxa"/>
            <w:hideMark/>
          </w:tcPr>
          <w:p w14:paraId="1BB4EA2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6885D5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871DE1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3632D5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ECF59E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3B8604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(disaster Risk)</w:t>
            </w:r>
          </w:p>
        </w:tc>
        <w:tc>
          <w:tcPr>
            <w:tcW w:w="2031" w:type="dxa"/>
            <w:hideMark/>
          </w:tcPr>
          <w:p w14:paraId="1351BB6A" w14:textId="116BA7C1"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07ACE3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D0125C9"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Indonesia / Public policy Loan for resilience strenghtening of Indonesian financial system</w:t>
            </w:r>
          </w:p>
        </w:tc>
        <w:tc>
          <w:tcPr>
            <w:tcW w:w="1476" w:type="dxa"/>
            <w:hideMark/>
          </w:tcPr>
          <w:p w14:paraId="701358C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13,900,000.00</w:t>
            </w:r>
          </w:p>
        </w:tc>
        <w:tc>
          <w:tcPr>
            <w:tcW w:w="847" w:type="dxa"/>
            <w:hideMark/>
          </w:tcPr>
          <w:p w14:paraId="31418C1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AA7C7B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1A47E6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E9242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C1F8F6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1CDAA4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A0943CC" w14:textId="6ADDAFC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10A11A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244E28E"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Indonesia / Public policy Loan for resilience strenghtening of Indonesian financial system</w:t>
            </w:r>
          </w:p>
        </w:tc>
        <w:tc>
          <w:tcPr>
            <w:tcW w:w="1476" w:type="dxa"/>
            <w:hideMark/>
          </w:tcPr>
          <w:p w14:paraId="27B4104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2,800,000.00</w:t>
            </w:r>
          </w:p>
        </w:tc>
        <w:tc>
          <w:tcPr>
            <w:tcW w:w="847" w:type="dxa"/>
            <w:hideMark/>
          </w:tcPr>
          <w:p w14:paraId="41E0EC4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CD4929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2081DD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C6CC40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3A9FA7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AFB909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FE78C9B" w14:textId="11DDA23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3BF7C4E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A5399D2"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Jordan / Partial refinancing - waste water treatment</w:t>
            </w:r>
          </w:p>
        </w:tc>
        <w:tc>
          <w:tcPr>
            <w:tcW w:w="1476" w:type="dxa"/>
            <w:hideMark/>
          </w:tcPr>
          <w:p w14:paraId="6440CDA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28,676,405.00</w:t>
            </w:r>
          </w:p>
        </w:tc>
        <w:tc>
          <w:tcPr>
            <w:tcW w:w="847" w:type="dxa"/>
            <w:hideMark/>
          </w:tcPr>
          <w:p w14:paraId="251E5AA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887BFF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ADC024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5513E2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8CB4E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1A8A35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4344A842" w14:textId="11A58A1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E04F4B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4A3627"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Jordan / Sanitation project in the region of Ramtha and Sahel Houran</w:t>
            </w:r>
          </w:p>
        </w:tc>
        <w:tc>
          <w:tcPr>
            <w:tcW w:w="1476" w:type="dxa"/>
            <w:hideMark/>
          </w:tcPr>
          <w:p w14:paraId="590C344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10,000,000.00</w:t>
            </w:r>
          </w:p>
        </w:tc>
        <w:tc>
          <w:tcPr>
            <w:tcW w:w="847" w:type="dxa"/>
            <w:hideMark/>
          </w:tcPr>
          <w:p w14:paraId="443E9E4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149CCE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746709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45B27C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812CB8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4179F2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3941D7EA" w14:textId="0BBD723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8290D7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F2BE51F"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Jordan / Sanitation project in the region of Ramtha and Sahel Houran</w:t>
            </w:r>
          </w:p>
        </w:tc>
        <w:tc>
          <w:tcPr>
            <w:tcW w:w="1476" w:type="dxa"/>
            <w:hideMark/>
          </w:tcPr>
          <w:p w14:paraId="2201A04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10,000,000.00</w:t>
            </w:r>
          </w:p>
        </w:tc>
        <w:tc>
          <w:tcPr>
            <w:tcW w:w="847" w:type="dxa"/>
            <w:hideMark/>
          </w:tcPr>
          <w:p w14:paraId="336F226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987BC5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751E15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B3E071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5A1EFD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079FA3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02801EC5" w14:textId="16D44FC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8A60FE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9F53910"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Jordan / Support to the mobility and urban transport of Grand Amman Municipality: proceedng of financing of BRT (Bus Rapid Transit) Network</w:t>
            </w:r>
          </w:p>
        </w:tc>
        <w:tc>
          <w:tcPr>
            <w:tcW w:w="1476" w:type="dxa"/>
            <w:hideMark/>
          </w:tcPr>
          <w:p w14:paraId="3F9AEE3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50,000,000.00</w:t>
            </w:r>
          </w:p>
        </w:tc>
        <w:tc>
          <w:tcPr>
            <w:tcW w:w="847" w:type="dxa"/>
            <w:hideMark/>
          </w:tcPr>
          <w:p w14:paraId="35B0EB7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F46EB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EB93C9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355865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310185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B81AB4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38957493" w14:textId="6F1EBEF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810571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BC1AD4"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Jordan / Smart development of eco-friendly solutions and economic regional agricultural techniques (Smart Desert)</w:t>
            </w:r>
          </w:p>
        </w:tc>
        <w:tc>
          <w:tcPr>
            <w:tcW w:w="1476" w:type="dxa"/>
            <w:hideMark/>
          </w:tcPr>
          <w:p w14:paraId="4C5E2D0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7,500,000.00</w:t>
            </w:r>
          </w:p>
        </w:tc>
        <w:tc>
          <w:tcPr>
            <w:tcW w:w="847" w:type="dxa"/>
            <w:hideMark/>
          </w:tcPr>
          <w:p w14:paraId="53F242A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FF4DE9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00BDE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250D17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17F7FF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35C1A9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5F75DF9C" w14:textId="31C02F8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7DD6DA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E8D02A"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LAOS / Project of sustainable management in micro-watershed plans in the North of Laos (SWAN Laos)</w:t>
            </w:r>
          </w:p>
        </w:tc>
        <w:tc>
          <w:tcPr>
            <w:tcW w:w="1476" w:type="dxa"/>
            <w:hideMark/>
          </w:tcPr>
          <w:p w14:paraId="3F869C7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4,500,000.00</w:t>
            </w:r>
          </w:p>
        </w:tc>
        <w:tc>
          <w:tcPr>
            <w:tcW w:w="847" w:type="dxa"/>
            <w:hideMark/>
          </w:tcPr>
          <w:p w14:paraId="2A2C9C4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C751C7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3D23A6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3166EB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EA1FCE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77114D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383A83C2" w14:textId="5DC9741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168AF95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4C4D179"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LAOS / Sustainable management project of Nyot Ou Land: Soil protection and support to tea producers</w:t>
            </w:r>
          </w:p>
        </w:tc>
        <w:tc>
          <w:tcPr>
            <w:tcW w:w="1476" w:type="dxa"/>
            <w:hideMark/>
          </w:tcPr>
          <w:p w14:paraId="4DA4EA1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155,000.00</w:t>
            </w:r>
          </w:p>
        </w:tc>
        <w:tc>
          <w:tcPr>
            <w:tcW w:w="847" w:type="dxa"/>
            <w:hideMark/>
          </w:tcPr>
          <w:p w14:paraId="4AB4899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B0EF93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87A7B0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DCEBE8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F6FBB4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C7046D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A5B95B5" w14:textId="2029C93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6CC969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8BC44F"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LAOS / Sustainable management project of Nyot Ou Land: Soil protection and support to tea producers</w:t>
            </w:r>
          </w:p>
        </w:tc>
        <w:tc>
          <w:tcPr>
            <w:tcW w:w="1476" w:type="dxa"/>
            <w:hideMark/>
          </w:tcPr>
          <w:p w14:paraId="48F6FEC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155,000.00</w:t>
            </w:r>
          </w:p>
        </w:tc>
        <w:tc>
          <w:tcPr>
            <w:tcW w:w="847" w:type="dxa"/>
            <w:hideMark/>
          </w:tcPr>
          <w:p w14:paraId="4698669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FA584D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BE5932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14B2CB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BFF318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81C326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5CC781BF" w14:textId="7DED11AD"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50375B0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EBFEFE"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Lebanon / Caracterization and recyling of  waste for reconstruction</w:t>
            </w:r>
          </w:p>
        </w:tc>
        <w:tc>
          <w:tcPr>
            <w:tcW w:w="1476" w:type="dxa"/>
            <w:hideMark/>
          </w:tcPr>
          <w:p w14:paraId="49A207F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328,000.00</w:t>
            </w:r>
          </w:p>
        </w:tc>
        <w:tc>
          <w:tcPr>
            <w:tcW w:w="847" w:type="dxa"/>
            <w:hideMark/>
          </w:tcPr>
          <w:p w14:paraId="6817DF8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6E7073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80DE77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876539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E71B60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B5FF84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(waste Management)</w:t>
            </w:r>
          </w:p>
        </w:tc>
        <w:tc>
          <w:tcPr>
            <w:tcW w:w="2031" w:type="dxa"/>
            <w:hideMark/>
          </w:tcPr>
          <w:p w14:paraId="7BC503FF" w14:textId="5080D3F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82B642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6ABEC16"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Lebanon / Structuration of the drinkable water and sanitation service at Ersaal and Valley</w:t>
            </w:r>
          </w:p>
        </w:tc>
        <w:tc>
          <w:tcPr>
            <w:tcW w:w="1476" w:type="dxa"/>
            <w:hideMark/>
          </w:tcPr>
          <w:p w14:paraId="3C8D124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11,288,000.00</w:t>
            </w:r>
          </w:p>
        </w:tc>
        <w:tc>
          <w:tcPr>
            <w:tcW w:w="847" w:type="dxa"/>
            <w:hideMark/>
          </w:tcPr>
          <w:p w14:paraId="0B04468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E127D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65693B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26E50B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D1C3A6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EF94FC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7D76F895" w14:textId="1389E18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13AF35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AE78CD"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Lebanon / Structuration of the drinkable water and sanitation service at Ersaal and Valley</w:t>
            </w:r>
          </w:p>
        </w:tc>
        <w:tc>
          <w:tcPr>
            <w:tcW w:w="1476" w:type="dxa"/>
            <w:hideMark/>
          </w:tcPr>
          <w:p w14:paraId="275D064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1,162,000.00</w:t>
            </w:r>
          </w:p>
        </w:tc>
        <w:tc>
          <w:tcPr>
            <w:tcW w:w="847" w:type="dxa"/>
            <w:hideMark/>
          </w:tcPr>
          <w:p w14:paraId="36C66EF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59AE04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19ADDA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D35619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3EE0AF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E2689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477BBE29" w14:textId="4CD7BF9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A7DE8E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D968FF8"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Lebanon / I. MO Disaster Risk Reduction Lebanon</w:t>
            </w:r>
          </w:p>
        </w:tc>
        <w:tc>
          <w:tcPr>
            <w:tcW w:w="1476" w:type="dxa"/>
            <w:hideMark/>
          </w:tcPr>
          <w:p w14:paraId="141E1A0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9,600,000.00</w:t>
            </w:r>
          </w:p>
        </w:tc>
        <w:tc>
          <w:tcPr>
            <w:tcW w:w="847" w:type="dxa"/>
            <w:hideMark/>
          </w:tcPr>
          <w:p w14:paraId="61D8440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0B7563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473CF0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9DB19B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5763BD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3E2E0D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31D8F00D" w14:textId="78A3615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15591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B5DD3DD"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Lebanon / I. MO Disaster Risk Reduction Lebanon</w:t>
            </w:r>
          </w:p>
        </w:tc>
        <w:tc>
          <w:tcPr>
            <w:tcW w:w="1476" w:type="dxa"/>
            <w:hideMark/>
          </w:tcPr>
          <w:p w14:paraId="5995CA9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2,494,475.00</w:t>
            </w:r>
          </w:p>
        </w:tc>
        <w:tc>
          <w:tcPr>
            <w:tcW w:w="847" w:type="dxa"/>
            <w:hideMark/>
          </w:tcPr>
          <w:p w14:paraId="6289955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333E57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8F676B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72355A0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3CC32B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BC32EF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19EC8275" w14:textId="218ED16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EE18F4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AC810A" w14:textId="77777777" w:rsidR="00927E59" w:rsidRPr="00342CBD" w:rsidRDefault="00927E59" w:rsidP="00927E59">
            <w:pPr>
              <w:ind w:firstLineChars="100" w:firstLine="181"/>
              <w:jc w:val="left"/>
              <w:rPr>
                <w:rFonts w:ascii="Times New Roman" w:hAnsi="Times New Roman"/>
                <w:color w:val="000000"/>
                <w:sz w:val="18"/>
                <w:szCs w:val="18"/>
                <w:lang w:val="en-GB"/>
              </w:rPr>
            </w:pPr>
            <w:r w:rsidRPr="00342CBD">
              <w:rPr>
                <w:rFonts w:ascii="Times New Roman" w:hAnsi="Times New Roman"/>
                <w:sz w:val="18"/>
                <w:szCs w:val="18"/>
                <w:lang w:val="en-GB"/>
              </w:rPr>
              <w:t>Lebanon / I. MO Disaster Risk Reduction Lebanon</w:t>
            </w:r>
          </w:p>
        </w:tc>
        <w:tc>
          <w:tcPr>
            <w:tcW w:w="1476" w:type="dxa"/>
            <w:hideMark/>
          </w:tcPr>
          <w:p w14:paraId="76DF3A5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1,500,000.00</w:t>
            </w:r>
          </w:p>
        </w:tc>
        <w:tc>
          <w:tcPr>
            <w:tcW w:w="847" w:type="dxa"/>
            <w:hideMark/>
          </w:tcPr>
          <w:p w14:paraId="6CCF0AE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DE2295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858DE5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455E95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EE4E07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D83B10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702B7983" w14:textId="6986C1B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5CF939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43486D"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Lebanon / I. MO OICC Support to the NGO "Arc-en-ciel" (in French) or Rainbow</w:t>
            </w:r>
          </w:p>
        </w:tc>
        <w:tc>
          <w:tcPr>
            <w:tcW w:w="1476" w:type="dxa"/>
            <w:hideMark/>
          </w:tcPr>
          <w:p w14:paraId="363E541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210,000.00</w:t>
            </w:r>
          </w:p>
        </w:tc>
        <w:tc>
          <w:tcPr>
            <w:tcW w:w="847" w:type="dxa"/>
            <w:hideMark/>
          </w:tcPr>
          <w:p w14:paraId="102BDB2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D8446B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69A57A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A21E59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17244C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7C5354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03999401" w14:textId="45AEBD6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736B4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75EB46D"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Lebanon / Rehabilitation of a public hospital of Quarantine in Beyrouth</w:t>
            </w:r>
          </w:p>
        </w:tc>
        <w:tc>
          <w:tcPr>
            <w:tcW w:w="1476" w:type="dxa"/>
            <w:hideMark/>
          </w:tcPr>
          <w:p w14:paraId="073CBF9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w:t>
            </w:r>
          </w:p>
        </w:tc>
        <w:tc>
          <w:tcPr>
            <w:tcW w:w="847" w:type="dxa"/>
            <w:hideMark/>
          </w:tcPr>
          <w:p w14:paraId="408E153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5CFA16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970243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E2A417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61EA39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076892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E78B14C" w14:textId="5A34F8A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C</w:t>
            </w:r>
          </w:p>
        </w:tc>
      </w:tr>
      <w:tr w:rsidR="00927E59" w:rsidRPr="001808DF" w14:paraId="0D65934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8C2466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Malaysia / ClimaTe Resilient lAndscapes for wildLife conservation</w:t>
            </w:r>
          </w:p>
        </w:tc>
        <w:tc>
          <w:tcPr>
            <w:tcW w:w="1476" w:type="dxa"/>
            <w:hideMark/>
          </w:tcPr>
          <w:p w14:paraId="2012DC7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327,000.00</w:t>
            </w:r>
          </w:p>
        </w:tc>
        <w:tc>
          <w:tcPr>
            <w:tcW w:w="847" w:type="dxa"/>
            <w:hideMark/>
          </w:tcPr>
          <w:p w14:paraId="0EA0AA4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4B158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2AE8FC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DCFEC1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CA1EE4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3B3FCAA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194F2C5C" w14:textId="64F7FB6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Treasury loan</w:t>
            </w:r>
          </w:p>
        </w:tc>
      </w:tr>
      <w:tr w:rsidR="00927E59" w:rsidRPr="001808DF" w14:paraId="462E955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CFB3B5"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Mongolia / Construction of transport by urban cable</w:t>
            </w:r>
          </w:p>
        </w:tc>
        <w:tc>
          <w:tcPr>
            <w:tcW w:w="1476" w:type="dxa"/>
            <w:hideMark/>
          </w:tcPr>
          <w:p w14:paraId="172DE0F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60,700,000.00</w:t>
            </w:r>
          </w:p>
        </w:tc>
        <w:tc>
          <w:tcPr>
            <w:tcW w:w="847" w:type="dxa"/>
            <w:hideMark/>
          </w:tcPr>
          <w:p w14:paraId="561C8F7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0B8AE5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805C90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0FCED1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21FD73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A8FD5E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5B0E1453" w14:textId="2F00E47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0DD012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423CE46"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Montenegro / Support to project financing Climate and Sustainability in Montenegro</w:t>
            </w:r>
          </w:p>
        </w:tc>
        <w:tc>
          <w:tcPr>
            <w:tcW w:w="1476" w:type="dxa"/>
            <w:hideMark/>
          </w:tcPr>
          <w:p w14:paraId="6CAD189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w:t>
            </w:r>
          </w:p>
        </w:tc>
        <w:tc>
          <w:tcPr>
            <w:tcW w:w="847" w:type="dxa"/>
            <w:hideMark/>
          </w:tcPr>
          <w:p w14:paraId="4795256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FC9DF6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E8B4DB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131A8F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92C081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940081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08835192" w14:textId="3E19AFB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C9F77E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9819746"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Montenegro / Support to project financing Climate and Sustainability in Montenegro</w:t>
            </w:r>
          </w:p>
        </w:tc>
        <w:tc>
          <w:tcPr>
            <w:tcW w:w="1476" w:type="dxa"/>
            <w:hideMark/>
          </w:tcPr>
          <w:p w14:paraId="6B95200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25,000,000.00</w:t>
            </w:r>
          </w:p>
        </w:tc>
        <w:tc>
          <w:tcPr>
            <w:tcW w:w="847" w:type="dxa"/>
            <w:hideMark/>
          </w:tcPr>
          <w:p w14:paraId="52FBD22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1BA72B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8CEDD8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316174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186F8D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20472D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6FB5CDA7" w14:textId="4B2047D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75890BD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CC73D9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Nepal / Integrated project for global reconstruction - phase 3</w:t>
            </w:r>
          </w:p>
        </w:tc>
        <w:tc>
          <w:tcPr>
            <w:tcW w:w="1476" w:type="dxa"/>
            <w:hideMark/>
          </w:tcPr>
          <w:p w14:paraId="0291D86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w:t>
            </w:r>
          </w:p>
        </w:tc>
        <w:tc>
          <w:tcPr>
            <w:tcW w:w="847" w:type="dxa"/>
            <w:hideMark/>
          </w:tcPr>
          <w:p w14:paraId="3028345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16D0C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F7272C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4A941A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C47D6C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B07F5A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B67BB4C" w14:textId="579BD25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B41C67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598A1B5"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Pakistan / Urban and touristic development in Fort of Lahort and surroundings</w:t>
            </w:r>
          </w:p>
        </w:tc>
        <w:tc>
          <w:tcPr>
            <w:tcW w:w="1476" w:type="dxa"/>
            <w:hideMark/>
          </w:tcPr>
          <w:p w14:paraId="6B806BC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11,660,000.00</w:t>
            </w:r>
          </w:p>
        </w:tc>
        <w:tc>
          <w:tcPr>
            <w:tcW w:w="847" w:type="dxa"/>
            <w:hideMark/>
          </w:tcPr>
          <w:p w14:paraId="38B4898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10C521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0B6EF1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14FFF77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AC4691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BFF81C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(urban Development)</w:t>
            </w:r>
          </w:p>
        </w:tc>
        <w:tc>
          <w:tcPr>
            <w:tcW w:w="2031" w:type="dxa"/>
            <w:hideMark/>
          </w:tcPr>
          <w:p w14:paraId="34235A08" w14:textId="5C34CC5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2C063A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6789BD"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Pakistan / Hydroelectric plant of Keyal Khwar</w:t>
            </w:r>
          </w:p>
        </w:tc>
        <w:tc>
          <w:tcPr>
            <w:tcW w:w="1476" w:type="dxa"/>
            <w:hideMark/>
          </w:tcPr>
          <w:p w14:paraId="601BEE9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120,000,000.00</w:t>
            </w:r>
          </w:p>
        </w:tc>
        <w:tc>
          <w:tcPr>
            <w:tcW w:w="847" w:type="dxa"/>
            <w:hideMark/>
          </w:tcPr>
          <w:p w14:paraId="2A9C723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ED688A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744BB3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2CE28C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A00572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A1C57B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C5E250E" w14:textId="4665A8A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F50DA0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9BACD4A"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Pakistan / Partial restoration of Clean Access Energy project</w:t>
            </w:r>
          </w:p>
        </w:tc>
        <w:tc>
          <w:tcPr>
            <w:tcW w:w="1476" w:type="dxa"/>
            <w:hideMark/>
          </w:tcPr>
          <w:p w14:paraId="2E62536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19,100,000.00</w:t>
            </w:r>
          </w:p>
        </w:tc>
        <w:tc>
          <w:tcPr>
            <w:tcW w:w="847" w:type="dxa"/>
            <w:hideMark/>
          </w:tcPr>
          <w:p w14:paraId="0D26166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936E0B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95777C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B9B59C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1CFCF2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C4AFD4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3E3A580" w14:textId="5EF3C73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4C3D29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BC8C657"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PALESTINIAN AUTONOMOUS TERRITORIES / Support to East-Jerusalem for its identity and resilience (AJIR)</w:t>
            </w:r>
          </w:p>
        </w:tc>
        <w:tc>
          <w:tcPr>
            <w:tcW w:w="1476" w:type="dxa"/>
            <w:hideMark/>
          </w:tcPr>
          <w:p w14:paraId="306DA6E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320,000.00</w:t>
            </w:r>
          </w:p>
        </w:tc>
        <w:tc>
          <w:tcPr>
            <w:tcW w:w="847" w:type="dxa"/>
            <w:hideMark/>
          </w:tcPr>
          <w:p w14:paraId="79A81D8A"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182377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B976FB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BA6310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1B48A9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63514D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2D6DB4F4" w14:textId="3524A14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0CE61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7732F3E"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PALESTINIAN AUTONOMOUS TERRITORIES / Support to East-Jerusalem for its identity and resilience (AJIR)</w:t>
            </w:r>
          </w:p>
        </w:tc>
        <w:tc>
          <w:tcPr>
            <w:tcW w:w="1476" w:type="dxa"/>
            <w:hideMark/>
          </w:tcPr>
          <w:p w14:paraId="28E83A7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320,000.00</w:t>
            </w:r>
          </w:p>
        </w:tc>
        <w:tc>
          <w:tcPr>
            <w:tcW w:w="847" w:type="dxa"/>
            <w:hideMark/>
          </w:tcPr>
          <w:p w14:paraId="7016972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DB1A36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2D6D0E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6182A7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8230D0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3B8671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0456CBA0" w14:textId="51AFF7F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A249D7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87FB4C2"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PALESTINIAN AUTONOMOUS TERRITORIES / Contribution to the project "Gaza Central Desalination Plant and Associated Works Program" (GCDP &amp; AWP) through WB fiduciary funds for associated works</w:t>
            </w:r>
          </w:p>
        </w:tc>
        <w:tc>
          <w:tcPr>
            <w:tcW w:w="1476" w:type="dxa"/>
            <w:hideMark/>
          </w:tcPr>
          <w:p w14:paraId="36464BF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4,180,000.00</w:t>
            </w:r>
          </w:p>
        </w:tc>
        <w:tc>
          <w:tcPr>
            <w:tcW w:w="847" w:type="dxa"/>
            <w:hideMark/>
          </w:tcPr>
          <w:p w14:paraId="41DD4C9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1D06BD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3C4E96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43BAC6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052A36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D54273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20709584" w14:textId="44FD1BAD"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E42BC0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BA37D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PALESTINIAN AUTONOMOUS TERRITORIES / Complementary financing to "Municipal Development Programme" of MDLF to support local authorities in their response to the effects of covid-19 pandemics</w:t>
            </w:r>
          </w:p>
        </w:tc>
        <w:tc>
          <w:tcPr>
            <w:tcW w:w="1476" w:type="dxa"/>
            <w:hideMark/>
          </w:tcPr>
          <w:p w14:paraId="47FC5FB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420,000.00</w:t>
            </w:r>
          </w:p>
        </w:tc>
        <w:tc>
          <w:tcPr>
            <w:tcW w:w="847" w:type="dxa"/>
            <w:hideMark/>
          </w:tcPr>
          <w:p w14:paraId="37F09C9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4B40DA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A7D378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0C8312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B12695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C6086C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2E1F350B" w14:textId="6752C6B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60030FD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34ABB0"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Philippines / Extenion/cable transport in Manilla</w:t>
            </w:r>
          </w:p>
        </w:tc>
        <w:tc>
          <w:tcPr>
            <w:tcW w:w="1476" w:type="dxa"/>
            <w:hideMark/>
          </w:tcPr>
          <w:p w14:paraId="3CAB7A0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w:t>
            </w:r>
          </w:p>
        </w:tc>
        <w:tc>
          <w:tcPr>
            <w:tcW w:w="847" w:type="dxa"/>
            <w:hideMark/>
          </w:tcPr>
          <w:p w14:paraId="1975E28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A80D39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B41898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C4561F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CCD53B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C10A84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2613C897" w14:textId="64257AB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4AA82B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08278EC"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Serbia / Demonstrator of a virtual natural reserve to sensitize populations to biodiversity preservation</w:t>
            </w:r>
          </w:p>
        </w:tc>
        <w:tc>
          <w:tcPr>
            <w:tcW w:w="1476" w:type="dxa"/>
            <w:hideMark/>
          </w:tcPr>
          <w:p w14:paraId="5865F82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475,425.00</w:t>
            </w:r>
          </w:p>
        </w:tc>
        <w:tc>
          <w:tcPr>
            <w:tcW w:w="847" w:type="dxa"/>
            <w:hideMark/>
          </w:tcPr>
          <w:p w14:paraId="5AEF060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EC81EE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E56594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1AB34E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01992E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02593F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(biodiversity)</w:t>
            </w:r>
          </w:p>
        </w:tc>
        <w:tc>
          <w:tcPr>
            <w:tcW w:w="2031" w:type="dxa"/>
            <w:hideMark/>
          </w:tcPr>
          <w:p w14:paraId="1CAA41BA" w14:textId="2432D45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71F5DCD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09E75AA"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Serbia / SME financing and green loans</w:t>
            </w:r>
          </w:p>
        </w:tc>
        <w:tc>
          <w:tcPr>
            <w:tcW w:w="1476" w:type="dxa"/>
            <w:hideMark/>
          </w:tcPr>
          <w:p w14:paraId="4A14BAB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13,500,000.00</w:t>
            </w:r>
          </w:p>
        </w:tc>
        <w:tc>
          <w:tcPr>
            <w:tcW w:w="847" w:type="dxa"/>
            <w:hideMark/>
          </w:tcPr>
          <w:p w14:paraId="184D0FE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F66B9B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2EFD4A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45BD304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05F2F7E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51E3CE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041342C9" w14:textId="6206E9C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C</w:t>
            </w:r>
          </w:p>
        </w:tc>
      </w:tr>
      <w:tr w:rsidR="00927E59" w:rsidRPr="001808DF" w14:paraId="2DCF74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025999F"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Sri Lanka / Infrastructure and coastal change management in the South and East of Sri Lanka</w:t>
            </w:r>
          </w:p>
        </w:tc>
        <w:tc>
          <w:tcPr>
            <w:tcW w:w="1476" w:type="dxa"/>
            <w:hideMark/>
          </w:tcPr>
          <w:p w14:paraId="3D830BC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w:t>
            </w:r>
          </w:p>
        </w:tc>
        <w:tc>
          <w:tcPr>
            <w:tcW w:w="847" w:type="dxa"/>
            <w:hideMark/>
          </w:tcPr>
          <w:p w14:paraId="6766BE4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B9ED03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6A66B5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9713D5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84A8CF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2F0FBF3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0A27A41C" w14:textId="2B04675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3D14A34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BCEF84"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Vanuatu / Implementation of an integrated solution of waste management</w:t>
            </w:r>
          </w:p>
        </w:tc>
        <w:tc>
          <w:tcPr>
            <w:tcW w:w="1476" w:type="dxa"/>
            <w:hideMark/>
          </w:tcPr>
          <w:p w14:paraId="0D3D516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420,040.00</w:t>
            </w:r>
          </w:p>
        </w:tc>
        <w:tc>
          <w:tcPr>
            <w:tcW w:w="847" w:type="dxa"/>
            <w:hideMark/>
          </w:tcPr>
          <w:p w14:paraId="04699E7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2F0E2D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E3C3BD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7D13F4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174CD1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8ED175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(waste Management)</w:t>
            </w:r>
          </w:p>
        </w:tc>
        <w:tc>
          <w:tcPr>
            <w:tcW w:w="2031" w:type="dxa"/>
            <w:hideMark/>
          </w:tcPr>
          <w:p w14:paraId="6AA45318" w14:textId="3B38BEF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4920867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BC983CF"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VIETNAM / NAGIS - National Geographic Information System in support of sustainable management of aquacol sector resistant to the effects of climate change</w:t>
            </w:r>
          </w:p>
        </w:tc>
        <w:tc>
          <w:tcPr>
            <w:tcW w:w="1476" w:type="dxa"/>
            <w:hideMark/>
          </w:tcPr>
          <w:p w14:paraId="5CD276F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606,887.00</w:t>
            </w:r>
          </w:p>
        </w:tc>
        <w:tc>
          <w:tcPr>
            <w:tcW w:w="847" w:type="dxa"/>
            <w:hideMark/>
          </w:tcPr>
          <w:p w14:paraId="1129ADC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6FB936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C531C3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B6ECB4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479B73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C7690F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7BA37731" w14:textId="1A935DE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9C1D31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D454A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VIETNAM / Green credit line with BIDV</w:t>
            </w:r>
          </w:p>
        </w:tc>
        <w:tc>
          <w:tcPr>
            <w:tcW w:w="1476" w:type="dxa"/>
            <w:hideMark/>
          </w:tcPr>
          <w:p w14:paraId="0FBFA1E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88,566,115.00</w:t>
            </w:r>
          </w:p>
        </w:tc>
        <w:tc>
          <w:tcPr>
            <w:tcW w:w="847" w:type="dxa"/>
            <w:hideMark/>
          </w:tcPr>
          <w:p w14:paraId="45B390E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4CAFAA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9FDF75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F0679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6816C1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E1BADA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6E0D115" w14:textId="06297D0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652ABCD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CB151C"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VIETNAM / Senior loan to a bank for green projects financing</w:t>
            </w:r>
          </w:p>
        </w:tc>
        <w:tc>
          <w:tcPr>
            <w:tcW w:w="1476" w:type="dxa"/>
            <w:hideMark/>
          </w:tcPr>
          <w:p w14:paraId="28F5962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13,833,810.00</w:t>
            </w:r>
          </w:p>
        </w:tc>
        <w:tc>
          <w:tcPr>
            <w:tcW w:w="847" w:type="dxa"/>
            <w:hideMark/>
          </w:tcPr>
          <w:p w14:paraId="708E653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1CD729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1B166D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6DC22B9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4D0F9E5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B396E8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155125FB" w14:textId="22EFBFB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37E826A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39C4A58"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VIETNAM / Portfolio financing of green credits</w:t>
            </w:r>
          </w:p>
        </w:tc>
        <w:tc>
          <w:tcPr>
            <w:tcW w:w="1476" w:type="dxa"/>
            <w:hideMark/>
          </w:tcPr>
          <w:p w14:paraId="0DDCE69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42,376,473.00</w:t>
            </w:r>
          </w:p>
        </w:tc>
        <w:tc>
          <w:tcPr>
            <w:tcW w:w="847" w:type="dxa"/>
            <w:hideMark/>
          </w:tcPr>
          <w:p w14:paraId="6E85FEE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591910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C76A08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4DF917B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6810661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82904D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38ABF524" w14:textId="68E780B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F6E8FB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02037A0"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VIETNAM / Energy Transition Partnership</w:t>
            </w:r>
          </w:p>
        </w:tc>
        <w:tc>
          <w:tcPr>
            <w:tcW w:w="1476" w:type="dxa"/>
            <w:hideMark/>
          </w:tcPr>
          <w:p w14:paraId="4F02D63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2,500,000.00</w:t>
            </w:r>
          </w:p>
        </w:tc>
        <w:tc>
          <w:tcPr>
            <w:tcW w:w="847" w:type="dxa"/>
            <w:hideMark/>
          </w:tcPr>
          <w:p w14:paraId="3AE17ED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7CC873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C6BA21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836423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4972D8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6BB07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00CA04E" w14:textId="1CC5FE7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CE4600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F8C9FA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VIETNAM / Support to Mekong River Commission</w:t>
            </w:r>
          </w:p>
        </w:tc>
        <w:tc>
          <w:tcPr>
            <w:tcW w:w="1476" w:type="dxa"/>
            <w:hideMark/>
          </w:tcPr>
          <w:p w14:paraId="00D65FC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1,500,000.00</w:t>
            </w:r>
          </w:p>
        </w:tc>
        <w:tc>
          <w:tcPr>
            <w:tcW w:w="847" w:type="dxa"/>
            <w:hideMark/>
          </w:tcPr>
          <w:p w14:paraId="3B261EE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07C5F2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E5C562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7620C5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77FDD9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F64B2F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2533522D" w14:textId="72E6048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4646CB8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04440DD"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Uzbekistan / Financing of a 100 MW solar plant</w:t>
            </w:r>
          </w:p>
        </w:tc>
        <w:tc>
          <w:tcPr>
            <w:tcW w:w="1476" w:type="dxa"/>
            <w:hideMark/>
          </w:tcPr>
          <w:p w14:paraId="757915B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39,000,000.00</w:t>
            </w:r>
          </w:p>
        </w:tc>
        <w:tc>
          <w:tcPr>
            <w:tcW w:w="847" w:type="dxa"/>
            <w:hideMark/>
          </w:tcPr>
          <w:p w14:paraId="414390A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811624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DF3670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6DC4445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D7EC4C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34FD3D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487EDF3C" w14:textId="44447695"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350C49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F9CB0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Uzbekistan / Financing of a 100 MW solar plant</w:t>
            </w:r>
          </w:p>
        </w:tc>
        <w:tc>
          <w:tcPr>
            <w:tcW w:w="1476" w:type="dxa"/>
            <w:hideMark/>
          </w:tcPr>
          <w:p w14:paraId="1DEDFFF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3,500,000.00</w:t>
            </w:r>
          </w:p>
        </w:tc>
        <w:tc>
          <w:tcPr>
            <w:tcW w:w="847" w:type="dxa"/>
            <w:hideMark/>
          </w:tcPr>
          <w:p w14:paraId="4E808FD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51A723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29D46C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76B232F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2D59F75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F7179E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F5F45F9" w14:textId="5BA61BDF"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3842C20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3680C0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Uzbekistan / Financing of a 100 MW solar plant</w:t>
            </w:r>
          </w:p>
        </w:tc>
        <w:tc>
          <w:tcPr>
            <w:tcW w:w="1476" w:type="dxa"/>
            <w:hideMark/>
          </w:tcPr>
          <w:p w14:paraId="39A2DAD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1,300,000.00</w:t>
            </w:r>
          </w:p>
        </w:tc>
        <w:tc>
          <w:tcPr>
            <w:tcW w:w="847" w:type="dxa"/>
            <w:hideMark/>
          </w:tcPr>
          <w:p w14:paraId="37B3141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C16C55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09CA42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5451F2B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66D81C3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BBF080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AA3C82A" w14:textId="183D038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FF05D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199CE4"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 xml:space="preserve">Uzbekistan / Project of development of urban sanitation systems in Uzbekistan, in the cities of Karmana, Kitob and Chakhrisabz </w:t>
            </w:r>
          </w:p>
        </w:tc>
        <w:tc>
          <w:tcPr>
            <w:tcW w:w="1476" w:type="dxa"/>
            <w:hideMark/>
          </w:tcPr>
          <w:p w14:paraId="15A4D2B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51,450,000.00</w:t>
            </w:r>
          </w:p>
        </w:tc>
        <w:tc>
          <w:tcPr>
            <w:tcW w:w="847" w:type="dxa"/>
            <w:hideMark/>
          </w:tcPr>
          <w:p w14:paraId="6F33672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2092C5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4F7ECE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647990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3C6963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47D41F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4458DBAD" w14:textId="3B8C418D"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F2E558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30A5CE"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 xml:space="preserve">Uzbekistan / Project of development of urban sanitation systems in Uzbekistan, in the cities of Karmana, Kitob and Chakhrisabz </w:t>
            </w:r>
          </w:p>
        </w:tc>
        <w:tc>
          <w:tcPr>
            <w:tcW w:w="1476" w:type="dxa"/>
            <w:hideMark/>
          </w:tcPr>
          <w:p w14:paraId="5C55B73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51,450,000.00</w:t>
            </w:r>
          </w:p>
        </w:tc>
        <w:tc>
          <w:tcPr>
            <w:tcW w:w="847" w:type="dxa"/>
            <w:hideMark/>
          </w:tcPr>
          <w:p w14:paraId="5F636C1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4375CE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AF468A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D60B5B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228643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29A062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79EB9E8C" w14:textId="4BF9842D"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D438BE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F93C87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Uzbekistan / Project of inclusive financing and  climate intelligent development in the sector of breeding</w:t>
            </w:r>
          </w:p>
        </w:tc>
        <w:tc>
          <w:tcPr>
            <w:tcW w:w="1476" w:type="dxa"/>
            <w:hideMark/>
          </w:tcPr>
          <w:p w14:paraId="337EBF2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30,000,000.00</w:t>
            </w:r>
          </w:p>
        </w:tc>
        <w:tc>
          <w:tcPr>
            <w:tcW w:w="847" w:type="dxa"/>
            <w:hideMark/>
          </w:tcPr>
          <w:p w14:paraId="2077CB9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EC9BE2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C90289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1722DE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458CDB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DD8BF8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F391E13" w14:textId="3421937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170090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5BF8CF"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Uzbekistan / Project of inclusive financing and  climate intelligent development in the sector of breeding</w:t>
            </w:r>
          </w:p>
        </w:tc>
        <w:tc>
          <w:tcPr>
            <w:tcW w:w="1476" w:type="dxa"/>
            <w:hideMark/>
          </w:tcPr>
          <w:p w14:paraId="2A6504C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40,000,000.00</w:t>
            </w:r>
          </w:p>
        </w:tc>
        <w:tc>
          <w:tcPr>
            <w:tcW w:w="847" w:type="dxa"/>
            <w:hideMark/>
          </w:tcPr>
          <w:p w14:paraId="007414C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04E577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87E07A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5F9A44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520ABE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16FDB6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B406BAF" w14:textId="6FA9AAC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756354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17B720"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Uzbekistan / Public policy Loan Energy-Climate in the framework of the development program of the energy sector for a low-carbon economy</w:t>
            </w:r>
          </w:p>
        </w:tc>
        <w:tc>
          <w:tcPr>
            <w:tcW w:w="1476" w:type="dxa"/>
            <w:hideMark/>
          </w:tcPr>
          <w:p w14:paraId="22D90F1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120,000,000.00</w:t>
            </w:r>
          </w:p>
        </w:tc>
        <w:tc>
          <w:tcPr>
            <w:tcW w:w="847" w:type="dxa"/>
            <w:hideMark/>
          </w:tcPr>
          <w:p w14:paraId="7C24705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CF7BAE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6C9704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58E632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219501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0235D1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7B86061" w14:textId="2174831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5436CFE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473FB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 xml:space="preserve">Brazil / Platform to improve water management, waste and public lighting </w:t>
            </w:r>
          </w:p>
        </w:tc>
        <w:tc>
          <w:tcPr>
            <w:tcW w:w="1476" w:type="dxa"/>
            <w:hideMark/>
          </w:tcPr>
          <w:p w14:paraId="0564DFB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102,000.00</w:t>
            </w:r>
          </w:p>
        </w:tc>
        <w:tc>
          <w:tcPr>
            <w:tcW w:w="847" w:type="dxa"/>
            <w:hideMark/>
          </w:tcPr>
          <w:p w14:paraId="09E685A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BA3522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392A7B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C39B8E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D78500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7BA25CD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1ED10844" w14:textId="6B97B25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3044160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5D38BEA"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Reinforcement of the follow-up and evaluation of urban sanitation in two priority hydrographic bassins in Brazil</w:t>
            </w:r>
          </w:p>
        </w:tc>
        <w:tc>
          <w:tcPr>
            <w:tcW w:w="1476" w:type="dxa"/>
            <w:hideMark/>
          </w:tcPr>
          <w:p w14:paraId="2FAB818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800,000.00</w:t>
            </w:r>
          </w:p>
        </w:tc>
        <w:tc>
          <w:tcPr>
            <w:tcW w:w="847" w:type="dxa"/>
            <w:hideMark/>
          </w:tcPr>
          <w:p w14:paraId="6194D2A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56192B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B45D4E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105E07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980E55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0EADF3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7D8346E7" w14:textId="6AA6026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42C723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0D41F0"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Second credit line to Banco de Desenvolvimento de Minas Gerais for the implementation of a carbon credit mechanism in the State of Minas Gerais</w:t>
            </w:r>
          </w:p>
        </w:tc>
        <w:tc>
          <w:tcPr>
            <w:tcW w:w="1476" w:type="dxa"/>
            <w:hideMark/>
          </w:tcPr>
          <w:p w14:paraId="7AA76DA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24,500,000.00</w:t>
            </w:r>
          </w:p>
        </w:tc>
        <w:tc>
          <w:tcPr>
            <w:tcW w:w="847" w:type="dxa"/>
            <w:hideMark/>
          </w:tcPr>
          <w:p w14:paraId="042674D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25E09F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CB2289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59CC287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0838F73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C716D6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767EA929" w14:textId="09AA50C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73986C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825BC0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Second credit line to Banco de Desenvolvimento de Minas Gerais for the implementation of a carbon credit mechanism in the State of Minas Gerais</w:t>
            </w:r>
          </w:p>
        </w:tc>
        <w:tc>
          <w:tcPr>
            <w:tcW w:w="1476" w:type="dxa"/>
            <w:hideMark/>
          </w:tcPr>
          <w:p w14:paraId="0AAA7C7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24,500,000.00</w:t>
            </w:r>
          </w:p>
        </w:tc>
        <w:tc>
          <w:tcPr>
            <w:tcW w:w="847" w:type="dxa"/>
            <w:hideMark/>
          </w:tcPr>
          <w:p w14:paraId="4975654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7BB274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1DF1B3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07233AC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6D9300E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B961CC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08DB7C3B" w14:textId="540868D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5CE5B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F53620"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Teresina 2030, integrated development program in the municipality of Teresina</w:t>
            </w:r>
          </w:p>
        </w:tc>
        <w:tc>
          <w:tcPr>
            <w:tcW w:w="1476" w:type="dxa"/>
            <w:hideMark/>
          </w:tcPr>
          <w:p w14:paraId="6E2A205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15,480,000.00</w:t>
            </w:r>
          </w:p>
        </w:tc>
        <w:tc>
          <w:tcPr>
            <w:tcW w:w="847" w:type="dxa"/>
            <w:hideMark/>
          </w:tcPr>
          <w:p w14:paraId="6126DA8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A9B61A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5FE75B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DF61DA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5DD8B4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F341DC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7D67E523" w14:textId="67266CF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3931A0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8EFFD0"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Teresina 2030, integrated development program in the municipality of Teresina</w:t>
            </w:r>
          </w:p>
        </w:tc>
        <w:tc>
          <w:tcPr>
            <w:tcW w:w="1476" w:type="dxa"/>
            <w:hideMark/>
          </w:tcPr>
          <w:p w14:paraId="10F8A17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5,760,000.00</w:t>
            </w:r>
          </w:p>
        </w:tc>
        <w:tc>
          <w:tcPr>
            <w:tcW w:w="847" w:type="dxa"/>
            <w:hideMark/>
          </w:tcPr>
          <w:p w14:paraId="2D55F51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5A958E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CC4DAC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708FE7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F17320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7E85BF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681BF501" w14:textId="36C2C0F0"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6F811B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596EC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Support to the financing strategy of sustainable economic boost of BADESC</w:t>
            </w:r>
          </w:p>
        </w:tc>
        <w:tc>
          <w:tcPr>
            <w:tcW w:w="1476" w:type="dxa"/>
            <w:hideMark/>
          </w:tcPr>
          <w:p w14:paraId="3AFACC8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10,000,000.00</w:t>
            </w:r>
          </w:p>
        </w:tc>
        <w:tc>
          <w:tcPr>
            <w:tcW w:w="847" w:type="dxa"/>
            <w:hideMark/>
          </w:tcPr>
          <w:p w14:paraId="428494B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34AAD4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2E6C4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A00D98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DA5C81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BF9EF1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E567CA1" w14:textId="426A005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62FE086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CC829A"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Brazil / Green credit line</w:t>
            </w:r>
          </w:p>
        </w:tc>
        <w:tc>
          <w:tcPr>
            <w:tcW w:w="1476" w:type="dxa"/>
            <w:hideMark/>
          </w:tcPr>
          <w:p w14:paraId="41BB481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85,940,186.00</w:t>
            </w:r>
          </w:p>
        </w:tc>
        <w:tc>
          <w:tcPr>
            <w:tcW w:w="847" w:type="dxa"/>
            <w:hideMark/>
          </w:tcPr>
          <w:p w14:paraId="48C9041A"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2AF354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69CE5B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7C24E13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2DE1B98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796435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AA1F9EE" w14:textId="437CD9C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09AEDDA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6967685"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Credit line for the financing of climate projects</w:t>
            </w:r>
          </w:p>
        </w:tc>
        <w:tc>
          <w:tcPr>
            <w:tcW w:w="1476" w:type="dxa"/>
            <w:hideMark/>
          </w:tcPr>
          <w:p w14:paraId="154DB13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62,134,754.00</w:t>
            </w:r>
          </w:p>
        </w:tc>
        <w:tc>
          <w:tcPr>
            <w:tcW w:w="847" w:type="dxa"/>
            <w:hideMark/>
          </w:tcPr>
          <w:p w14:paraId="60958B1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404C21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597186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308F8FF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0E92D63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22FD90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0A51F4E" w14:textId="536350A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13CB732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7A6CA5"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Brazil / Green credit line</w:t>
            </w:r>
          </w:p>
        </w:tc>
        <w:tc>
          <w:tcPr>
            <w:tcW w:w="1476" w:type="dxa"/>
            <w:hideMark/>
          </w:tcPr>
          <w:p w14:paraId="37A6BE0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26,963,868.00</w:t>
            </w:r>
          </w:p>
        </w:tc>
        <w:tc>
          <w:tcPr>
            <w:tcW w:w="847" w:type="dxa"/>
            <w:hideMark/>
          </w:tcPr>
          <w:p w14:paraId="12D4BBF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63C50D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2F54A7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736068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EA5405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4A1EE2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533ADA09" w14:textId="6B91F985"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B2B5B7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0C3CA8"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Support to local populations and Employment and social link Preservation in response to covid crisis</w:t>
            </w:r>
          </w:p>
        </w:tc>
        <w:tc>
          <w:tcPr>
            <w:tcW w:w="1476" w:type="dxa"/>
            <w:hideMark/>
          </w:tcPr>
          <w:p w14:paraId="137FF56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17,500,000.00</w:t>
            </w:r>
          </w:p>
        </w:tc>
        <w:tc>
          <w:tcPr>
            <w:tcW w:w="847" w:type="dxa"/>
            <w:hideMark/>
          </w:tcPr>
          <w:p w14:paraId="2EF6AB1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80D708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6A3FF6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C8B04D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C466D5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4DCD73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3739B040" w14:textId="56DD651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933DEC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60EAB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TerrIndigena: Strenghen autochtone land protection</w:t>
            </w:r>
          </w:p>
        </w:tc>
        <w:tc>
          <w:tcPr>
            <w:tcW w:w="1476" w:type="dxa"/>
            <w:hideMark/>
          </w:tcPr>
          <w:p w14:paraId="6619BD2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w:t>
            </w:r>
          </w:p>
        </w:tc>
        <w:tc>
          <w:tcPr>
            <w:tcW w:w="847" w:type="dxa"/>
            <w:hideMark/>
          </w:tcPr>
          <w:p w14:paraId="047999D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80FBAC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E7E215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7D0E7E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45D940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505E90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6ECA7D3F" w14:textId="714AF6E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AFD/STOA</w:t>
            </w:r>
          </w:p>
        </w:tc>
      </w:tr>
      <w:tr w:rsidR="00927E59" w:rsidRPr="001808DF" w14:paraId="1D8EEAF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F78E09"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Windpower (Ventos Serra do Mel III)</w:t>
            </w:r>
          </w:p>
        </w:tc>
        <w:tc>
          <w:tcPr>
            <w:tcW w:w="1476" w:type="dxa"/>
            <w:hideMark/>
          </w:tcPr>
          <w:p w14:paraId="051092C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17,000,000.00</w:t>
            </w:r>
          </w:p>
        </w:tc>
        <w:tc>
          <w:tcPr>
            <w:tcW w:w="847" w:type="dxa"/>
            <w:hideMark/>
          </w:tcPr>
          <w:p w14:paraId="67DC069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EF63D2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793E62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0FF0D4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16" w:type="dxa"/>
            <w:hideMark/>
          </w:tcPr>
          <w:p w14:paraId="250618A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75EBA5E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6C47E7A7" w14:textId="5E658FC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AFD/STOA</w:t>
            </w:r>
          </w:p>
        </w:tc>
      </w:tr>
      <w:tr w:rsidR="00927E59" w:rsidRPr="001808DF" w14:paraId="454BD39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ED955A9"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Brazil / Metropolitan transport - Line 6 of the Sao Paulo subway</w:t>
            </w:r>
          </w:p>
        </w:tc>
        <w:tc>
          <w:tcPr>
            <w:tcW w:w="1476" w:type="dxa"/>
            <w:hideMark/>
          </w:tcPr>
          <w:p w14:paraId="42B7E9E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50,000,000.00</w:t>
            </w:r>
          </w:p>
        </w:tc>
        <w:tc>
          <w:tcPr>
            <w:tcW w:w="847" w:type="dxa"/>
            <w:hideMark/>
          </w:tcPr>
          <w:p w14:paraId="2494C43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A37690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AC4706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1D1A0BC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16" w:type="dxa"/>
            <w:hideMark/>
          </w:tcPr>
          <w:p w14:paraId="0B4350C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07F8B1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Transport</w:t>
            </w:r>
          </w:p>
        </w:tc>
        <w:tc>
          <w:tcPr>
            <w:tcW w:w="2031" w:type="dxa"/>
            <w:hideMark/>
          </w:tcPr>
          <w:p w14:paraId="280790D4" w14:textId="47ECA9D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46EDD85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00C84F"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Colombia / Water purificators deployment for drinkable water access of rural and indigenous populations in Vichada region</w:t>
            </w:r>
          </w:p>
        </w:tc>
        <w:tc>
          <w:tcPr>
            <w:tcW w:w="1476" w:type="dxa"/>
            <w:hideMark/>
          </w:tcPr>
          <w:p w14:paraId="7E11359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513,868.00</w:t>
            </w:r>
          </w:p>
        </w:tc>
        <w:tc>
          <w:tcPr>
            <w:tcW w:w="847" w:type="dxa"/>
            <w:hideMark/>
          </w:tcPr>
          <w:p w14:paraId="7542F41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49A32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A83C7E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C97F34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C5CE44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2AD55F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4EC717EE" w14:textId="7C3A510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22D0D8C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D9121AD"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Colombia / Mobile environmental DNA analysis laboratory</w:t>
            </w:r>
          </w:p>
        </w:tc>
        <w:tc>
          <w:tcPr>
            <w:tcW w:w="1476" w:type="dxa"/>
            <w:hideMark/>
          </w:tcPr>
          <w:p w14:paraId="33C5B9C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291,496.40</w:t>
            </w:r>
          </w:p>
        </w:tc>
        <w:tc>
          <w:tcPr>
            <w:tcW w:w="847" w:type="dxa"/>
            <w:hideMark/>
          </w:tcPr>
          <w:p w14:paraId="437599A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195887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0A2334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995D4A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40CDF4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CDF100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747760FE" w14:textId="17E558E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783A96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19F2EF"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Colombia / FINDETER 2 (Financiera de Desarrollo Territorial)</w:t>
            </w:r>
          </w:p>
        </w:tc>
        <w:tc>
          <w:tcPr>
            <w:tcW w:w="1476" w:type="dxa"/>
            <w:hideMark/>
          </w:tcPr>
          <w:p w14:paraId="1B89991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27,000,000.00</w:t>
            </w:r>
          </w:p>
        </w:tc>
        <w:tc>
          <w:tcPr>
            <w:tcW w:w="847" w:type="dxa"/>
            <w:hideMark/>
          </w:tcPr>
          <w:p w14:paraId="08C2A7C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EAC2FE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EB66EE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7C8B64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A04D9D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726F5F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6CB6AFD0" w14:textId="4ED55BA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1F481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06FBE2"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Colombia / FINDETER 2 (Financiera de Desarrollo Territorial)</w:t>
            </w:r>
          </w:p>
        </w:tc>
        <w:tc>
          <w:tcPr>
            <w:tcW w:w="1476" w:type="dxa"/>
            <w:hideMark/>
          </w:tcPr>
          <w:p w14:paraId="13F9E5A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33,000,000.00</w:t>
            </w:r>
          </w:p>
        </w:tc>
        <w:tc>
          <w:tcPr>
            <w:tcW w:w="847" w:type="dxa"/>
            <w:hideMark/>
          </w:tcPr>
          <w:p w14:paraId="74EC9F6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4ACC4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30CB2D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936832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B534CB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5B2A33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312CE25B" w14:textId="56E42C0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F92F95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11EC79"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Colombia / PN Municipality Barranquilla</w:t>
            </w:r>
          </w:p>
        </w:tc>
        <w:tc>
          <w:tcPr>
            <w:tcW w:w="1476" w:type="dxa"/>
            <w:hideMark/>
          </w:tcPr>
          <w:p w14:paraId="16A9B4F4"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60,000,000.00</w:t>
            </w:r>
          </w:p>
        </w:tc>
        <w:tc>
          <w:tcPr>
            <w:tcW w:w="847" w:type="dxa"/>
            <w:hideMark/>
          </w:tcPr>
          <w:p w14:paraId="078FA3B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C87C03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EE54AE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D76783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4EEFE7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FA6153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7189D3E5" w14:textId="067D7B4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E46905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4756AAE"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Colombia / PN Municipality Barranquilla</w:t>
            </w:r>
          </w:p>
        </w:tc>
        <w:tc>
          <w:tcPr>
            <w:tcW w:w="1476" w:type="dxa"/>
            <w:hideMark/>
          </w:tcPr>
          <w:p w14:paraId="378A85C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19,200,000.00</w:t>
            </w:r>
          </w:p>
        </w:tc>
        <w:tc>
          <w:tcPr>
            <w:tcW w:w="847" w:type="dxa"/>
            <w:hideMark/>
          </w:tcPr>
          <w:p w14:paraId="583A103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68CABF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DAD7C4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3861C1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AF180B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DE2DF5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139DF82D" w14:textId="52C04BE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609097F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41C4A1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Colombia / Supply financing for electric buses</w:t>
            </w:r>
          </w:p>
        </w:tc>
        <w:tc>
          <w:tcPr>
            <w:tcW w:w="1476" w:type="dxa"/>
            <w:hideMark/>
          </w:tcPr>
          <w:p w14:paraId="2C52870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12,525,841.00</w:t>
            </w:r>
          </w:p>
        </w:tc>
        <w:tc>
          <w:tcPr>
            <w:tcW w:w="847" w:type="dxa"/>
            <w:hideMark/>
          </w:tcPr>
          <w:p w14:paraId="7513065C"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5E7EA0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D0B3E5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363FB1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DA510A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07D9CD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 transport</w:t>
            </w:r>
          </w:p>
        </w:tc>
        <w:tc>
          <w:tcPr>
            <w:tcW w:w="2031" w:type="dxa"/>
            <w:hideMark/>
          </w:tcPr>
          <w:p w14:paraId="2DF66515" w14:textId="50C9E06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52C543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622C78F"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Colombia / Supply financing for electric buses</w:t>
            </w:r>
          </w:p>
        </w:tc>
        <w:tc>
          <w:tcPr>
            <w:tcW w:w="1476" w:type="dxa"/>
            <w:hideMark/>
          </w:tcPr>
          <w:p w14:paraId="1F4E70D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9,304,970.00</w:t>
            </w:r>
          </w:p>
        </w:tc>
        <w:tc>
          <w:tcPr>
            <w:tcW w:w="847" w:type="dxa"/>
            <w:hideMark/>
          </w:tcPr>
          <w:p w14:paraId="1F4BFBA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1018F0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3D7FDB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02C517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F3DCD8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10337C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 transport</w:t>
            </w:r>
          </w:p>
        </w:tc>
        <w:tc>
          <w:tcPr>
            <w:tcW w:w="2031" w:type="dxa"/>
            <w:hideMark/>
          </w:tcPr>
          <w:p w14:paraId="737E63BD" w14:textId="591B5A6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7261C6F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AFAC0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Colombia / Supply financing for electric buses</w:t>
            </w:r>
          </w:p>
        </w:tc>
        <w:tc>
          <w:tcPr>
            <w:tcW w:w="1476" w:type="dxa"/>
            <w:hideMark/>
          </w:tcPr>
          <w:p w14:paraId="1266903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12,104,523.00</w:t>
            </w:r>
          </w:p>
        </w:tc>
        <w:tc>
          <w:tcPr>
            <w:tcW w:w="847" w:type="dxa"/>
            <w:hideMark/>
          </w:tcPr>
          <w:p w14:paraId="03B7263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440A64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F36C28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2D1E11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8B497E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334586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 transport</w:t>
            </w:r>
          </w:p>
        </w:tc>
        <w:tc>
          <w:tcPr>
            <w:tcW w:w="2031" w:type="dxa"/>
            <w:hideMark/>
          </w:tcPr>
          <w:p w14:paraId="2A2F4473" w14:textId="55C54DB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7D47B13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C1BE899"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Colombia / Supply financing for electric buses</w:t>
            </w:r>
          </w:p>
        </w:tc>
        <w:tc>
          <w:tcPr>
            <w:tcW w:w="1476" w:type="dxa"/>
            <w:hideMark/>
          </w:tcPr>
          <w:p w14:paraId="45B705D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9,064,748.00</w:t>
            </w:r>
          </w:p>
        </w:tc>
        <w:tc>
          <w:tcPr>
            <w:tcW w:w="847" w:type="dxa"/>
            <w:hideMark/>
          </w:tcPr>
          <w:p w14:paraId="1967847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35172A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6A8CEC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510AAA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B6F17F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FF7360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 transport</w:t>
            </w:r>
          </w:p>
        </w:tc>
        <w:tc>
          <w:tcPr>
            <w:tcW w:w="2031" w:type="dxa"/>
            <w:hideMark/>
          </w:tcPr>
          <w:p w14:paraId="09E04F1D" w14:textId="789BFDC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223CED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66BF8F"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Colombia / Loan in support of sustainable land development in the framework of PND 2018-2022</w:t>
            </w:r>
          </w:p>
        </w:tc>
        <w:tc>
          <w:tcPr>
            <w:tcW w:w="1476" w:type="dxa"/>
            <w:hideMark/>
          </w:tcPr>
          <w:p w14:paraId="7ACFA17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69,300,000.00</w:t>
            </w:r>
          </w:p>
        </w:tc>
        <w:tc>
          <w:tcPr>
            <w:tcW w:w="847" w:type="dxa"/>
            <w:hideMark/>
          </w:tcPr>
          <w:p w14:paraId="0A73691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8937D3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D36482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67A85A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6565A20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705719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76E24952" w14:textId="5CB6566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913657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C2F848"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Colombia / Loan in support of sustainable land development in the framework of PND 2018-2022</w:t>
            </w:r>
          </w:p>
        </w:tc>
        <w:tc>
          <w:tcPr>
            <w:tcW w:w="1476" w:type="dxa"/>
            <w:hideMark/>
          </w:tcPr>
          <w:p w14:paraId="5CBBA46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71,400,000.00</w:t>
            </w:r>
          </w:p>
        </w:tc>
        <w:tc>
          <w:tcPr>
            <w:tcW w:w="847" w:type="dxa"/>
            <w:hideMark/>
          </w:tcPr>
          <w:p w14:paraId="259E800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CA31F8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8FD6FB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DB361A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5B5F08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FDA237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5E90838B" w14:textId="3451A068"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67784B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28EE6F"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Costa Rica / "Climate" credit line to Costa Rica National Bank</w:t>
            </w:r>
          </w:p>
        </w:tc>
        <w:tc>
          <w:tcPr>
            <w:tcW w:w="1476" w:type="dxa"/>
            <w:hideMark/>
          </w:tcPr>
          <w:p w14:paraId="454FEE7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20,544,005.00</w:t>
            </w:r>
          </w:p>
        </w:tc>
        <w:tc>
          <w:tcPr>
            <w:tcW w:w="847" w:type="dxa"/>
            <w:hideMark/>
          </w:tcPr>
          <w:p w14:paraId="267D2D4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B3E6D3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4F06C7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67EAFE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52F2F7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E3D06C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639E79F" w14:textId="63DBFBE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0B65CC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22C5FE5"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Costa Rica / "Climate" credit line to Costa Rica National Bank</w:t>
            </w:r>
          </w:p>
        </w:tc>
        <w:tc>
          <w:tcPr>
            <w:tcW w:w="1476" w:type="dxa"/>
            <w:hideMark/>
          </w:tcPr>
          <w:p w14:paraId="7B6772C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20,544,005.00</w:t>
            </w:r>
          </w:p>
        </w:tc>
        <w:tc>
          <w:tcPr>
            <w:tcW w:w="847" w:type="dxa"/>
            <w:hideMark/>
          </w:tcPr>
          <w:p w14:paraId="4AAA80E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A1F00A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26889A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F7622C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22165A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646132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958DA2B" w14:textId="3DF3CC3B"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51EE2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12A1EC"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Costa Rica / "Climate" credit line to Costa Rica National Bank</w:t>
            </w:r>
          </w:p>
        </w:tc>
        <w:tc>
          <w:tcPr>
            <w:tcW w:w="1476" w:type="dxa"/>
            <w:hideMark/>
          </w:tcPr>
          <w:p w14:paraId="08DAD43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6,163,201.50</w:t>
            </w:r>
          </w:p>
        </w:tc>
        <w:tc>
          <w:tcPr>
            <w:tcW w:w="847" w:type="dxa"/>
            <w:hideMark/>
          </w:tcPr>
          <w:p w14:paraId="4E0B469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19F490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6C139E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6DD835A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1A8E372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CE5DE8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7995DBD1" w14:textId="00E9A0BC"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ADD66F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EEBDE5"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Costa Rica / "Climate" credit line to Costa Rica National Bank</w:t>
            </w:r>
          </w:p>
        </w:tc>
        <w:tc>
          <w:tcPr>
            <w:tcW w:w="1476" w:type="dxa"/>
            <w:hideMark/>
          </w:tcPr>
          <w:p w14:paraId="3DF7A64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6,163,201.50</w:t>
            </w:r>
          </w:p>
        </w:tc>
        <w:tc>
          <w:tcPr>
            <w:tcW w:w="847" w:type="dxa"/>
            <w:hideMark/>
          </w:tcPr>
          <w:p w14:paraId="60B1B79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CDD33F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1F33D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61159AC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14DF709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AEE9EA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0F49520D" w14:textId="1BE5C98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3571FF4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C4961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Costa Rica / Portfolio refinancing of small and medium-sized entreprises</w:t>
            </w:r>
          </w:p>
        </w:tc>
        <w:tc>
          <w:tcPr>
            <w:tcW w:w="1476" w:type="dxa"/>
            <w:hideMark/>
          </w:tcPr>
          <w:p w14:paraId="12BF6B5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26,642,984.00</w:t>
            </w:r>
          </w:p>
        </w:tc>
        <w:tc>
          <w:tcPr>
            <w:tcW w:w="847" w:type="dxa"/>
            <w:hideMark/>
          </w:tcPr>
          <w:p w14:paraId="5486BBA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FD9F2F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74A22B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72231A3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47B2093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417B32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6C41DAC1" w14:textId="614188A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5A6A73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15BD0B6"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Cuba / Support to the capacity enhancement of vaccine research and production of the Finlay Institute</w:t>
            </w:r>
          </w:p>
        </w:tc>
        <w:tc>
          <w:tcPr>
            <w:tcW w:w="1476" w:type="dxa"/>
            <w:hideMark/>
          </w:tcPr>
          <w:p w14:paraId="6A62C89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8,500,000.00</w:t>
            </w:r>
          </w:p>
        </w:tc>
        <w:tc>
          <w:tcPr>
            <w:tcW w:w="847" w:type="dxa"/>
            <w:hideMark/>
          </w:tcPr>
          <w:p w14:paraId="6AB6D12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281AB4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394261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586511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CE2DA0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5D3B24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756B6FA3" w14:textId="24A0A5D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120DD27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56AC61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Dominican Republic / Financing of wind plant</w:t>
            </w:r>
          </w:p>
        </w:tc>
        <w:tc>
          <w:tcPr>
            <w:tcW w:w="1476" w:type="dxa"/>
            <w:hideMark/>
          </w:tcPr>
          <w:p w14:paraId="7C3D847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18,445,080.00</w:t>
            </w:r>
          </w:p>
        </w:tc>
        <w:tc>
          <w:tcPr>
            <w:tcW w:w="847" w:type="dxa"/>
            <w:hideMark/>
          </w:tcPr>
          <w:p w14:paraId="5F10BB7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FF4175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23092B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4C7A3B9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084D157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03CD7D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093003C8" w14:textId="0C03ED3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58FE76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51068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Ecuador / Farm of insect breeding for aquaculture</w:t>
            </w:r>
          </w:p>
        </w:tc>
        <w:tc>
          <w:tcPr>
            <w:tcW w:w="1476" w:type="dxa"/>
            <w:hideMark/>
          </w:tcPr>
          <w:p w14:paraId="3A73A82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705,270.00</w:t>
            </w:r>
          </w:p>
        </w:tc>
        <w:tc>
          <w:tcPr>
            <w:tcW w:w="847" w:type="dxa"/>
            <w:hideMark/>
          </w:tcPr>
          <w:p w14:paraId="0206D4D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B1FC21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C66274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5FEAD3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6489EC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1B010DA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27621E1" w14:textId="1C80FCB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ADFA69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15DEF4"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Urgency planning on the banks of the River of the Orange trees in Jacmel</w:t>
            </w:r>
          </w:p>
        </w:tc>
        <w:tc>
          <w:tcPr>
            <w:tcW w:w="1476" w:type="dxa"/>
            <w:hideMark/>
          </w:tcPr>
          <w:p w14:paraId="2316FC2D"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w:t>
            </w:r>
          </w:p>
        </w:tc>
        <w:tc>
          <w:tcPr>
            <w:tcW w:w="847" w:type="dxa"/>
            <w:hideMark/>
          </w:tcPr>
          <w:p w14:paraId="43D5136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056341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618BF0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E66431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429B73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F672A6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53D26E55" w14:textId="7F28E38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626B7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105F3E7"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Project of support to irrigation in the South of Haiti</w:t>
            </w:r>
          </w:p>
        </w:tc>
        <w:tc>
          <w:tcPr>
            <w:tcW w:w="1476" w:type="dxa"/>
            <w:hideMark/>
          </w:tcPr>
          <w:p w14:paraId="5C6A959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9,100,000.00</w:t>
            </w:r>
          </w:p>
        </w:tc>
        <w:tc>
          <w:tcPr>
            <w:tcW w:w="847" w:type="dxa"/>
            <w:hideMark/>
          </w:tcPr>
          <w:p w14:paraId="7FFAD12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43682A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A40525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0A464A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DB5E3E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5F43C0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5B0AE98" w14:textId="2E587B0E"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CA5DD5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66C41C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Haitian fund for biodiversity</w:t>
            </w:r>
          </w:p>
        </w:tc>
        <w:tc>
          <w:tcPr>
            <w:tcW w:w="1476" w:type="dxa"/>
            <w:hideMark/>
          </w:tcPr>
          <w:p w14:paraId="5224D20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9,900,000.00</w:t>
            </w:r>
          </w:p>
        </w:tc>
        <w:tc>
          <w:tcPr>
            <w:tcW w:w="847" w:type="dxa"/>
            <w:hideMark/>
          </w:tcPr>
          <w:p w14:paraId="699A22B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933C8C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2AB9BB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C81B89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7941F8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88B26D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7D5DA592" w14:textId="1E7F249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A34DDE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228D32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Haitian fund for biodiversity</w:t>
            </w:r>
          </w:p>
        </w:tc>
        <w:tc>
          <w:tcPr>
            <w:tcW w:w="1476" w:type="dxa"/>
            <w:hideMark/>
          </w:tcPr>
          <w:p w14:paraId="03387D3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1,100,000.00</w:t>
            </w:r>
          </w:p>
        </w:tc>
        <w:tc>
          <w:tcPr>
            <w:tcW w:w="847" w:type="dxa"/>
            <w:hideMark/>
          </w:tcPr>
          <w:p w14:paraId="29298EB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A54B82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F28BCE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8E4C25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B0143B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A8F02A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1B662F64" w14:textId="3A8CEF2A"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C1F776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932BBB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Support to the fight againt Covid-19 and capacity building in medical biology</w:t>
            </w:r>
          </w:p>
        </w:tc>
        <w:tc>
          <w:tcPr>
            <w:tcW w:w="1476" w:type="dxa"/>
            <w:hideMark/>
          </w:tcPr>
          <w:p w14:paraId="4A57530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135,000.00</w:t>
            </w:r>
          </w:p>
        </w:tc>
        <w:tc>
          <w:tcPr>
            <w:tcW w:w="847" w:type="dxa"/>
            <w:hideMark/>
          </w:tcPr>
          <w:p w14:paraId="1319630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FF8C67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5E231D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19F264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18C407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C920AC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79B4E76F" w14:textId="1E784A7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448FBC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E354BDE"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Support to the fight againt Covid-19 and capacity building in medical biology</w:t>
            </w:r>
          </w:p>
        </w:tc>
        <w:tc>
          <w:tcPr>
            <w:tcW w:w="1476" w:type="dxa"/>
            <w:hideMark/>
          </w:tcPr>
          <w:p w14:paraId="6DAC511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405,000.00</w:t>
            </w:r>
          </w:p>
        </w:tc>
        <w:tc>
          <w:tcPr>
            <w:tcW w:w="847" w:type="dxa"/>
            <w:hideMark/>
          </w:tcPr>
          <w:p w14:paraId="06B10B6D"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10FFD2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6EE57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26586C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BEF7E7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DD2973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22FFA426" w14:textId="487B897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F0A5DA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EEEC90"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Support to the fight againt Covid-19 and capacity building in medical biology</w:t>
            </w:r>
          </w:p>
        </w:tc>
        <w:tc>
          <w:tcPr>
            <w:tcW w:w="1476" w:type="dxa"/>
            <w:hideMark/>
          </w:tcPr>
          <w:p w14:paraId="6EF614C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165,000.00</w:t>
            </w:r>
          </w:p>
        </w:tc>
        <w:tc>
          <w:tcPr>
            <w:tcW w:w="847" w:type="dxa"/>
            <w:hideMark/>
          </w:tcPr>
          <w:p w14:paraId="7188B0B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3EF8DB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81D1C8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FDBEF2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371DCD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233119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7C3742CB" w14:textId="45139A5E"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330995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BB6F26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Support to the fight againt Covid-19 and capacity building in medical biology</w:t>
            </w:r>
          </w:p>
        </w:tc>
        <w:tc>
          <w:tcPr>
            <w:tcW w:w="1476" w:type="dxa"/>
            <w:hideMark/>
          </w:tcPr>
          <w:p w14:paraId="347D6E0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495,000.00</w:t>
            </w:r>
          </w:p>
        </w:tc>
        <w:tc>
          <w:tcPr>
            <w:tcW w:w="847" w:type="dxa"/>
            <w:hideMark/>
          </w:tcPr>
          <w:p w14:paraId="4AF3911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D12B55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1C3A01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8E1C2A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7F5B69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86ABF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(health)</w:t>
            </w:r>
          </w:p>
        </w:tc>
        <w:tc>
          <w:tcPr>
            <w:tcW w:w="2031" w:type="dxa"/>
            <w:hideMark/>
          </w:tcPr>
          <w:p w14:paraId="1252F292" w14:textId="0BF3767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15FAD6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77715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Public school as a vector of education and social development in rural communities of Grand'Anse and Nippes</w:t>
            </w:r>
          </w:p>
        </w:tc>
        <w:tc>
          <w:tcPr>
            <w:tcW w:w="1476" w:type="dxa"/>
            <w:hideMark/>
          </w:tcPr>
          <w:p w14:paraId="63436B5F"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2,000,000.00</w:t>
            </w:r>
          </w:p>
        </w:tc>
        <w:tc>
          <w:tcPr>
            <w:tcW w:w="847" w:type="dxa"/>
            <w:hideMark/>
          </w:tcPr>
          <w:p w14:paraId="2C7AFCC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53FE29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EE395B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BF35A6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1E11CC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419F10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(education)</w:t>
            </w:r>
          </w:p>
        </w:tc>
        <w:tc>
          <w:tcPr>
            <w:tcW w:w="2031" w:type="dxa"/>
            <w:hideMark/>
          </w:tcPr>
          <w:p w14:paraId="223FB717" w14:textId="20D2EEB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0A0F338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E8CC75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Improving life conditions of rural Haitian youth by the development of a sustainable and local milk channel in Lascahobas</w:t>
            </w:r>
          </w:p>
        </w:tc>
        <w:tc>
          <w:tcPr>
            <w:tcW w:w="1476" w:type="dxa"/>
            <w:hideMark/>
          </w:tcPr>
          <w:p w14:paraId="09C792C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240,000.00</w:t>
            </w:r>
          </w:p>
        </w:tc>
        <w:tc>
          <w:tcPr>
            <w:tcW w:w="847" w:type="dxa"/>
            <w:hideMark/>
          </w:tcPr>
          <w:p w14:paraId="4855754A"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18171C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DF777C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9B9D60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9544C6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72046D1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2EDA5C2F" w14:textId="724398D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C</w:t>
            </w:r>
          </w:p>
        </w:tc>
      </w:tr>
      <w:tr w:rsidR="00927E59" w:rsidRPr="001808DF" w14:paraId="54559E9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439256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Haiti / Regional project to strenghten and structure civil society organisations and coalition of caribean actors to implement the Paris Agreement</w:t>
            </w:r>
          </w:p>
        </w:tc>
        <w:tc>
          <w:tcPr>
            <w:tcW w:w="1476" w:type="dxa"/>
            <w:hideMark/>
          </w:tcPr>
          <w:p w14:paraId="1F5BB17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340,000.00</w:t>
            </w:r>
          </w:p>
        </w:tc>
        <w:tc>
          <w:tcPr>
            <w:tcW w:w="847" w:type="dxa"/>
            <w:hideMark/>
          </w:tcPr>
          <w:p w14:paraId="1BB3D0B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C59BB1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96B424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2DBD28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6293CD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1336" w:type="dxa"/>
            <w:hideMark/>
          </w:tcPr>
          <w:p w14:paraId="570F16B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(other)</w:t>
            </w:r>
          </w:p>
        </w:tc>
        <w:tc>
          <w:tcPr>
            <w:tcW w:w="2031" w:type="dxa"/>
            <w:hideMark/>
          </w:tcPr>
          <w:p w14:paraId="78E71676" w14:textId="30D3C11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37E035D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B2965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Mexico / Strengthening of geothermal plants' yield</w:t>
            </w:r>
          </w:p>
        </w:tc>
        <w:tc>
          <w:tcPr>
            <w:tcW w:w="1476" w:type="dxa"/>
            <w:hideMark/>
          </w:tcPr>
          <w:p w14:paraId="253DA4DA"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655,538.00</w:t>
            </w:r>
          </w:p>
        </w:tc>
        <w:tc>
          <w:tcPr>
            <w:tcW w:w="847" w:type="dxa"/>
            <w:hideMark/>
          </w:tcPr>
          <w:p w14:paraId="48EA09C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5584DA5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4B8783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3E9D76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CF9BEC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4186D6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82AAA9E" w14:textId="6CD2372C"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FASEP</w:t>
            </w:r>
          </w:p>
        </w:tc>
      </w:tr>
      <w:tr w:rsidR="00927E59" w:rsidRPr="001808DF" w14:paraId="09B199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F7DFC54"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 xml:space="preserve">Mexico / Air quality prevision </w:t>
            </w:r>
          </w:p>
        </w:tc>
        <w:tc>
          <w:tcPr>
            <w:tcW w:w="1476" w:type="dxa"/>
            <w:hideMark/>
          </w:tcPr>
          <w:p w14:paraId="0F45F51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625,805.00</w:t>
            </w:r>
          </w:p>
        </w:tc>
        <w:tc>
          <w:tcPr>
            <w:tcW w:w="847" w:type="dxa"/>
            <w:hideMark/>
          </w:tcPr>
          <w:p w14:paraId="09D82D4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54DBFE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2C8DDB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EEE57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8940F5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31CCE3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(climate)</w:t>
            </w:r>
          </w:p>
        </w:tc>
        <w:tc>
          <w:tcPr>
            <w:tcW w:w="2031" w:type="dxa"/>
            <w:hideMark/>
          </w:tcPr>
          <w:p w14:paraId="03205034" w14:textId="0188025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776038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D4D8231"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Mexico / Credit line FIRA (Fideicomisos Instituidos en Relacion con la Agricultura) focused on climate change vulnerability and socio-economic marginalisation</w:t>
            </w:r>
          </w:p>
        </w:tc>
        <w:tc>
          <w:tcPr>
            <w:tcW w:w="1476" w:type="dxa"/>
            <w:hideMark/>
          </w:tcPr>
          <w:p w14:paraId="2188953F"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40,856,349.00</w:t>
            </w:r>
          </w:p>
        </w:tc>
        <w:tc>
          <w:tcPr>
            <w:tcW w:w="847" w:type="dxa"/>
            <w:hideMark/>
          </w:tcPr>
          <w:p w14:paraId="0FD2548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300785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41539C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D57876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71F14B2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0DD433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5367FD87" w14:textId="0D18535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44105F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5712F12" w14:textId="77777777" w:rsidR="00927E59" w:rsidRPr="001808DF" w:rsidRDefault="00927E59" w:rsidP="00927E59">
            <w:pPr>
              <w:ind w:firstLineChars="100" w:firstLine="181"/>
              <w:jc w:val="left"/>
              <w:rPr>
                <w:rFonts w:ascii="Times New Roman" w:hAnsi="Times New Roman"/>
                <w:color w:val="000000"/>
                <w:sz w:val="18"/>
                <w:szCs w:val="18"/>
              </w:rPr>
            </w:pPr>
            <w:r w:rsidRPr="001808DF">
              <w:rPr>
                <w:rFonts w:ascii="Times New Roman" w:hAnsi="Times New Roman"/>
                <w:sz w:val="18"/>
                <w:szCs w:val="18"/>
              </w:rPr>
              <w:t>Mexico / Cross-c</w:t>
            </w:r>
          </w:p>
        </w:tc>
        <w:tc>
          <w:tcPr>
            <w:tcW w:w="1476" w:type="dxa"/>
            <w:hideMark/>
          </w:tcPr>
          <w:p w14:paraId="4227C31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120,000,000.00</w:t>
            </w:r>
          </w:p>
        </w:tc>
        <w:tc>
          <w:tcPr>
            <w:tcW w:w="847" w:type="dxa"/>
            <w:hideMark/>
          </w:tcPr>
          <w:p w14:paraId="0A75403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F2D9AE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39B913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21EBEE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108E68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23F726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171463B0" w14:textId="6F0E945A"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29414D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D8FBDCF"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Mexico / Integration of biodiversity in agricultural productive sectors and fishing</w:t>
            </w:r>
          </w:p>
        </w:tc>
        <w:tc>
          <w:tcPr>
            <w:tcW w:w="1476" w:type="dxa"/>
            <w:hideMark/>
          </w:tcPr>
          <w:p w14:paraId="1E71948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24,000,000.00</w:t>
            </w:r>
          </w:p>
        </w:tc>
        <w:tc>
          <w:tcPr>
            <w:tcW w:w="847" w:type="dxa"/>
            <w:hideMark/>
          </w:tcPr>
          <w:p w14:paraId="065CC3B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FCCD27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FB305A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1ECE37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27DFE3A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32CCB1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78781A41" w14:textId="411829E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29AC46A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F0653A"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Paraguay / Financing of green projects and SME</w:t>
            </w:r>
          </w:p>
        </w:tc>
        <w:tc>
          <w:tcPr>
            <w:tcW w:w="1476" w:type="dxa"/>
            <w:hideMark/>
          </w:tcPr>
          <w:p w14:paraId="22685C3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18,047,439.00</w:t>
            </w:r>
          </w:p>
        </w:tc>
        <w:tc>
          <w:tcPr>
            <w:tcW w:w="847" w:type="dxa"/>
            <w:hideMark/>
          </w:tcPr>
          <w:p w14:paraId="18A613B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64FA26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8174A5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208B2F5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(Non-concessionnal loan)</w:t>
            </w:r>
          </w:p>
        </w:tc>
        <w:tc>
          <w:tcPr>
            <w:tcW w:w="1016" w:type="dxa"/>
            <w:hideMark/>
          </w:tcPr>
          <w:p w14:paraId="16A4DB2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D773A6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7207A0AF" w14:textId="0071A6E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NGO</w:t>
            </w:r>
          </w:p>
        </w:tc>
      </w:tr>
      <w:tr w:rsidR="00927E59" w:rsidRPr="001808DF" w14:paraId="172CBA0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1FF9F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Peru / Sustainable banana Peru/Dominican Republic - improving sustainable livelihoods of small trade banana producers</w:t>
            </w:r>
          </w:p>
        </w:tc>
        <w:tc>
          <w:tcPr>
            <w:tcW w:w="1476" w:type="dxa"/>
            <w:hideMark/>
          </w:tcPr>
          <w:p w14:paraId="52C47B0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w:t>
            </w:r>
          </w:p>
        </w:tc>
        <w:tc>
          <w:tcPr>
            <w:tcW w:w="847" w:type="dxa"/>
            <w:hideMark/>
          </w:tcPr>
          <w:p w14:paraId="56AF90C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852241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23E911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551154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2AAB47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9DAFBE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0FD798D" w14:textId="0991ECE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F54037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9E9E4B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SURINAM / Support to "SWM" for drinkable water supply in Surinam</w:t>
            </w:r>
          </w:p>
        </w:tc>
        <w:tc>
          <w:tcPr>
            <w:tcW w:w="1476" w:type="dxa"/>
            <w:hideMark/>
          </w:tcPr>
          <w:p w14:paraId="0CF8A9C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10,220,000.00</w:t>
            </w:r>
          </w:p>
        </w:tc>
        <w:tc>
          <w:tcPr>
            <w:tcW w:w="847" w:type="dxa"/>
            <w:hideMark/>
          </w:tcPr>
          <w:p w14:paraId="3A95C5D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ED4A8E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F619B5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E91FDA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1BCB25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F1319D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5AD3EDBB" w14:textId="3B123DF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7B8BBE1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516A31C"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Development of GI (Geographical Indications) in South-East Asia (PRCC)</w:t>
            </w:r>
          </w:p>
        </w:tc>
        <w:tc>
          <w:tcPr>
            <w:tcW w:w="1476" w:type="dxa"/>
            <w:hideMark/>
          </w:tcPr>
          <w:p w14:paraId="707C34B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w:t>
            </w:r>
          </w:p>
        </w:tc>
        <w:tc>
          <w:tcPr>
            <w:tcW w:w="847" w:type="dxa"/>
            <w:hideMark/>
          </w:tcPr>
          <w:p w14:paraId="67FE9476"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C92603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680EBC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AE2F39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FA697D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51C7D6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103D83F" w14:textId="2E51BA09"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C1978F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B07F34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Programme to support fairtrade in West Africa</w:t>
            </w:r>
          </w:p>
        </w:tc>
        <w:tc>
          <w:tcPr>
            <w:tcW w:w="1476" w:type="dxa"/>
            <w:hideMark/>
          </w:tcPr>
          <w:p w14:paraId="3B0C1DB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1,600,000.00</w:t>
            </w:r>
          </w:p>
        </w:tc>
        <w:tc>
          <w:tcPr>
            <w:tcW w:w="847" w:type="dxa"/>
            <w:hideMark/>
          </w:tcPr>
          <w:p w14:paraId="5ADBECA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212F5A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C679F0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E4BA2D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6B2AB8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F6A63C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F83BDEA" w14:textId="04D879E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FEEF0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841CBF0"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Projet of impact reduction of natural disasters, health crises and effects of climate change on populations of three ocean basins (support PIR of CRF)</w:t>
            </w:r>
          </w:p>
        </w:tc>
        <w:tc>
          <w:tcPr>
            <w:tcW w:w="1476" w:type="dxa"/>
            <w:hideMark/>
          </w:tcPr>
          <w:p w14:paraId="5F39588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w:t>
            </w:r>
          </w:p>
        </w:tc>
        <w:tc>
          <w:tcPr>
            <w:tcW w:w="847" w:type="dxa"/>
            <w:hideMark/>
          </w:tcPr>
          <w:p w14:paraId="36052E0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FC44C6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8B35D7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416511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730A5A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051005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(risk Management)</w:t>
            </w:r>
          </w:p>
        </w:tc>
        <w:tc>
          <w:tcPr>
            <w:tcW w:w="2031" w:type="dxa"/>
            <w:hideMark/>
          </w:tcPr>
          <w:p w14:paraId="4E87EF2A" w14:textId="5764BD3D"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F553B6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C7A36B9"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Operational research on the desert locust in the Western region</w:t>
            </w:r>
          </w:p>
        </w:tc>
        <w:tc>
          <w:tcPr>
            <w:tcW w:w="1476" w:type="dxa"/>
            <w:hideMark/>
          </w:tcPr>
          <w:p w14:paraId="1792215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w:t>
            </w:r>
          </w:p>
        </w:tc>
        <w:tc>
          <w:tcPr>
            <w:tcW w:w="847" w:type="dxa"/>
            <w:hideMark/>
          </w:tcPr>
          <w:p w14:paraId="5C14C63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4040E4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AA3C64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7F9820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9FD4AC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529F1F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5350D8A" w14:textId="379BAE72"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6493E1B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D5ABB3"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Illuminate roads to support the Sahel of tomorrow</w:t>
            </w:r>
          </w:p>
        </w:tc>
        <w:tc>
          <w:tcPr>
            <w:tcW w:w="1476" w:type="dxa"/>
            <w:hideMark/>
          </w:tcPr>
          <w:p w14:paraId="5728C97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28,600.00</w:t>
            </w:r>
          </w:p>
        </w:tc>
        <w:tc>
          <w:tcPr>
            <w:tcW w:w="847" w:type="dxa"/>
            <w:hideMark/>
          </w:tcPr>
          <w:p w14:paraId="52C5D97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B3447A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FAEA07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94E252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5F35C9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4342BDA"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208334F8" w14:textId="521EF4E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A187DB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846F83C"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Contribution of the AFD to the framework agreement France IUCN</w:t>
            </w:r>
          </w:p>
        </w:tc>
        <w:tc>
          <w:tcPr>
            <w:tcW w:w="1476" w:type="dxa"/>
            <w:hideMark/>
          </w:tcPr>
          <w:p w14:paraId="75ADC59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w:t>
            </w:r>
          </w:p>
        </w:tc>
        <w:tc>
          <w:tcPr>
            <w:tcW w:w="847" w:type="dxa"/>
            <w:hideMark/>
          </w:tcPr>
          <w:p w14:paraId="26827A7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69FFE4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2EA5FE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246DFBA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2A5C34A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E5D7FC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53FADDB6" w14:textId="6A974FB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75C26D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89B8CD9"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Contribution to the Sustainable Renewable Risk Mitigation Initiative (SRMI)</w:t>
            </w:r>
          </w:p>
        </w:tc>
        <w:tc>
          <w:tcPr>
            <w:tcW w:w="1476" w:type="dxa"/>
            <w:hideMark/>
          </w:tcPr>
          <w:p w14:paraId="027769F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1,000,000.00</w:t>
            </w:r>
          </w:p>
        </w:tc>
        <w:tc>
          <w:tcPr>
            <w:tcW w:w="847" w:type="dxa"/>
            <w:hideMark/>
          </w:tcPr>
          <w:p w14:paraId="3A2878B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DAB5AA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1C25BB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8445BA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17D2B74"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39F8B87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15C87C7B" w14:textId="47AF2DF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3C93F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49F93E"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Improving knowledge of water cycle under the influence of anthropogenic action and climate change</w:t>
            </w:r>
          </w:p>
        </w:tc>
        <w:tc>
          <w:tcPr>
            <w:tcW w:w="1476" w:type="dxa"/>
            <w:hideMark/>
          </w:tcPr>
          <w:p w14:paraId="71EB86C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3,000,000.00</w:t>
            </w:r>
          </w:p>
        </w:tc>
        <w:tc>
          <w:tcPr>
            <w:tcW w:w="847" w:type="dxa"/>
            <w:hideMark/>
          </w:tcPr>
          <w:p w14:paraId="739E768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1360B2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156EFF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6F3FFEC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51D759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6356B0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Water And Sanitation</w:t>
            </w:r>
          </w:p>
        </w:tc>
        <w:tc>
          <w:tcPr>
            <w:tcW w:w="2031" w:type="dxa"/>
            <w:hideMark/>
          </w:tcPr>
          <w:p w14:paraId="5A582D28" w14:textId="78D5BBF8"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A55B0E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A88C36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CIRAD Partnership "One Health: Health and Lands"</w:t>
            </w:r>
          </w:p>
        </w:tc>
        <w:tc>
          <w:tcPr>
            <w:tcW w:w="1476" w:type="dxa"/>
            <w:hideMark/>
          </w:tcPr>
          <w:p w14:paraId="4BBC8F58"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1,600,000.00</w:t>
            </w:r>
          </w:p>
        </w:tc>
        <w:tc>
          <w:tcPr>
            <w:tcW w:w="847" w:type="dxa"/>
            <w:hideMark/>
          </w:tcPr>
          <w:p w14:paraId="1BD40FC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16DA22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5F284B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3DB26F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971D50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F0723F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FFBCF8B" w14:textId="1BE8675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8419F0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4718575"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CIRAD Partnership "One Health: Health and Lands"</w:t>
            </w:r>
          </w:p>
        </w:tc>
        <w:tc>
          <w:tcPr>
            <w:tcW w:w="1476" w:type="dxa"/>
            <w:hideMark/>
          </w:tcPr>
          <w:p w14:paraId="2219C20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w:t>
            </w:r>
          </w:p>
        </w:tc>
        <w:tc>
          <w:tcPr>
            <w:tcW w:w="847" w:type="dxa"/>
            <w:hideMark/>
          </w:tcPr>
          <w:p w14:paraId="51356F4B"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9FB678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CBFE41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89D05D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AF6D72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6AA82A1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506470A1" w14:textId="0C12568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2D6635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7E1DB7"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Programme of services' capacity building and  advocacy of agricultural professional organisations in Africa and Latin America (SEPOP)</w:t>
            </w:r>
          </w:p>
        </w:tc>
        <w:tc>
          <w:tcPr>
            <w:tcW w:w="1476" w:type="dxa"/>
            <w:hideMark/>
          </w:tcPr>
          <w:p w14:paraId="2946D75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4,000,000.00</w:t>
            </w:r>
          </w:p>
        </w:tc>
        <w:tc>
          <w:tcPr>
            <w:tcW w:w="847" w:type="dxa"/>
            <w:hideMark/>
          </w:tcPr>
          <w:p w14:paraId="1DBFE0A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519208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002DDE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907932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12A412E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3B7637C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146C3E8" w14:textId="367A7CB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9415F6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AEB696"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Credit line to  CAF for adaptation and mitigation of climate change</w:t>
            </w:r>
          </w:p>
        </w:tc>
        <w:tc>
          <w:tcPr>
            <w:tcW w:w="1476" w:type="dxa"/>
            <w:hideMark/>
          </w:tcPr>
          <w:p w14:paraId="1A9F5D2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75,000,000.00</w:t>
            </w:r>
          </w:p>
        </w:tc>
        <w:tc>
          <w:tcPr>
            <w:tcW w:w="847" w:type="dxa"/>
            <w:hideMark/>
          </w:tcPr>
          <w:p w14:paraId="6EC47D2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302038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F4F360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CD8836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39362E0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E90CF6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4471B534" w14:textId="06AB260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4EE8D2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BF71378"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Credit line to  CAF for adaptation and mitigation of climate change</w:t>
            </w:r>
          </w:p>
        </w:tc>
        <w:tc>
          <w:tcPr>
            <w:tcW w:w="1476" w:type="dxa"/>
            <w:hideMark/>
          </w:tcPr>
          <w:p w14:paraId="10B2BCE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25,000,000.00</w:t>
            </w:r>
          </w:p>
        </w:tc>
        <w:tc>
          <w:tcPr>
            <w:tcW w:w="847" w:type="dxa"/>
            <w:hideMark/>
          </w:tcPr>
          <w:p w14:paraId="3404FF39"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EBFEE5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42882F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135DA8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0A0D7D3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289200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Cross-cutting</w:t>
            </w:r>
          </w:p>
        </w:tc>
        <w:tc>
          <w:tcPr>
            <w:tcW w:w="2031" w:type="dxa"/>
            <w:hideMark/>
          </w:tcPr>
          <w:p w14:paraId="219DFC8E" w14:textId="6532CA1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56C09E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EA91803"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Promotion/advocacy project of SDGs in the media area in Sahelian langages</w:t>
            </w:r>
          </w:p>
        </w:tc>
        <w:tc>
          <w:tcPr>
            <w:tcW w:w="1476" w:type="dxa"/>
            <w:hideMark/>
          </w:tcPr>
          <w:p w14:paraId="080AE99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862,500.00</w:t>
            </w:r>
          </w:p>
        </w:tc>
        <w:tc>
          <w:tcPr>
            <w:tcW w:w="847" w:type="dxa"/>
            <w:hideMark/>
          </w:tcPr>
          <w:p w14:paraId="25AFBF57"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24C27A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E99EA3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1BC055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524E87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3F7EB1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790379FE" w14:textId="07167126"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0B832C4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C4838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Promotion/advocacy project of SDGs in the media area in Sahelian langages</w:t>
            </w:r>
          </w:p>
        </w:tc>
        <w:tc>
          <w:tcPr>
            <w:tcW w:w="1476" w:type="dxa"/>
            <w:hideMark/>
          </w:tcPr>
          <w:p w14:paraId="49F612F4"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862,500.00</w:t>
            </w:r>
          </w:p>
        </w:tc>
        <w:tc>
          <w:tcPr>
            <w:tcW w:w="847" w:type="dxa"/>
            <w:hideMark/>
          </w:tcPr>
          <w:p w14:paraId="0041F6E2"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DA8E03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2AE8CF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D622EF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AB016F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06DD0C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2FEF5456" w14:textId="1BAAD30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81EC40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457841"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Promotion/advocacy project of SDGs in the media area in Sahelian langages</w:t>
            </w:r>
          </w:p>
        </w:tc>
        <w:tc>
          <w:tcPr>
            <w:tcW w:w="1476" w:type="dxa"/>
            <w:hideMark/>
          </w:tcPr>
          <w:p w14:paraId="7E2329C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262,500.00</w:t>
            </w:r>
          </w:p>
        </w:tc>
        <w:tc>
          <w:tcPr>
            <w:tcW w:w="847" w:type="dxa"/>
            <w:hideMark/>
          </w:tcPr>
          <w:p w14:paraId="2605D0A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4822036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BE9B93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30729C2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7DCD6E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2E2D8D9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249D0D95" w14:textId="3762D95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465569B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F540609"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Promotion/advocacy project of SDGs in the media area in Sahelian langages</w:t>
            </w:r>
          </w:p>
        </w:tc>
        <w:tc>
          <w:tcPr>
            <w:tcW w:w="1476" w:type="dxa"/>
            <w:hideMark/>
          </w:tcPr>
          <w:p w14:paraId="25783C8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262,500.00</w:t>
            </w:r>
          </w:p>
        </w:tc>
        <w:tc>
          <w:tcPr>
            <w:tcW w:w="847" w:type="dxa"/>
            <w:hideMark/>
          </w:tcPr>
          <w:p w14:paraId="10B77FF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AB49D3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2E001E3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5934E7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F36E19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778F89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06E6263B" w14:textId="1667F5A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5FC7B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5C49759"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Promotion of pro-nature firms in Southern Africa, in partnership with the NGO Conservation International</w:t>
            </w:r>
          </w:p>
        </w:tc>
        <w:tc>
          <w:tcPr>
            <w:tcW w:w="1476" w:type="dxa"/>
            <w:hideMark/>
          </w:tcPr>
          <w:p w14:paraId="71EF0852"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5,000,000.00</w:t>
            </w:r>
          </w:p>
        </w:tc>
        <w:tc>
          <w:tcPr>
            <w:tcW w:w="847" w:type="dxa"/>
            <w:hideMark/>
          </w:tcPr>
          <w:p w14:paraId="7A1F2D9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924169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882EBD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19E097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56DE182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152A9F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7B4EB82C" w14:textId="23CC2570"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68383E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1D9F88"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COMBO+ Facility</w:t>
            </w:r>
          </w:p>
        </w:tc>
        <w:tc>
          <w:tcPr>
            <w:tcW w:w="1476" w:type="dxa"/>
            <w:hideMark/>
          </w:tcPr>
          <w:p w14:paraId="157DD1D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1,600,000.00</w:t>
            </w:r>
          </w:p>
        </w:tc>
        <w:tc>
          <w:tcPr>
            <w:tcW w:w="847" w:type="dxa"/>
            <w:hideMark/>
          </w:tcPr>
          <w:p w14:paraId="16E6F540"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55B662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E6BA29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2495751"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2A79DC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535DF0C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55EBEA2C" w14:textId="481AD8C2"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0FB95D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E693B86"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COMBO+ Facility</w:t>
            </w:r>
          </w:p>
        </w:tc>
        <w:tc>
          <w:tcPr>
            <w:tcW w:w="1476" w:type="dxa"/>
            <w:hideMark/>
          </w:tcPr>
          <w:p w14:paraId="761D330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400,000.00</w:t>
            </w:r>
          </w:p>
        </w:tc>
        <w:tc>
          <w:tcPr>
            <w:tcW w:w="847" w:type="dxa"/>
            <w:hideMark/>
          </w:tcPr>
          <w:p w14:paraId="593BB25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6234A35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86C341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A1792F4"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56D556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E717A0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326327D3" w14:textId="49ECDD54"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16859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EB0C1FB"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Credit Line Climate IFAD</w:t>
            </w:r>
          </w:p>
        </w:tc>
        <w:tc>
          <w:tcPr>
            <w:tcW w:w="1476" w:type="dxa"/>
            <w:hideMark/>
          </w:tcPr>
          <w:p w14:paraId="0E0EA8B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261,000,000.00</w:t>
            </w:r>
          </w:p>
        </w:tc>
        <w:tc>
          <w:tcPr>
            <w:tcW w:w="847" w:type="dxa"/>
            <w:hideMark/>
          </w:tcPr>
          <w:p w14:paraId="636AD83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4F63D4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599B19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343E13A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4C84601B"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0D67CA5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61CB5AD4" w14:textId="0853FBA3"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21DE9F5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37849E"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Credit Line Climate IFAD</w:t>
            </w:r>
          </w:p>
        </w:tc>
        <w:tc>
          <w:tcPr>
            <w:tcW w:w="1476" w:type="dxa"/>
            <w:hideMark/>
          </w:tcPr>
          <w:p w14:paraId="0BE77579"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39,000,000.00</w:t>
            </w:r>
          </w:p>
        </w:tc>
        <w:tc>
          <w:tcPr>
            <w:tcW w:w="847" w:type="dxa"/>
            <w:hideMark/>
          </w:tcPr>
          <w:p w14:paraId="49924ECA"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CE57F3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B4D2C2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3AA4AF1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Concessional Loan</w:t>
            </w:r>
          </w:p>
        </w:tc>
        <w:tc>
          <w:tcPr>
            <w:tcW w:w="1016" w:type="dxa"/>
            <w:hideMark/>
          </w:tcPr>
          <w:p w14:paraId="5ADDB8A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0702D550"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(financial Intermediation)</w:t>
            </w:r>
          </w:p>
        </w:tc>
        <w:tc>
          <w:tcPr>
            <w:tcW w:w="2031" w:type="dxa"/>
            <w:hideMark/>
          </w:tcPr>
          <w:p w14:paraId="12BE1955" w14:textId="4B3E187B"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1A9A06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9438DA"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Regional contribution to support Biodiversity (CRAB)</w:t>
            </w:r>
          </w:p>
        </w:tc>
        <w:tc>
          <w:tcPr>
            <w:tcW w:w="1476" w:type="dxa"/>
            <w:hideMark/>
          </w:tcPr>
          <w:p w14:paraId="7555F86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2,000,000.00</w:t>
            </w:r>
          </w:p>
        </w:tc>
        <w:tc>
          <w:tcPr>
            <w:tcW w:w="847" w:type="dxa"/>
            <w:hideMark/>
          </w:tcPr>
          <w:p w14:paraId="7E26A4B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B8AB81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03C5CEB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698BD7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CAA514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CFD0E12"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4311BD5A" w14:textId="6B81DF0D"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3228219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1F5708C"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Financing of the triennal programme 2020-2022 of PPIAF</w:t>
            </w:r>
          </w:p>
        </w:tc>
        <w:tc>
          <w:tcPr>
            <w:tcW w:w="1476" w:type="dxa"/>
            <w:hideMark/>
          </w:tcPr>
          <w:p w14:paraId="5FEB626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102,000.00</w:t>
            </w:r>
          </w:p>
        </w:tc>
        <w:tc>
          <w:tcPr>
            <w:tcW w:w="847" w:type="dxa"/>
            <w:hideMark/>
          </w:tcPr>
          <w:p w14:paraId="642A13E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D4B727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2742E3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0E1E5AD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D8F8F92"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4783A6FC"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20A9EE4F" w14:textId="504E17A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w:t>
            </w:r>
          </w:p>
        </w:tc>
      </w:tr>
      <w:tr w:rsidR="00927E59" w:rsidRPr="001808DF" w14:paraId="54EFF8D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9D9657"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Financing of the triennal programme 2020-2022 of PPIAF</w:t>
            </w:r>
          </w:p>
        </w:tc>
        <w:tc>
          <w:tcPr>
            <w:tcW w:w="1476" w:type="dxa"/>
            <w:hideMark/>
          </w:tcPr>
          <w:p w14:paraId="609D6471"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102,000.00</w:t>
            </w:r>
          </w:p>
        </w:tc>
        <w:tc>
          <w:tcPr>
            <w:tcW w:w="847" w:type="dxa"/>
            <w:hideMark/>
          </w:tcPr>
          <w:p w14:paraId="11231EEB"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0B65C50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A43BAF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367618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601557CD"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DD632B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(capacity Building)</w:t>
            </w:r>
          </w:p>
        </w:tc>
        <w:tc>
          <w:tcPr>
            <w:tcW w:w="2031" w:type="dxa"/>
            <w:hideMark/>
          </w:tcPr>
          <w:p w14:paraId="0D641E6D" w14:textId="607CA19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6356956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292CC4"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Africa Renewable Energy Fund II</w:t>
            </w:r>
          </w:p>
        </w:tc>
        <w:tc>
          <w:tcPr>
            <w:tcW w:w="1476" w:type="dxa"/>
            <w:hideMark/>
          </w:tcPr>
          <w:p w14:paraId="67A70F9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15,000,000.00</w:t>
            </w:r>
          </w:p>
        </w:tc>
        <w:tc>
          <w:tcPr>
            <w:tcW w:w="847" w:type="dxa"/>
            <w:hideMark/>
          </w:tcPr>
          <w:p w14:paraId="0F0D7956"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2F4802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48E6376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42E9652E"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Other (participation)</w:t>
            </w:r>
          </w:p>
        </w:tc>
        <w:tc>
          <w:tcPr>
            <w:tcW w:w="1016" w:type="dxa"/>
            <w:hideMark/>
          </w:tcPr>
          <w:p w14:paraId="0EDB76F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46FD91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21E82EC2" w14:textId="120B8D0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PROPARCO</w:t>
            </w:r>
          </w:p>
        </w:tc>
      </w:tr>
      <w:tr w:rsidR="00927E59" w:rsidRPr="001808DF" w14:paraId="47D9D3E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BAF6558"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 xml:space="preserve">Other (multi-countries) / Climate Finance Partnership </w:t>
            </w:r>
          </w:p>
        </w:tc>
        <w:tc>
          <w:tcPr>
            <w:tcW w:w="1476" w:type="dxa"/>
            <w:hideMark/>
          </w:tcPr>
          <w:p w14:paraId="62CFA64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25,523,226.00</w:t>
            </w:r>
          </w:p>
        </w:tc>
        <w:tc>
          <w:tcPr>
            <w:tcW w:w="847" w:type="dxa"/>
            <w:hideMark/>
          </w:tcPr>
          <w:p w14:paraId="532ACC4E"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2BECB65C"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331CC21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714E979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Equity</w:t>
            </w:r>
          </w:p>
        </w:tc>
        <w:tc>
          <w:tcPr>
            <w:tcW w:w="1016" w:type="dxa"/>
            <w:hideMark/>
          </w:tcPr>
          <w:p w14:paraId="6F1A4E46"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5F39CC23"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47594C88" w14:textId="62885A84"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FFEM</w:t>
            </w:r>
          </w:p>
        </w:tc>
      </w:tr>
      <w:tr w:rsidR="00927E59" w:rsidRPr="001808DF" w14:paraId="0EB47B2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A20362" w14:textId="77777777" w:rsidR="00927E59" w:rsidRPr="001808DF" w:rsidRDefault="00927E59" w:rsidP="00927E59">
            <w:pPr>
              <w:ind w:firstLineChars="100" w:firstLine="181"/>
              <w:jc w:val="left"/>
              <w:rPr>
                <w:rFonts w:ascii="Times New Roman" w:hAnsi="Times New Roman"/>
                <w:color w:val="000000"/>
                <w:sz w:val="18"/>
                <w:szCs w:val="18"/>
                <w:lang w:val="en-GB"/>
              </w:rPr>
            </w:pPr>
            <w:r w:rsidRPr="001808DF">
              <w:rPr>
                <w:rFonts w:ascii="Times New Roman" w:hAnsi="Times New Roman"/>
                <w:sz w:val="18"/>
                <w:szCs w:val="18"/>
                <w:lang w:val="en-GB"/>
              </w:rPr>
              <w:t>Other (multi-countries) / Collective and contextualized strategy to promote a resilient and sustainable agricultural production in rural Mediterranean zones</w:t>
            </w:r>
          </w:p>
        </w:tc>
        <w:tc>
          <w:tcPr>
            <w:tcW w:w="1476" w:type="dxa"/>
            <w:hideMark/>
          </w:tcPr>
          <w:p w14:paraId="04687343"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1,700,000.00</w:t>
            </w:r>
          </w:p>
        </w:tc>
        <w:tc>
          <w:tcPr>
            <w:tcW w:w="847" w:type="dxa"/>
            <w:hideMark/>
          </w:tcPr>
          <w:p w14:paraId="361A8EB5"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3E18687"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6DF2BB8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4117673"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CF9E10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193AE625"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39BE533" w14:textId="7E1885A3"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FFEM</w:t>
            </w:r>
          </w:p>
        </w:tc>
      </w:tr>
      <w:tr w:rsidR="00927E59" w:rsidRPr="001808DF" w14:paraId="7E381D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E4F4F6"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Programme of conservation and valorisation of ecosystems, soil and genetic heritage in fairtrade organic cocoa sector in the Andin region</w:t>
            </w:r>
          </w:p>
        </w:tc>
        <w:tc>
          <w:tcPr>
            <w:tcW w:w="1476" w:type="dxa"/>
            <w:hideMark/>
          </w:tcPr>
          <w:p w14:paraId="369655E3"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1,060,000.00</w:t>
            </w:r>
          </w:p>
        </w:tc>
        <w:tc>
          <w:tcPr>
            <w:tcW w:w="847" w:type="dxa"/>
            <w:hideMark/>
          </w:tcPr>
          <w:p w14:paraId="4069BB1C"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33BEC40"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1CE32D3E"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524B5CC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3032C2B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2664B57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00920E38" w14:textId="590206E6"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FFEM</w:t>
            </w:r>
          </w:p>
        </w:tc>
      </w:tr>
      <w:tr w:rsidR="00927E59" w:rsidRPr="001808DF" w14:paraId="2AC7492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9C19FCD"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Exploitation of agroecology potential to help food and agriculture systems transition towards more sustainable systems in South-East Asia (Laos, Myanmar, Cambodge and Vietnam)</w:t>
            </w:r>
          </w:p>
        </w:tc>
        <w:tc>
          <w:tcPr>
            <w:tcW w:w="1476" w:type="dxa"/>
            <w:hideMark/>
          </w:tcPr>
          <w:p w14:paraId="241C5EC1"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1,148,400.00</w:t>
            </w:r>
          </w:p>
        </w:tc>
        <w:tc>
          <w:tcPr>
            <w:tcW w:w="847" w:type="dxa"/>
            <w:hideMark/>
          </w:tcPr>
          <w:p w14:paraId="6F6BDF70"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1867B6EA"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5DE0DFC9"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Oda</w:t>
            </w:r>
          </w:p>
        </w:tc>
        <w:tc>
          <w:tcPr>
            <w:tcW w:w="1326" w:type="dxa"/>
            <w:hideMark/>
          </w:tcPr>
          <w:p w14:paraId="16F6056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7739082B"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Adaptation</w:t>
            </w:r>
          </w:p>
        </w:tc>
        <w:tc>
          <w:tcPr>
            <w:tcW w:w="1336" w:type="dxa"/>
            <w:hideMark/>
          </w:tcPr>
          <w:p w14:paraId="61FB40B8"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Agriculture</w:t>
            </w:r>
          </w:p>
        </w:tc>
        <w:tc>
          <w:tcPr>
            <w:tcW w:w="2031" w:type="dxa"/>
            <w:hideMark/>
          </w:tcPr>
          <w:p w14:paraId="7EEED0A5" w14:textId="5C26398F"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AFD/STOA</w:t>
            </w:r>
          </w:p>
        </w:tc>
      </w:tr>
      <w:tr w:rsidR="00927E59" w:rsidRPr="001808DF" w14:paraId="5536F73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A4EE0F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Wind and solar power (JCM Power - Malawi &amp; Pakistan)</w:t>
            </w:r>
          </w:p>
        </w:tc>
        <w:tc>
          <w:tcPr>
            <w:tcW w:w="1476" w:type="dxa"/>
            <w:hideMark/>
          </w:tcPr>
          <w:p w14:paraId="7F187415"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18,000,000.00</w:t>
            </w:r>
          </w:p>
        </w:tc>
        <w:tc>
          <w:tcPr>
            <w:tcW w:w="847" w:type="dxa"/>
            <w:hideMark/>
          </w:tcPr>
          <w:p w14:paraId="682A5777" w14:textId="77777777" w:rsidR="00927E59" w:rsidRPr="001808DF"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3B6A6A97"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C87EE15"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05C5838F"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0554B608"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1DD80369" w14:textId="77777777"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030796F5" w14:textId="2AEF4D21" w:rsidR="00927E59" w:rsidRPr="001808DF"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41B65">
              <w:t>AFD/STOA</w:t>
            </w:r>
          </w:p>
        </w:tc>
      </w:tr>
      <w:tr w:rsidR="00927E59" w:rsidRPr="001808DF" w14:paraId="5756775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8B7CEE2" w14:textId="77777777" w:rsidR="00927E59" w:rsidRPr="00927E59" w:rsidRDefault="00927E59" w:rsidP="00927E59">
            <w:pPr>
              <w:ind w:firstLineChars="100" w:firstLine="181"/>
              <w:jc w:val="left"/>
              <w:rPr>
                <w:rFonts w:ascii="Times New Roman" w:hAnsi="Times New Roman"/>
                <w:color w:val="000000"/>
                <w:sz w:val="18"/>
                <w:szCs w:val="18"/>
                <w:lang w:val="en-GB"/>
              </w:rPr>
            </w:pPr>
            <w:r w:rsidRPr="00927E59">
              <w:rPr>
                <w:rFonts w:ascii="Times New Roman" w:hAnsi="Times New Roman"/>
                <w:sz w:val="18"/>
                <w:szCs w:val="18"/>
                <w:lang w:val="en-GB"/>
              </w:rPr>
              <w:t>Other (multi-countries) / Solar power (Daystar - Nigeria &amp; Ghana)</w:t>
            </w:r>
          </w:p>
        </w:tc>
        <w:tc>
          <w:tcPr>
            <w:tcW w:w="1476" w:type="dxa"/>
            <w:hideMark/>
          </w:tcPr>
          <w:p w14:paraId="7E8877E8"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8,000,000.00</w:t>
            </w:r>
          </w:p>
        </w:tc>
        <w:tc>
          <w:tcPr>
            <w:tcW w:w="847" w:type="dxa"/>
            <w:hideMark/>
          </w:tcPr>
          <w:p w14:paraId="546D0E3E" w14:textId="77777777" w:rsidR="00927E59" w:rsidRPr="001808DF"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color w:val="000000"/>
                <w:sz w:val="18"/>
                <w:szCs w:val="18"/>
              </w:rPr>
              <w:t> </w:t>
            </w:r>
          </w:p>
        </w:tc>
        <w:tc>
          <w:tcPr>
            <w:tcW w:w="986" w:type="dxa"/>
            <w:hideMark/>
          </w:tcPr>
          <w:p w14:paraId="76C8503D"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committed</w:t>
            </w:r>
          </w:p>
        </w:tc>
        <w:tc>
          <w:tcPr>
            <w:tcW w:w="895" w:type="dxa"/>
            <w:hideMark/>
          </w:tcPr>
          <w:p w14:paraId="7DBB2DB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Oof</w:t>
            </w:r>
          </w:p>
        </w:tc>
        <w:tc>
          <w:tcPr>
            <w:tcW w:w="1326" w:type="dxa"/>
            <w:hideMark/>
          </w:tcPr>
          <w:p w14:paraId="10D4D11F"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Grant</w:t>
            </w:r>
          </w:p>
        </w:tc>
        <w:tc>
          <w:tcPr>
            <w:tcW w:w="1016" w:type="dxa"/>
            <w:hideMark/>
          </w:tcPr>
          <w:p w14:paraId="4F674271"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Mitigation</w:t>
            </w:r>
          </w:p>
        </w:tc>
        <w:tc>
          <w:tcPr>
            <w:tcW w:w="1336" w:type="dxa"/>
            <w:hideMark/>
          </w:tcPr>
          <w:p w14:paraId="476CBB06" w14:textId="77777777"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808DF">
              <w:rPr>
                <w:rFonts w:ascii="Times New Roman" w:hAnsi="Times New Roman"/>
                <w:sz w:val="18"/>
                <w:szCs w:val="18"/>
              </w:rPr>
              <w:t>Energy</w:t>
            </w:r>
          </w:p>
        </w:tc>
        <w:tc>
          <w:tcPr>
            <w:tcW w:w="2031" w:type="dxa"/>
            <w:hideMark/>
          </w:tcPr>
          <w:p w14:paraId="314FA415" w14:textId="64DEA019" w:rsidR="00927E59" w:rsidRPr="001808DF"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341B65">
              <w:t>FASEP</w:t>
            </w:r>
          </w:p>
        </w:tc>
      </w:tr>
    </w:tbl>
    <w:p w14:paraId="4ECFD6DF" w14:textId="77777777" w:rsidR="001808DF" w:rsidRPr="001808DF" w:rsidRDefault="001808DF" w:rsidP="001808DF">
      <w:pPr>
        <w:rPr>
          <w:rFonts w:eastAsiaTheme="majorEastAsia"/>
        </w:rPr>
      </w:pPr>
    </w:p>
    <w:p w14:paraId="33A1D02A" w14:textId="002B8C6C" w:rsidR="001808DF" w:rsidRDefault="001808DF">
      <w:pPr>
        <w:spacing w:line="240" w:lineRule="atLeast"/>
        <w:jc w:val="left"/>
        <w:rPr>
          <w:rFonts w:eastAsiaTheme="majorEastAsia" w:cstheme="majorBidi"/>
          <w:bCs/>
          <w:spacing w:val="-10"/>
          <w:kern w:val="28"/>
          <w:sz w:val="48"/>
          <w:szCs w:val="56"/>
        </w:rPr>
      </w:pPr>
    </w:p>
    <w:p w14:paraId="68FA8C28" w14:textId="77777777" w:rsidR="001808DF" w:rsidRDefault="001808DF">
      <w:pPr>
        <w:spacing w:line="240" w:lineRule="atLeast"/>
        <w:jc w:val="left"/>
        <w:rPr>
          <w:rFonts w:eastAsiaTheme="majorEastAsia" w:cstheme="majorBidi"/>
          <w:bCs/>
          <w:spacing w:val="-10"/>
          <w:kern w:val="28"/>
          <w:sz w:val="48"/>
          <w:szCs w:val="56"/>
        </w:rPr>
      </w:pPr>
      <w:r>
        <w:br w:type="page"/>
      </w:r>
    </w:p>
    <w:p w14:paraId="21515169" w14:textId="3240549B" w:rsidR="00C02B8B" w:rsidRPr="0098629B" w:rsidRDefault="00C02B8B" w:rsidP="007C589E">
      <w:pPr>
        <w:pStyle w:val="Titre1Niveau1"/>
      </w:pPr>
      <w:bookmarkStart w:id="317" w:name="_Toc138344649"/>
      <w:r w:rsidRPr="0098629B">
        <w:t>Annexe III – Politiques et mesures</w:t>
      </w:r>
      <w:bookmarkEnd w:id="317"/>
    </w:p>
    <w:p w14:paraId="7EA79909" w14:textId="360EFE29" w:rsidR="00811B0F" w:rsidRDefault="00811B0F" w:rsidP="00811B0F">
      <w:pPr>
        <w:pStyle w:val="Caption"/>
      </w:pPr>
      <w:bookmarkStart w:id="318" w:name="_Ref123072826"/>
      <w:bookmarkStart w:id="319" w:name="_Toc123916676"/>
      <w:r w:rsidRPr="0098629B">
        <w:t xml:space="preserve">Tableau </w:t>
      </w:r>
      <w:fldSimple w:instr=" SEQ Tableau \* ARABIC ">
        <w:r w:rsidR="00677B3C">
          <w:rPr>
            <w:noProof/>
          </w:rPr>
          <w:t>41</w:t>
        </w:r>
      </w:fldSimple>
      <w:bookmarkEnd w:id="318"/>
      <w:r w:rsidRPr="0098629B">
        <w:t xml:space="preserve"> : </w:t>
      </w:r>
      <w:r w:rsidR="00C02B8B" w:rsidRPr="0098629B">
        <w:t>Table CTF3 </w:t>
      </w:r>
      <w:r w:rsidRPr="0098629B">
        <w:t xml:space="preserve">– </w:t>
      </w:r>
      <w:r w:rsidR="00C02B8B" w:rsidRPr="0098629B">
        <w:t>Politiques</w:t>
      </w:r>
      <w:r w:rsidRPr="0098629B">
        <w:t xml:space="preserve"> </w:t>
      </w:r>
      <w:r w:rsidR="00C02B8B" w:rsidRPr="0098629B">
        <w:t>et mesures</w:t>
      </w:r>
      <w:r w:rsidRPr="0098629B">
        <w:t xml:space="preserve"> pour les années 2019, 2020, 2021 et 2022</w:t>
      </w:r>
      <w:bookmarkEnd w:id="319"/>
    </w:p>
    <w:p w14:paraId="783941CF" w14:textId="268ED5FD" w:rsidR="006A7128" w:rsidRDefault="006A7128" w:rsidP="00573042"/>
    <w:p w14:paraId="50B41BAF" w14:textId="3A986683" w:rsidR="006A7128" w:rsidRPr="00573042" w:rsidRDefault="006A7128" w:rsidP="00573042">
      <w:r>
        <w:t>Seules les politiques et mesures les plus récentes sont listées ci-dessous.</w:t>
      </w:r>
    </w:p>
    <w:tbl>
      <w:tblPr>
        <w:tblW w:w="9401" w:type="dxa"/>
        <w:tblCellMar>
          <w:left w:w="70" w:type="dxa"/>
          <w:right w:w="70" w:type="dxa"/>
        </w:tblCellMar>
        <w:tblLook w:val="04A0" w:firstRow="1" w:lastRow="0" w:firstColumn="1" w:lastColumn="0" w:noHBand="0" w:noVBand="1"/>
      </w:tblPr>
      <w:tblGrid>
        <w:gridCol w:w="1566"/>
        <w:gridCol w:w="701"/>
        <w:gridCol w:w="1288"/>
        <w:gridCol w:w="594"/>
        <w:gridCol w:w="671"/>
        <w:gridCol w:w="828"/>
        <w:gridCol w:w="1004"/>
        <w:gridCol w:w="2743"/>
        <w:gridCol w:w="1004"/>
        <w:gridCol w:w="1543"/>
        <w:gridCol w:w="424"/>
        <w:gridCol w:w="530"/>
        <w:gridCol w:w="530"/>
        <w:gridCol w:w="530"/>
      </w:tblGrid>
      <w:tr w:rsidR="00811B0F" w:rsidRPr="00CC34FC" w14:paraId="6A9245A7" w14:textId="77777777" w:rsidTr="00811B0F">
        <w:trPr>
          <w:trHeight w:val="859"/>
        </w:trPr>
        <w:tc>
          <w:tcPr>
            <w:tcW w:w="1928" w:type="dxa"/>
            <w:tcBorders>
              <w:top w:val="nil"/>
              <w:left w:val="nil"/>
              <w:bottom w:val="nil"/>
              <w:right w:val="nil"/>
            </w:tcBorders>
            <w:shd w:val="clear" w:color="auto" w:fill="auto"/>
            <w:noWrap/>
            <w:vAlign w:val="bottom"/>
            <w:hideMark/>
          </w:tcPr>
          <w:p w14:paraId="7B4820CC" w14:textId="77777777" w:rsidR="00811B0F" w:rsidRPr="001808DF" w:rsidRDefault="00811B0F" w:rsidP="00811B0F">
            <w:pPr>
              <w:jc w:val="left"/>
              <w:rPr>
                <w:rFonts w:ascii="Times New Roman" w:hAnsi="Times New Roman"/>
                <w:sz w:val="16"/>
                <w:szCs w:val="16"/>
              </w:rPr>
            </w:pPr>
          </w:p>
        </w:tc>
        <w:tc>
          <w:tcPr>
            <w:tcW w:w="218" w:type="dxa"/>
            <w:tcBorders>
              <w:top w:val="nil"/>
              <w:left w:val="nil"/>
              <w:bottom w:val="nil"/>
              <w:right w:val="nil"/>
            </w:tcBorders>
            <w:shd w:val="clear" w:color="auto" w:fill="auto"/>
            <w:noWrap/>
            <w:vAlign w:val="bottom"/>
            <w:hideMark/>
          </w:tcPr>
          <w:p w14:paraId="191F2E0B" w14:textId="77777777" w:rsidR="00811B0F" w:rsidRPr="001808DF" w:rsidRDefault="00811B0F" w:rsidP="00811B0F">
            <w:pPr>
              <w:jc w:val="left"/>
              <w:rPr>
                <w:rFonts w:ascii="Times New Roman" w:hAnsi="Times New Roman"/>
                <w:sz w:val="16"/>
                <w:szCs w:val="16"/>
              </w:rPr>
            </w:pPr>
          </w:p>
        </w:tc>
        <w:tc>
          <w:tcPr>
            <w:tcW w:w="369" w:type="dxa"/>
            <w:tcBorders>
              <w:top w:val="nil"/>
              <w:left w:val="nil"/>
              <w:bottom w:val="nil"/>
              <w:right w:val="nil"/>
            </w:tcBorders>
            <w:shd w:val="clear" w:color="auto" w:fill="auto"/>
            <w:noWrap/>
            <w:vAlign w:val="bottom"/>
            <w:hideMark/>
          </w:tcPr>
          <w:p w14:paraId="5C362041" w14:textId="77777777" w:rsidR="00811B0F" w:rsidRPr="001808DF" w:rsidRDefault="00811B0F" w:rsidP="00811B0F">
            <w:pPr>
              <w:jc w:val="left"/>
              <w:rPr>
                <w:rFonts w:ascii="Times New Roman" w:hAnsi="Times New Roman"/>
                <w:sz w:val="16"/>
                <w:szCs w:val="16"/>
              </w:rPr>
            </w:pPr>
          </w:p>
        </w:tc>
        <w:tc>
          <w:tcPr>
            <w:tcW w:w="340" w:type="dxa"/>
            <w:tcBorders>
              <w:top w:val="nil"/>
              <w:left w:val="nil"/>
              <w:bottom w:val="nil"/>
              <w:right w:val="nil"/>
            </w:tcBorders>
            <w:shd w:val="clear" w:color="auto" w:fill="auto"/>
            <w:noWrap/>
            <w:vAlign w:val="bottom"/>
            <w:hideMark/>
          </w:tcPr>
          <w:p w14:paraId="238049A9" w14:textId="77777777" w:rsidR="00811B0F" w:rsidRPr="001808DF" w:rsidRDefault="00811B0F" w:rsidP="00811B0F">
            <w:pPr>
              <w:jc w:val="left"/>
              <w:rPr>
                <w:rFonts w:ascii="Times New Roman" w:hAnsi="Times New Roman"/>
                <w:sz w:val="16"/>
                <w:szCs w:val="16"/>
              </w:rPr>
            </w:pPr>
          </w:p>
        </w:tc>
        <w:tc>
          <w:tcPr>
            <w:tcW w:w="469" w:type="dxa"/>
            <w:tcBorders>
              <w:top w:val="nil"/>
              <w:left w:val="nil"/>
              <w:bottom w:val="nil"/>
              <w:right w:val="nil"/>
            </w:tcBorders>
            <w:shd w:val="clear" w:color="auto" w:fill="auto"/>
            <w:noWrap/>
            <w:vAlign w:val="bottom"/>
            <w:hideMark/>
          </w:tcPr>
          <w:p w14:paraId="0B96AF64" w14:textId="77777777" w:rsidR="00811B0F" w:rsidRPr="001808DF" w:rsidRDefault="00811B0F" w:rsidP="00811B0F">
            <w:pPr>
              <w:jc w:val="left"/>
              <w:rPr>
                <w:rFonts w:ascii="Times New Roman" w:hAnsi="Times New Roman"/>
                <w:sz w:val="16"/>
                <w:szCs w:val="16"/>
              </w:rPr>
            </w:pPr>
          </w:p>
        </w:tc>
        <w:tc>
          <w:tcPr>
            <w:tcW w:w="459" w:type="dxa"/>
            <w:tcBorders>
              <w:top w:val="nil"/>
              <w:left w:val="nil"/>
              <w:bottom w:val="nil"/>
              <w:right w:val="nil"/>
            </w:tcBorders>
            <w:shd w:val="clear" w:color="auto" w:fill="auto"/>
            <w:noWrap/>
            <w:vAlign w:val="bottom"/>
            <w:hideMark/>
          </w:tcPr>
          <w:p w14:paraId="2ED33E62" w14:textId="77777777" w:rsidR="00811B0F" w:rsidRPr="001808DF" w:rsidRDefault="00811B0F" w:rsidP="00811B0F">
            <w:pPr>
              <w:jc w:val="left"/>
              <w:rPr>
                <w:rFonts w:ascii="Times New Roman" w:hAnsi="Times New Roman"/>
                <w:sz w:val="16"/>
                <w:szCs w:val="16"/>
              </w:rPr>
            </w:pPr>
          </w:p>
        </w:tc>
        <w:tc>
          <w:tcPr>
            <w:tcW w:w="218" w:type="dxa"/>
            <w:tcBorders>
              <w:top w:val="nil"/>
              <w:left w:val="nil"/>
              <w:bottom w:val="nil"/>
              <w:right w:val="nil"/>
            </w:tcBorders>
            <w:shd w:val="clear" w:color="auto" w:fill="auto"/>
            <w:noWrap/>
            <w:vAlign w:val="bottom"/>
            <w:hideMark/>
          </w:tcPr>
          <w:p w14:paraId="790D1223" w14:textId="77777777" w:rsidR="00811B0F" w:rsidRPr="001808DF" w:rsidRDefault="00811B0F" w:rsidP="00811B0F">
            <w:pPr>
              <w:jc w:val="left"/>
              <w:rPr>
                <w:rFonts w:ascii="Times New Roman" w:hAnsi="Times New Roman"/>
                <w:sz w:val="16"/>
                <w:szCs w:val="16"/>
              </w:rPr>
            </w:pPr>
          </w:p>
        </w:tc>
        <w:tc>
          <w:tcPr>
            <w:tcW w:w="3407" w:type="dxa"/>
            <w:tcBorders>
              <w:top w:val="nil"/>
              <w:left w:val="nil"/>
              <w:bottom w:val="nil"/>
              <w:right w:val="nil"/>
            </w:tcBorders>
            <w:shd w:val="clear" w:color="auto" w:fill="auto"/>
            <w:noWrap/>
            <w:vAlign w:val="bottom"/>
            <w:hideMark/>
          </w:tcPr>
          <w:p w14:paraId="057DAF12" w14:textId="77777777" w:rsidR="00811B0F" w:rsidRPr="001808DF" w:rsidRDefault="00811B0F" w:rsidP="00811B0F">
            <w:pPr>
              <w:jc w:val="left"/>
              <w:rPr>
                <w:rFonts w:ascii="Times New Roman" w:hAnsi="Times New Roman"/>
                <w:sz w:val="16"/>
                <w:szCs w:val="16"/>
              </w:rPr>
            </w:pPr>
          </w:p>
        </w:tc>
        <w:tc>
          <w:tcPr>
            <w:tcW w:w="218" w:type="dxa"/>
            <w:tcBorders>
              <w:top w:val="nil"/>
              <w:left w:val="nil"/>
              <w:bottom w:val="nil"/>
              <w:right w:val="nil"/>
            </w:tcBorders>
            <w:shd w:val="clear" w:color="auto" w:fill="auto"/>
            <w:noWrap/>
            <w:vAlign w:val="bottom"/>
            <w:hideMark/>
          </w:tcPr>
          <w:p w14:paraId="41B1FDCF" w14:textId="77777777" w:rsidR="00811B0F" w:rsidRPr="001808DF" w:rsidRDefault="00811B0F" w:rsidP="00811B0F">
            <w:pPr>
              <w:jc w:val="left"/>
              <w:rPr>
                <w:rFonts w:ascii="Times New Roman" w:hAnsi="Times New Roman"/>
                <w:sz w:val="16"/>
                <w:szCs w:val="16"/>
              </w:rPr>
            </w:pPr>
          </w:p>
        </w:tc>
        <w:tc>
          <w:tcPr>
            <w:tcW w:w="1478" w:type="dxa"/>
            <w:tcBorders>
              <w:top w:val="nil"/>
              <w:left w:val="nil"/>
              <w:bottom w:val="nil"/>
              <w:right w:val="nil"/>
            </w:tcBorders>
            <w:shd w:val="clear" w:color="auto" w:fill="auto"/>
            <w:noWrap/>
            <w:vAlign w:val="bottom"/>
            <w:hideMark/>
          </w:tcPr>
          <w:p w14:paraId="6462D7D9" w14:textId="77777777" w:rsidR="00811B0F" w:rsidRPr="001808DF" w:rsidRDefault="00811B0F" w:rsidP="00811B0F">
            <w:pPr>
              <w:jc w:val="left"/>
              <w:rPr>
                <w:rFonts w:ascii="Times New Roman" w:hAnsi="Times New Roman"/>
                <w:sz w:val="16"/>
                <w:szCs w:val="16"/>
              </w:rPr>
            </w:pPr>
          </w:p>
        </w:tc>
        <w:tc>
          <w:tcPr>
            <w:tcW w:w="297" w:type="dxa"/>
            <w:gridSpan w:val="4"/>
            <w:tcBorders>
              <w:top w:val="single" w:sz="4" w:space="0" w:color="A8A8A8"/>
              <w:left w:val="single" w:sz="4" w:space="0" w:color="A8A8A8"/>
              <w:bottom w:val="single" w:sz="4" w:space="0" w:color="A8A8A8"/>
              <w:right w:val="single" w:sz="4" w:space="0" w:color="A8A8A8"/>
            </w:tcBorders>
            <w:shd w:val="clear" w:color="000000" w:fill="E6E6E6"/>
            <w:vAlign w:val="center"/>
            <w:hideMark/>
          </w:tcPr>
          <w:p w14:paraId="3EFF7E04" w14:textId="6D2DB44D" w:rsidR="00811B0F" w:rsidRPr="001808DF" w:rsidRDefault="00811B0F" w:rsidP="00811B0F">
            <w:pPr>
              <w:jc w:val="center"/>
              <w:rPr>
                <w:rFonts w:ascii="Arial" w:hAnsi="Arial" w:cs="Arial"/>
                <w:color w:val="000000"/>
                <w:sz w:val="16"/>
                <w:szCs w:val="16"/>
                <w:lang w:val="en-GB"/>
              </w:rPr>
            </w:pPr>
            <w:r w:rsidRPr="001808DF">
              <w:rPr>
                <w:rFonts w:ascii="Arial" w:hAnsi="Arial" w:cs="Arial"/>
                <w:sz w:val="16"/>
                <w:szCs w:val="16"/>
                <w:lang w:val="en-GB"/>
              </w:rPr>
              <w:t xml:space="preserve">Estimate of mitigation impact (not cumulative) (kt </w:t>
            </w:r>
            <w:r w:rsidRPr="001808DF">
              <w:rPr>
                <w:sz w:val="16"/>
                <w:szCs w:val="16"/>
                <w:lang w:val="en-GB"/>
              </w:rPr>
              <w:t>CO</w:t>
            </w:r>
            <w:r w:rsidRPr="001808DF">
              <w:rPr>
                <w:sz w:val="16"/>
                <w:szCs w:val="16"/>
                <w:vertAlign w:val="subscript"/>
                <w:lang w:val="en-GB"/>
              </w:rPr>
              <w:t>2</w:t>
            </w:r>
            <w:r w:rsidRPr="001808DF">
              <w:rPr>
                <w:rFonts w:ascii="Arial" w:hAnsi="Arial" w:cs="Arial"/>
                <w:color w:val="000000"/>
                <w:sz w:val="16"/>
                <w:szCs w:val="16"/>
                <w:lang w:val="en-GB"/>
              </w:rPr>
              <w:t xml:space="preserve"> eq)</w:t>
            </w:r>
          </w:p>
        </w:tc>
      </w:tr>
      <w:tr w:rsidR="00811B0F" w:rsidRPr="001808DF" w14:paraId="5DEB8448" w14:textId="77777777" w:rsidTr="00811B0F">
        <w:trPr>
          <w:trHeight w:val="765"/>
        </w:trPr>
        <w:tc>
          <w:tcPr>
            <w:tcW w:w="1928" w:type="dxa"/>
            <w:tcBorders>
              <w:top w:val="nil"/>
              <w:left w:val="single" w:sz="4" w:space="0" w:color="A8A8A8"/>
              <w:bottom w:val="single" w:sz="4" w:space="0" w:color="A8A8A8"/>
              <w:right w:val="single" w:sz="4" w:space="0" w:color="A8A8A8"/>
            </w:tcBorders>
            <w:shd w:val="clear" w:color="000000" w:fill="E6E6E6"/>
            <w:vAlign w:val="center"/>
            <w:hideMark/>
          </w:tcPr>
          <w:p w14:paraId="08870E95"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Name of mitigation action</w:t>
            </w:r>
          </w:p>
        </w:tc>
        <w:tc>
          <w:tcPr>
            <w:tcW w:w="218" w:type="dxa"/>
            <w:tcBorders>
              <w:top w:val="nil"/>
              <w:left w:val="nil"/>
              <w:bottom w:val="single" w:sz="4" w:space="0" w:color="A8A8A8"/>
              <w:right w:val="single" w:sz="4" w:space="0" w:color="A8A8A8"/>
            </w:tcBorders>
            <w:shd w:val="clear" w:color="000000" w:fill="E6E6E6"/>
            <w:vAlign w:val="center"/>
            <w:hideMark/>
          </w:tcPr>
          <w:p w14:paraId="404727B8" w14:textId="77777777" w:rsidR="00811B0F" w:rsidRPr="001808DF" w:rsidRDefault="00811B0F" w:rsidP="00811B0F">
            <w:pPr>
              <w:jc w:val="center"/>
              <w:rPr>
                <w:rFonts w:ascii="Arial" w:hAnsi="Arial" w:cs="Arial"/>
                <w:color w:val="000000"/>
                <w:sz w:val="16"/>
                <w:szCs w:val="16"/>
                <w:lang w:val="en-GB"/>
              </w:rPr>
            </w:pPr>
            <w:r w:rsidRPr="001808DF">
              <w:rPr>
                <w:rFonts w:ascii="Arial" w:hAnsi="Arial" w:cs="Arial"/>
                <w:color w:val="000000"/>
                <w:sz w:val="16"/>
                <w:szCs w:val="16"/>
                <w:lang w:val="en-GB"/>
              </w:rPr>
              <w:t>Included in with measures GHG projection scenario</w:t>
            </w:r>
          </w:p>
        </w:tc>
        <w:tc>
          <w:tcPr>
            <w:tcW w:w="369" w:type="dxa"/>
            <w:tcBorders>
              <w:top w:val="nil"/>
              <w:left w:val="nil"/>
              <w:bottom w:val="single" w:sz="4" w:space="0" w:color="A8A8A8"/>
              <w:right w:val="single" w:sz="4" w:space="0" w:color="A8A8A8"/>
            </w:tcBorders>
            <w:shd w:val="clear" w:color="000000" w:fill="E6E6E6"/>
            <w:vAlign w:val="center"/>
            <w:hideMark/>
          </w:tcPr>
          <w:p w14:paraId="04CBA386"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 xml:space="preserve">Sectors affected </w:t>
            </w:r>
          </w:p>
        </w:tc>
        <w:tc>
          <w:tcPr>
            <w:tcW w:w="340" w:type="dxa"/>
            <w:tcBorders>
              <w:top w:val="nil"/>
              <w:left w:val="nil"/>
              <w:bottom w:val="single" w:sz="4" w:space="0" w:color="A8A8A8"/>
              <w:right w:val="single" w:sz="4" w:space="0" w:color="A8A8A8"/>
            </w:tcBorders>
            <w:shd w:val="clear" w:color="000000" w:fill="E6E6E6"/>
            <w:vAlign w:val="center"/>
            <w:hideMark/>
          </w:tcPr>
          <w:p w14:paraId="134D11D1"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GHGs affected</w:t>
            </w:r>
          </w:p>
        </w:tc>
        <w:tc>
          <w:tcPr>
            <w:tcW w:w="469" w:type="dxa"/>
            <w:tcBorders>
              <w:top w:val="nil"/>
              <w:left w:val="nil"/>
              <w:bottom w:val="single" w:sz="4" w:space="0" w:color="A8A8A8"/>
              <w:right w:val="single" w:sz="4" w:space="0" w:color="A8A8A8"/>
            </w:tcBorders>
            <w:shd w:val="clear" w:color="000000" w:fill="E6E6E6"/>
            <w:vAlign w:val="center"/>
            <w:hideMark/>
          </w:tcPr>
          <w:p w14:paraId="0EB13301" w14:textId="77777777" w:rsidR="00811B0F" w:rsidRPr="001808DF" w:rsidRDefault="00811B0F" w:rsidP="00811B0F">
            <w:pPr>
              <w:jc w:val="center"/>
              <w:rPr>
                <w:rFonts w:ascii="Arial" w:hAnsi="Arial" w:cs="Arial"/>
                <w:color w:val="000000"/>
                <w:sz w:val="16"/>
                <w:szCs w:val="16"/>
                <w:lang w:val="en-GB"/>
              </w:rPr>
            </w:pPr>
            <w:r w:rsidRPr="001808DF">
              <w:rPr>
                <w:rFonts w:ascii="Arial" w:hAnsi="Arial" w:cs="Arial"/>
                <w:color w:val="000000"/>
                <w:sz w:val="16"/>
                <w:szCs w:val="16"/>
                <w:lang w:val="en-GB"/>
              </w:rPr>
              <w:t>Objective and/or activity affected</w:t>
            </w:r>
          </w:p>
        </w:tc>
        <w:tc>
          <w:tcPr>
            <w:tcW w:w="459" w:type="dxa"/>
            <w:tcBorders>
              <w:top w:val="nil"/>
              <w:left w:val="nil"/>
              <w:bottom w:val="single" w:sz="4" w:space="0" w:color="A8A8A8"/>
              <w:right w:val="single" w:sz="4" w:space="0" w:color="A8A8A8"/>
            </w:tcBorders>
            <w:shd w:val="clear" w:color="000000" w:fill="E6E6E6"/>
            <w:vAlign w:val="center"/>
            <w:hideMark/>
          </w:tcPr>
          <w:p w14:paraId="3EFE6A0E"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Type of instrument</w:t>
            </w:r>
          </w:p>
        </w:tc>
        <w:tc>
          <w:tcPr>
            <w:tcW w:w="218" w:type="dxa"/>
            <w:tcBorders>
              <w:top w:val="nil"/>
              <w:left w:val="nil"/>
              <w:bottom w:val="single" w:sz="4" w:space="0" w:color="A8A8A8"/>
              <w:right w:val="single" w:sz="4" w:space="0" w:color="A8A8A8"/>
            </w:tcBorders>
            <w:shd w:val="clear" w:color="000000" w:fill="E6E6E6"/>
            <w:vAlign w:val="center"/>
            <w:hideMark/>
          </w:tcPr>
          <w:p w14:paraId="413779DF"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Status of implementation</w:t>
            </w:r>
          </w:p>
        </w:tc>
        <w:tc>
          <w:tcPr>
            <w:tcW w:w="3407" w:type="dxa"/>
            <w:tcBorders>
              <w:top w:val="nil"/>
              <w:left w:val="nil"/>
              <w:bottom w:val="single" w:sz="4" w:space="0" w:color="A8A8A8"/>
              <w:right w:val="single" w:sz="4" w:space="0" w:color="A8A8A8"/>
            </w:tcBorders>
            <w:shd w:val="clear" w:color="000000" w:fill="E6E6E6"/>
            <w:vAlign w:val="center"/>
            <w:hideMark/>
          </w:tcPr>
          <w:p w14:paraId="084B313D"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 xml:space="preserve">Brief description </w:t>
            </w:r>
          </w:p>
        </w:tc>
        <w:tc>
          <w:tcPr>
            <w:tcW w:w="218" w:type="dxa"/>
            <w:tcBorders>
              <w:top w:val="nil"/>
              <w:left w:val="nil"/>
              <w:bottom w:val="single" w:sz="4" w:space="0" w:color="A8A8A8"/>
              <w:right w:val="single" w:sz="4" w:space="0" w:color="A8A8A8"/>
            </w:tcBorders>
            <w:shd w:val="clear" w:color="000000" w:fill="E6E6E6"/>
            <w:vAlign w:val="center"/>
            <w:hideMark/>
          </w:tcPr>
          <w:p w14:paraId="47ACA0BD"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Start year of implementation</w:t>
            </w:r>
          </w:p>
        </w:tc>
        <w:tc>
          <w:tcPr>
            <w:tcW w:w="1478" w:type="dxa"/>
            <w:tcBorders>
              <w:top w:val="nil"/>
              <w:left w:val="nil"/>
              <w:bottom w:val="single" w:sz="4" w:space="0" w:color="A8A8A8"/>
              <w:right w:val="single" w:sz="4" w:space="0" w:color="A8A8A8"/>
            </w:tcBorders>
            <w:shd w:val="clear" w:color="000000" w:fill="E6E6E6"/>
            <w:vAlign w:val="center"/>
            <w:hideMark/>
          </w:tcPr>
          <w:p w14:paraId="449F599D" w14:textId="77777777" w:rsidR="00811B0F" w:rsidRPr="001808DF" w:rsidRDefault="00811B0F" w:rsidP="00811B0F">
            <w:pPr>
              <w:jc w:val="center"/>
              <w:rPr>
                <w:rFonts w:ascii="Arial" w:hAnsi="Arial" w:cs="Arial"/>
                <w:color w:val="000000"/>
                <w:sz w:val="16"/>
                <w:szCs w:val="16"/>
              </w:rPr>
            </w:pPr>
            <w:r w:rsidRPr="001808DF">
              <w:rPr>
                <w:rFonts w:ascii="Arial" w:hAnsi="Arial" w:cs="Arial"/>
                <w:color w:val="000000"/>
                <w:sz w:val="16"/>
                <w:szCs w:val="16"/>
              </w:rPr>
              <w:t>Implementing entity or entities</w:t>
            </w:r>
          </w:p>
        </w:tc>
        <w:tc>
          <w:tcPr>
            <w:tcW w:w="48" w:type="dxa"/>
            <w:tcBorders>
              <w:top w:val="nil"/>
              <w:left w:val="nil"/>
              <w:bottom w:val="nil"/>
              <w:right w:val="nil"/>
            </w:tcBorders>
            <w:shd w:val="clear" w:color="000000" w:fill="E6E6E6"/>
            <w:vAlign w:val="center"/>
            <w:hideMark/>
          </w:tcPr>
          <w:p w14:paraId="303DA58B" w14:textId="77777777" w:rsidR="00811B0F" w:rsidRPr="001808DF" w:rsidRDefault="00811B0F" w:rsidP="00811B0F">
            <w:pPr>
              <w:jc w:val="center"/>
              <w:rPr>
                <w:rFonts w:ascii="Arial" w:hAnsi="Arial" w:cs="Arial"/>
                <w:color w:val="000000"/>
                <w:sz w:val="16"/>
                <w:szCs w:val="16"/>
              </w:rPr>
            </w:pPr>
            <w:r w:rsidRPr="001808DF">
              <w:rPr>
                <w:rFonts w:ascii="Arial" w:hAnsi="Arial" w:cs="Arial"/>
                <w:sz w:val="16"/>
                <w:szCs w:val="16"/>
              </w:rPr>
              <w:t>2020</w:t>
            </w:r>
          </w:p>
        </w:tc>
        <w:tc>
          <w:tcPr>
            <w:tcW w:w="77" w:type="dxa"/>
            <w:tcBorders>
              <w:top w:val="nil"/>
              <w:left w:val="nil"/>
              <w:bottom w:val="nil"/>
              <w:right w:val="nil"/>
            </w:tcBorders>
            <w:shd w:val="clear" w:color="000000" w:fill="E6E6E6"/>
            <w:vAlign w:val="center"/>
            <w:hideMark/>
          </w:tcPr>
          <w:p w14:paraId="4804803D" w14:textId="77777777" w:rsidR="00811B0F" w:rsidRPr="001808DF" w:rsidRDefault="00811B0F" w:rsidP="00811B0F">
            <w:pPr>
              <w:jc w:val="center"/>
              <w:rPr>
                <w:rFonts w:ascii="Arial" w:hAnsi="Arial" w:cs="Arial"/>
                <w:color w:val="000000"/>
                <w:sz w:val="16"/>
                <w:szCs w:val="16"/>
              </w:rPr>
            </w:pPr>
            <w:r w:rsidRPr="001808DF">
              <w:rPr>
                <w:rFonts w:ascii="Arial" w:hAnsi="Arial" w:cs="Arial"/>
                <w:sz w:val="16"/>
                <w:szCs w:val="16"/>
              </w:rPr>
              <w:t>2025</w:t>
            </w:r>
          </w:p>
        </w:tc>
        <w:tc>
          <w:tcPr>
            <w:tcW w:w="86" w:type="dxa"/>
            <w:tcBorders>
              <w:top w:val="nil"/>
              <w:left w:val="nil"/>
              <w:bottom w:val="nil"/>
              <w:right w:val="nil"/>
            </w:tcBorders>
            <w:shd w:val="clear" w:color="000000" w:fill="E6E6E6"/>
            <w:vAlign w:val="center"/>
            <w:hideMark/>
          </w:tcPr>
          <w:p w14:paraId="6FB88D95" w14:textId="77777777" w:rsidR="00811B0F" w:rsidRPr="001808DF" w:rsidRDefault="00811B0F" w:rsidP="00811B0F">
            <w:pPr>
              <w:jc w:val="center"/>
              <w:rPr>
                <w:rFonts w:ascii="Arial" w:hAnsi="Arial" w:cs="Arial"/>
                <w:color w:val="000000"/>
                <w:sz w:val="16"/>
                <w:szCs w:val="16"/>
              </w:rPr>
            </w:pPr>
            <w:r w:rsidRPr="001808DF">
              <w:rPr>
                <w:rFonts w:ascii="Arial" w:hAnsi="Arial" w:cs="Arial"/>
                <w:sz w:val="16"/>
                <w:szCs w:val="16"/>
              </w:rPr>
              <w:t>2030</w:t>
            </w:r>
          </w:p>
        </w:tc>
        <w:tc>
          <w:tcPr>
            <w:tcW w:w="86" w:type="dxa"/>
            <w:tcBorders>
              <w:top w:val="nil"/>
              <w:left w:val="nil"/>
              <w:bottom w:val="nil"/>
              <w:right w:val="nil"/>
            </w:tcBorders>
            <w:shd w:val="clear" w:color="000000" w:fill="E6E6E6"/>
            <w:vAlign w:val="center"/>
            <w:hideMark/>
          </w:tcPr>
          <w:p w14:paraId="161C7CC6" w14:textId="77777777" w:rsidR="00811B0F" w:rsidRPr="001808DF" w:rsidRDefault="00811B0F" w:rsidP="00811B0F">
            <w:pPr>
              <w:jc w:val="center"/>
              <w:rPr>
                <w:rFonts w:ascii="Arial" w:hAnsi="Arial" w:cs="Arial"/>
                <w:color w:val="000000"/>
                <w:sz w:val="16"/>
                <w:szCs w:val="16"/>
              </w:rPr>
            </w:pPr>
            <w:r w:rsidRPr="001808DF">
              <w:rPr>
                <w:rFonts w:ascii="Arial" w:hAnsi="Arial" w:cs="Arial"/>
                <w:sz w:val="16"/>
                <w:szCs w:val="16"/>
              </w:rPr>
              <w:t>2035</w:t>
            </w:r>
          </w:p>
        </w:tc>
      </w:tr>
      <w:tr w:rsidR="00811B0F" w:rsidRPr="001808DF" w14:paraId="5FAB1F11" w14:textId="77777777" w:rsidTr="00811B0F">
        <w:trPr>
          <w:trHeight w:val="30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E9B85" w14:textId="238135FE" w:rsidR="00811B0F" w:rsidRPr="001808DF" w:rsidRDefault="00811B0F" w:rsidP="00811B0F">
            <w:pPr>
              <w:jc w:val="left"/>
              <w:rPr>
                <w:rFonts w:ascii="Arial" w:hAnsi="Arial" w:cs="Arial"/>
                <w:color w:val="000000"/>
                <w:sz w:val="16"/>
                <w:szCs w:val="16"/>
              </w:rPr>
            </w:pPr>
            <w:r w:rsidRPr="001808DF">
              <w:rPr>
                <w:rFonts w:ascii="Arial" w:hAnsi="Arial" w:cs="Arial"/>
                <w:noProof/>
                <w:color w:val="000000"/>
                <w:sz w:val="16"/>
                <w:szCs w:val="16"/>
              </w:rPr>
              <w:drawing>
                <wp:anchor distT="0" distB="0" distL="114300" distR="114300" simplePos="0" relativeHeight="251844096" behindDoc="0" locked="0" layoutInCell="1" allowOverlap="1" wp14:anchorId="572D8E48" wp14:editId="5896928E">
                  <wp:simplePos x="0" y="0"/>
                  <wp:positionH relativeFrom="column">
                    <wp:posOffset>0</wp:posOffset>
                  </wp:positionH>
                  <wp:positionV relativeFrom="paragraph">
                    <wp:posOffset>57150</wp:posOffset>
                  </wp:positionV>
                  <wp:extent cx="6629400" cy="3486150"/>
                  <wp:effectExtent l="0" t="0" r="0" b="0"/>
                  <wp:wrapNone/>
                  <wp:docPr id="17" name="Image 17" hidden="1">
                    <a:extLst xmlns:a="http://schemas.openxmlformats.org/drawingml/2006/main">
                      <a:ext uri="{FF2B5EF4-FFF2-40B4-BE49-F238E27FC236}">
                        <a16:creationId xmlns:a16="http://schemas.microsoft.com/office/drawing/2014/main" id="{063CB111-1087-4662-BEC3-E7B86059C863}"/>
                      </a:ext>
                    </a:extLst>
                  </wp:docPr>
                  <wp:cNvGraphicFramePr/>
                  <a:graphic xmlns:a="http://schemas.openxmlformats.org/drawingml/2006/main">
                    <a:graphicData uri="http://schemas.openxmlformats.org/drawingml/2006/picture">
                      <pic:pic xmlns:pic="http://schemas.openxmlformats.org/drawingml/2006/picture">
                        <pic:nvPicPr>
                          <pic:cNvPr id="4" name="DisableMacro" hidden="1">
                            <a:extLst>
                              <a:ext uri="{FF2B5EF4-FFF2-40B4-BE49-F238E27FC236}">
                                <a16:creationId xmlns:a16="http://schemas.microsoft.com/office/drawing/2014/main" id="{063CB111-1087-4662-BEC3-E7B86059C863}"/>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980952" cy="3485714"/>
                          </a:xfrm>
                          <a:prstGeom prst="rect">
                            <a:avLst/>
                          </a:prstGeom>
                        </pic:spPr>
                      </pic:pic>
                    </a:graphicData>
                  </a:graphic>
                  <wp14:sizeRelH relativeFrom="page">
                    <wp14:pctWidth>0</wp14:pctWidth>
                  </wp14:sizeRelH>
                  <wp14:sizeRelV relativeFrom="page">
                    <wp14:pctHeight>0</wp14:pctHeight>
                  </wp14:sizeRelV>
                </wp:anchor>
              </w:drawing>
            </w:r>
            <w:r w:rsidRPr="001808DF">
              <w:rPr>
                <w:rFonts w:ascii="Arial" w:hAnsi="Arial" w:cs="Arial"/>
                <w:color w:val="000000"/>
                <w:sz w:val="16"/>
                <w:szCs w:val="16"/>
              </w:rPr>
              <w:t>Stratégie protéines végétales</w:t>
            </w:r>
          </w:p>
        </w:tc>
        <w:tc>
          <w:tcPr>
            <w:tcW w:w="218" w:type="dxa"/>
            <w:tcBorders>
              <w:top w:val="single" w:sz="4" w:space="0" w:color="auto"/>
              <w:left w:val="nil"/>
              <w:bottom w:val="single" w:sz="4" w:space="0" w:color="auto"/>
              <w:right w:val="single" w:sz="4" w:space="0" w:color="auto"/>
            </w:tcBorders>
            <w:shd w:val="clear" w:color="auto" w:fill="auto"/>
            <w:noWrap/>
            <w:vAlign w:val="bottom"/>
            <w:hideMark/>
          </w:tcPr>
          <w:p w14:paraId="0FE0FD3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single" w:sz="4" w:space="0" w:color="auto"/>
              <w:left w:val="nil"/>
              <w:bottom w:val="single" w:sz="4" w:space="0" w:color="auto"/>
              <w:right w:val="single" w:sz="4" w:space="0" w:color="auto"/>
            </w:tcBorders>
            <w:shd w:val="clear" w:color="auto" w:fill="auto"/>
            <w:noWrap/>
            <w:vAlign w:val="bottom"/>
            <w:hideMark/>
          </w:tcPr>
          <w:p w14:paraId="455F97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F55251B" w14:textId="5934B232"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CH4, </w:t>
            </w:r>
            <w:r w:rsidRPr="001808DF">
              <w:rPr>
                <w:sz w:val="16"/>
                <w:szCs w:val="16"/>
              </w:rPr>
              <w:t>CO</w:t>
            </w:r>
            <w:r w:rsidRPr="001808DF">
              <w:rPr>
                <w:sz w:val="16"/>
                <w:szCs w:val="16"/>
                <w:vertAlign w:val="subscript"/>
              </w:rPr>
              <w:t>2</w:t>
            </w:r>
            <w:r w:rsidRPr="001808DF">
              <w:rPr>
                <w:rFonts w:ascii="Arial" w:hAnsi="Arial" w:cs="Arial"/>
                <w:color w:val="000000"/>
                <w:sz w:val="16"/>
                <w:szCs w:val="16"/>
              </w:rPr>
              <w:t>, N2O</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14:paraId="007D893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6B0638D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Other (Support)</w:t>
            </w:r>
          </w:p>
        </w:tc>
        <w:tc>
          <w:tcPr>
            <w:tcW w:w="218" w:type="dxa"/>
            <w:tcBorders>
              <w:top w:val="single" w:sz="4" w:space="0" w:color="auto"/>
              <w:left w:val="nil"/>
              <w:bottom w:val="single" w:sz="4" w:space="0" w:color="auto"/>
              <w:right w:val="single" w:sz="4" w:space="0" w:color="auto"/>
            </w:tcBorders>
            <w:shd w:val="clear" w:color="auto" w:fill="auto"/>
            <w:noWrap/>
            <w:vAlign w:val="bottom"/>
            <w:hideMark/>
          </w:tcPr>
          <w:p w14:paraId="68BF172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single" w:sz="4" w:space="0" w:color="auto"/>
              <w:left w:val="nil"/>
              <w:bottom w:val="single" w:sz="4" w:space="0" w:color="auto"/>
              <w:right w:val="single" w:sz="4" w:space="0" w:color="auto"/>
            </w:tcBorders>
            <w:shd w:val="clear" w:color="auto" w:fill="auto"/>
            <w:noWrap/>
            <w:vAlign w:val="bottom"/>
            <w:hideMark/>
          </w:tcPr>
          <w:p w14:paraId="05E7F50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L'objectif est d'engager durablement l'agriculture française dans le développement de cultures de légumineuses. La stratégie s'articule autour de 3 axes principaux : le développement de la production de protéines végétales et le renforcement de l'autonomie de l'élevage français, en mobilisant les outils réglementaires et incitatifs de la Politique Agricole Commune ; la poursuite d'efforts de recherche et d'appui technique coordonnés aux producteurs ; le renforcement de la gouvernance. </w:t>
            </w:r>
          </w:p>
        </w:tc>
        <w:tc>
          <w:tcPr>
            <w:tcW w:w="218" w:type="dxa"/>
            <w:tcBorders>
              <w:top w:val="single" w:sz="4" w:space="0" w:color="auto"/>
              <w:left w:val="nil"/>
              <w:bottom w:val="single" w:sz="4" w:space="0" w:color="auto"/>
              <w:right w:val="single" w:sz="4" w:space="0" w:color="auto"/>
            </w:tcBorders>
            <w:shd w:val="clear" w:color="auto" w:fill="auto"/>
            <w:noWrap/>
            <w:vAlign w:val="bottom"/>
            <w:hideMark/>
          </w:tcPr>
          <w:p w14:paraId="2EB000C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14:paraId="311AE06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l'Agriculture et de l'Alimentation (Government)</w:t>
            </w:r>
          </w:p>
        </w:tc>
        <w:tc>
          <w:tcPr>
            <w:tcW w:w="48" w:type="dxa"/>
            <w:tcBorders>
              <w:top w:val="single" w:sz="4" w:space="0" w:color="auto"/>
              <w:left w:val="nil"/>
              <w:bottom w:val="single" w:sz="4" w:space="0" w:color="auto"/>
              <w:right w:val="single" w:sz="4" w:space="0" w:color="auto"/>
            </w:tcBorders>
            <w:shd w:val="clear" w:color="auto" w:fill="auto"/>
            <w:hideMark/>
          </w:tcPr>
          <w:p w14:paraId="6F20CBC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single" w:sz="4" w:space="0" w:color="auto"/>
              <w:left w:val="nil"/>
              <w:bottom w:val="single" w:sz="4" w:space="0" w:color="auto"/>
              <w:right w:val="single" w:sz="4" w:space="0" w:color="auto"/>
            </w:tcBorders>
            <w:shd w:val="clear" w:color="auto" w:fill="auto"/>
            <w:hideMark/>
          </w:tcPr>
          <w:p w14:paraId="5835854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single" w:sz="4" w:space="0" w:color="auto"/>
              <w:left w:val="nil"/>
              <w:bottom w:val="single" w:sz="4" w:space="0" w:color="auto"/>
              <w:right w:val="single" w:sz="4" w:space="0" w:color="auto"/>
            </w:tcBorders>
            <w:shd w:val="clear" w:color="auto" w:fill="auto"/>
            <w:hideMark/>
          </w:tcPr>
          <w:p w14:paraId="1845D5D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single" w:sz="4" w:space="0" w:color="auto"/>
              <w:left w:val="nil"/>
              <w:bottom w:val="single" w:sz="4" w:space="0" w:color="auto"/>
              <w:right w:val="single" w:sz="4" w:space="0" w:color="auto"/>
            </w:tcBorders>
            <w:shd w:val="clear" w:color="auto" w:fill="auto"/>
            <w:hideMark/>
          </w:tcPr>
          <w:p w14:paraId="4A2A9BE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82988FF"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2D3B39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Projet protéines du futur</w:t>
            </w:r>
          </w:p>
        </w:tc>
        <w:tc>
          <w:tcPr>
            <w:tcW w:w="218" w:type="dxa"/>
            <w:tcBorders>
              <w:top w:val="nil"/>
              <w:left w:val="nil"/>
              <w:bottom w:val="single" w:sz="4" w:space="0" w:color="auto"/>
              <w:right w:val="single" w:sz="4" w:space="0" w:color="auto"/>
            </w:tcBorders>
            <w:shd w:val="clear" w:color="auto" w:fill="auto"/>
            <w:noWrap/>
            <w:vAlign w:val="bottom"/>
            <w:hideMark/>
          </w:tcPr>
          <w:p w14:paraId="4E9D1DE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7C90879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4FAED54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0138861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07C1762" w14:textId="77777777" w:rsidR="00811B0F" w:rsidRPr="001808DF" w:rsidRDefault="00811B0F" w:rsidP="00811B0F">
            <w:pPr>
              <w:jc w:val="left"/>
              <w:rPr>
                <w:rFonts w:ascii="Arial" w:hAnsi="Arial" w:cs="Arial"/>
                <w:color w:val="000000"/>
                <w:sz w:val="16"/>
                <w:szCs w:val="16"/>
                <w:lang w:val="en-GB"/>
              </w:rPr>
            </w:pPr>
            <w:r w:rsidRPr="001808DF">
              <w:rPr>
                <w:rFonts w:ascii="Arial" w:hAnsi="Arial" w:cs="Arial"/>
                <w:color w:val="000000"/>
                <w:sz w:val="16"/>
                <w:szCs w:val="16"/>
                <w:lang w:val="en-GB"/>
              </w:rPr>
              <w:t>Economic, Information, Other (Support), Other (Consulting)</w:t>
            </w:r>
          </w:p>
        </w:tc>
        <w:tc>
          <w:tcPr>
            <w:tcW w:w="218" w:type="dxa"/>
            <w:tcBorders>
              <w:top w:val="nil"/>
              <w:left w:val="nil"/>
              <w:bottom w:val="single" w:sz="4" w:space="0" w:color="auto"/>
              <w:right w:val="single" w:sz="4" w:space="0" w:color="auto"/>
            </w:tcBorders>
            <w:shd w:val="clear" w:color="auto" w:fill="auto"/>
            <w:noWrap/>
            <w:vAlign w:val="bottom"/>
            <w:hideMark/>
          </w:tcPr>
          <w:p w14:paraId="639A094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Planned</w:t>
            </w:r>
          </w:p>
        </w:tc>
        <w:tc>
          <w:tcPr>
            <w:tcW w:w="3407" w:type="dxa"/>
            <w:tcBorders>
              <w:top w:val="nil"/>
              <w:left w:val="nil"/>
              <w:bottom w:val="single" w:sz="4" w:space="0" w:color="auto"/>
              <w:right w:val="single" w:sz="4" w:space="0" w:color="auto"/>
            </w:tcBorders>
            <w:shd w:val="clear" w:color="auto" w:fill="auto"/>
            <w:noWrap/>
            <w:vAlign w:val="bottom"/>
            <w:hideMark/>
          </w:tcPr>
          <w:p w14:paraId="2763E0B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Etabli par les ministères en charge de l'économie et de l'agriculture en coopération avec l'ANIA (Association nationale des industries alimentaires) et Coop de France (entreprises-coopératives agricoles et agroalimentaires), dans le cadre du conseil national de l'industrie, le Contrat stratégique de la filère agroalimentaire (CSF) a été signé le 16 novembre 2018. Il comporte notamment un projet de développement des protéines végétales dans l'alimentation (projet protéines du futur), complémentaire du plan de filière oléo-protéagineux 2018-2022. Objectifs: soutien à des projets de R&amp;D, mise en place dun référentiel sensoriel, communication grand public et veille réglementaire, accompagnement de start-ups.</w:t>
            </w:r>
          </w:p>
        </w:tc>
        <w:tc>
          <w:tcPr>
            <w:tcW w:w="218" w:type="dxa"/>
            <w:tcBorders>
              <w:top w:val="nil"/>
              <w:left w:val="nil"/>
              <w:bottom w:val="single" w:sz="4" w:space="0" w:color="auto"/>
              <w:right w:val="single" w:sz="4" w:space="0" w:color="auto"/>
            </w:tcBorders>
            <w:shd w:val="clear" w:color="auto" w:fill="auto"/>
            <w:noWrap/>
            <w:vAlign w:val="bottom"/>
            <w:hideMark/>
          </w:tcPr>
          <w:p w14:paraId="3DB064C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33163A9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Comité stratégique de filière(Companies / businesses / industrial associations); 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6D3BEE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45069C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BF6F5D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C4257A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47C49524"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C79649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Droit à l'injection (biométhane)</w:t>
            </w:r>
          </w:p>
        </w:tc>
        <w:tc>
          <w:tcPr>
            <w:tcW w:w="218" w:type="dxa"/>
            <w:tcBorders>
              <w:top w:val="nil"/>
              <w:left w:val="nil"/>
              <w:bottom w:val="single" w:sz="4" w:space="0" w:color="auto"/>
              <w:right w:val="single" w:sz="4" w:space="0" w:color="auto"/>
            </w:tcBorders>
            <w:shd w:val="clear" w:color="auto" w:fill="auto"/>
            <w:noWrap/>
            <w:vAlign w:val="bottom"/>
            <w:hideMark/>
          </w:tcPr>
          <w:p w14:paraId="4815F443" w14:textId="77777777" w:rsidR="00811B0F" w:rsidRPr="001808DF" w:rsidRDefault="00811B0F" w:rsidP="00811B0F">
            <w:pPr>
              <w:jc w:val="left"/>
              <w:rPr>
                <w:rFonts w:ascii="Arial" w:hAnsi="Arial" w:cs="Arial"/>
                <w:color w:val="000000"/>
                <w:sz w:val="16"/>
                <w:szCs w:val="16"/>
              </w:rPr>
            </w:pPr>
            <w:bookmarkStart w:id="320" w:name="RANGE!C9"/>
            <w:r w:rsidRPr="001808DF">
              <w:rPr>
                <w:rFonts w:ascii="Arial" w:hAnsi="Arial" w:cs="Arial"/>
                <w:color w:val="000000"/>
                <w:sz w:val="16"/>
                <w:szCs w:val="16"/>
              </w:rPr>
              <w:t>Yes</w:t>
            </w:r>
            <w:bookmarkEnd w:id="320"/>
          </w:p>
        </w:tc>
        <w:tc>
          <w:tcPr>
            <w:tcW w:w="369" w:type="dxa"/>
            <w:tcBorders>
              <w:top w:val="nil"/>
              <w:left w:val="nil"/>
              <w:bottom w:val="single" w:sz="4" w:space="0" w:color="auto"/>
              <w:right w:val="single" w:sz="4" w:space="0" w:color="auto"/>
            </w:tcBorders>
            <w:shd w:val="clear" w:color="auto" w:fill="auto"/>
            <w:noWrap/>
            <w:vAlign w:val="bottom"/>
            <w:hideMark/>
          </w:tcPr>
          <w:p w14:paraId="0D4899A4" w14:textId="77777777" w:rsidR="00811B0F" w:rsidRPr="001808DF" w:rsidRDefault="00811B0F" w:rsidP="00811B0F">
            <w:pPr>
              <w:jc w:val="left"/>
              <w:rPr>
                <w:rFonts w:ascii="Arial" w:hAnsi="Arial" w:cs="Arial"/>
                <w:color w:val="000000"/>
                <w:sz w:val="16"/>
                <w:szCs w:val="16"/>
                <w:lang w:val="en-GB"/>
              </w:rPr>
            </w:pPr>
            <w:r w:rsidRPr="001808DF">
              <w:rPr>
                <w:rFonts w:ascii="Arial" w:hAnsi="Arial" w:cs="Arial"/>
                <w:color w:val="000000"/>
                <w:sz w:val="16"/>
                <w:szCs w:val="16"/>
                <w:lang w:val="en-GB"/>
              </w:rPr>
              <w:t>Energy, Agriculture, Waste management/waste</w:t>
            </w:r>
          </w:p>
        </w:tc>
        <w:tc>
          <w:tcPr>
            <w:tcW w:w="340" w:type="dxa"/>
            <w:tcBorders>
              <w:top w:val="nil"/>
              <w:left w:val="nil"/>
              <w:bottom w:val="single" w:sz="4" w:space="0" w:color="auto"/>
              <w:right w:val="single" w:sz="4" w:space="0" w:color="auto"/>
            </w:tcBorders>
            <w:shd w:val="clear" w:color="auto" w:fill="auto"/>
            <w:noWrap/>
            <w:vAlign w:val="bottom"/>
            <w:hideMark/>
          </w:tcPr>
          <w:p w14:paraId="353AE04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CH4</w:t>
            </w:r>
          </w:p>
        </w:tc>
        <w:tc>
          <w:tcPr>
            <w:tcW w:w="469" w:type="dxa"/>
            <w:tcBorders>
              <w:top w:val="nil"/>
              <w:left w:val="nil"/>
              <w:bottom w:val="single" w:sz="4" w:space="0" w:color="auto"/>
              <w:right w:val="single" w:sz="4" w:space="0" w:color="auto"/>
            </w:tcBorders>
            <w:shd w:val="clear" w:color="auto" w:fill="auto"/>
            <w:noWrap/>
            <w:vAlign w:val="bottom"/>
            <w:hideMark/>
          </w:tcPr>
          <w:p w14:paraId="2EB9CF8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95AD3B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1C7A033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0FDAB4C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Lorsqu'une installation de production de biométhane est située à proximité d'un réseau de gaz naturel, les gestionnaires des réseaux de gaz naturel effectuent les renforcements nécessaires pour permettre l'injection dans le réseau de gaz du biométhane produit (dans des conditions et limites permettant de s'assurer de la pertinence technico-économique des investissements). L'objectif est de faciliter la réalisation de projets de méthanisation aujourd'hui limités par la capacité de l'antenne de réseau de gaz locale.</w:t>
            </w:r>
          </w:p>
        </w:tc>
        <w:tc>
          <w:tcPr>
            <w:tcW w:w="218" w:type="dxa"/>
            <w:tcBorders>
              <w:top w:val="nil"/>
              <w:left w:val="nil"/>
              <w:bottom w:val="single" w:sz="4" w:space="0" w:color="auto"/>
              <w:right w:val="single" w:sz="4" w:space="0" w:color="auto"/>
            </w:tcBorders>
            <w:shd w:val="clear" w:color="auto" w:fill="auto"/>
            <w:noWrap/>
            <w:vAlign w:val="bottom"/>
            <w:hideMark/>
          </w:tcPr>
          <w:p w14:paraId="545698B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92DEE4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21A604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8EB3DE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3B2D22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E344EE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BEBA496"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B9A650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Volet agricole de la feuille de route économie circulaire</w:t>
            </w:r>
          </w:p>
        </w:tc>
        <w:tc>
          <w:tcPr>
            <w:tcW w:w="218" w:type="dxa"/>
            <w:tcBorders>
              <w:top w:val="nil"/>
              <w:left w:val="nil"/>
              <w:bottom w:val="single" w:sz="4" w:space="0" w:color="auto"/>
              <w:right w:val="single" w:sz="4" w:space="0" w:color="auto"/>
            </w:tcBorders>
            <w:shd w:val="clear" w:color="auto" w:fill="auto"/>
            <w:noWrap/>
            <w:vAlign w:val="bottom"/>
            <w:hideMark/>
          </w:tcPr>
          <w:p w14:paraId="4D22034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2CE37BF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Agriculture, Waste management/waste, Energy</w:t>
            </w:r>
          </w:p>
        </w:tc>
        <w:tc>
          <w:tcPr>
            <w:tcW w:w="340" w:type="dxa"/>
            <w:tcBorders>
              <w:top w:val="nil"/>
              <w:left w:val="nil"/>
              <w:bottom w:val="single" w:sz="4" w:space="0" w:color="auto"/>
              <w:right w:val="single" w:sz="4" w:space="0" w:color="auto"/>
            </w:tcBorders>
            <w:shd w:val="clear" w:color="auto" w:fill="auto"/>
            <w:noWrap/>
            <w:vAlign w:val="bottom"/>
            <w:hideMark/>
          </w:tcPr>
          <w:p w14:paraId="2E1700FB" w14:textId="3841BB6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N2O, </w:t>
            </w: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38D5FA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19B1B3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Information</w:t>
            </w:r>
          </w:p>
        </w:tc>
        <w:tc>
          <w:tcPr>
            <w:tcW w:w="218" w:type="dxa"/>
            <w:tcBorders>
              <w:top w:val="nil"/>
              <w:left w:val="nil"/>
              <w:bottom w:val="single" w:sz="4" w:space="0" w:color="auto"/>
              <w:right w:val="single" w:sz="4" w:space="0" w:color="auto"/>
            </w:tcBorders>
            <w:shd w:val="clear" w:color="auto" w:fill="auto"/>
            <w:noWrap/>
            <w:vAlign w:val="bottom"/>
            <w:hideMark/>
          </w:tcPr>
          <w:p w14:paraId="566F60B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9DD7F7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volet agricole de la feuille de route économie circulaire vise à mobiliser les matières fertilisantes issues du recyclage pour substituer en partie les engrais minéraux issus de ressources non renouvelables et contribuer à lapport de matières organiques, et donc de carbone, dans les sols.</w:t>
            </w:r>
          </w:p>
        </w:tc>
        <w:tc>
          <w:tcPr>
            <w:tcW w:w="218" w:type="dxa"/>
            <w:tcBorders>
              <w:top w:val="nil"/>
              <w:left w:val="nil"/>
              <w:bottom w:val="single" w:sz="4" w:space="0" w:color="auto"/>
              <w:right w:val="single" w:sz="4" w:space="0" w:color="auto"/>
            </w:tcBorders>
            <w:shd w:val="clear" w:color="auto" w:fill="auto"/>
            <w:noWrap/>
            <w:vAlign w:val="bottom"/>
            <w:hideMark/>
          </w:tcPr>
          <w:p w14:paraId="116F697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A2E02B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522C57A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0A2B0AF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0507E2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B04382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28874BBB"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A15D59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Obligations d'économies d'énergie dans le parc tertiaire</w:t>
            </w:r>
          </w:p>
        </w:tc>
        <w:tc>
          <w:tcPr>
            <w:tcW w:w="218" w:type="dxa"/>
            <w:tcBorders>
              <w:top w:val="nil"/>
              <w:left w:val="nil"/>
              <w:bottom w:val="single" w:sz="4" w:space="0" w:color="auto"/>
              <w:right w:val="single" w:sz="4" w:space="0" w:color="auto"/>
            </w:tcBorders>
            <w:shd w:val="clear" w:color="auto" w:fill="auto"/>
            <w:noWrap/>
            <w:vAlign w:val="bottom"/>
            <w:hideMark/>
          </w:tcPr>
          <w:p w14:paraId="62B036E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D364F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47A5DA92" w14:textId="5FF4E11A"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0BEDCD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52B211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12A121E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4A9F98A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Les bâtiments, parties de bâtiments ou ensemble de bâtiments à usage tertiaire dont la surface est supérieure à 1000m² ont des obligations d'actions de réduction des consommations d'énergie. Ils doivent atteindre, pour chacune des années 2030, 2040 et 2050, les objectifs suivants : soit un niveau de consommation d'énergie finale réduit, respectivement, de 40 %, 50 % et 60 % par rapport à une consommation énergétique de référence qui ne peut être antérieure à 2010 ; soit un niveau de consommation d'énergie finale fixé en valeur absolue, en fonction de la consommation énergétique des bâtiments nouveaux de leur catégorie.</w:t>
            </w:r>
          </w:p>
        </w:tc>
        <w:tc>
          <w:tcPr>
            <w:tcW w:w="218" w:type="dxa"/>
            <w:tcBorders>
              <w:top w:val="nil"/>
              <w:left w:val="nil"/>
              <w:bottom w:val="single" w:sz="4" w:space="0" w:color="auto"/>
              <w:right w:val="single" w:sz="4" w:space="0" w:color="auto"/>
            </w:tcBorders>
            <w:shd w:val="clear" w:color="auto" w:fill="auto"/>
            <w:noWrap/>
            <w:vAlign w:val="bottom"/>
            <w:hideMark/>
          </w:tcPr>
          <w:p w14:paraId="67B1104B"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0ECAF93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BC7A95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5B954B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1F2C01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8C068F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E93547E"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9711EC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Accompagnement de la filière agroalimentaire dans l'amélioration de sa performance environnementale</w:t>
            </w:r>
          </w:p>
        </w:tc>
        <w:tc>
          <w:tcPr>
            <w:tcW w:w="218" w:type="dxa"/>
            <w:tcBorders>
              <w:top w:val="nil"/>
              <w:left w:val="nil"/>
              <w:bottom w:val="single" w:sz="4" w:space="0" w:color="auto"/>
              <w:right w:val="single" w:sz="4" w:space="0" w:color="auto"/>
            </w:tcBorders>
            <w:shd w:val="clear" w:color="auto" w:fill="auto"/>
            <w:noWrap/>
            <w:vAlign w:val="bottom"/>
            <w:hideMark/>
          </w:tcPr>
          <w:p w14:paraId="33B6639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7717E45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Industry/industrial processes, Energy</w:t>
            </w:r>
          </w:p>
        </w:tc>
        <w:tc>
          <w:tcPr>
            <w:tcW w:w="340" w:type="dxa"/>
            <w:tcBorders>
              <w:top w:val="nil"/>
              <w:left w:val="nil"/>
              <w:bottom w:val="single" w:sz="4" w:space="0" w:color="auto"/>
              <w:right w:val="single" w:sz="4" w:space="0" w:color="auto"/>
            </w:tcBorders>
            <w:shd w:val="clear" w:color="auto" w:fill="auto"/>
            <w:noWrap/>
            <w:vAlign w:val="bottom"/>
            <w:hideMark/>
          </w:tcPr>
          <w:p w14:paraId="6A9F8577" w14:textId="702D488E"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HFCs, PFCs, </w:t>
            </w: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4D0185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E42DA4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25BDE99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1B6CDA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Etabli par les Ministères en charge de l'économie et de l'agriculture en coopération avec l'ANIA (Association nationale des industries alimentaires) et Coop de France (entreprises-coopératives agricoles et agroalimentaires), dans le cadre du conseil national de l'industrie, le Contrat stratégique de la filère agroalimentaire (CSF) a été signé le 16 novembre 2018. Il comporte notamment des mesures d'accompagnement de la performance environnementale des entreprises, notamment : diagnostic des usages des fluides frigorigènes et identification des alternatives; retour d'expérience sur le guide sur l'efficacité énergétique du 1er contrat de filière, en vue d'un ajustement des programmes d'accompagnement de l'industrie alimentaire.</w:t>
            </w:r>
          </w:p>
        </w:tc>
        <w:tc>
          <w:tcPr>
            <w:tcW w:w="218" w:type="dxa"/>
            <w:tcBorders>
              <w:top w:val="nil"/>
              <w:left w:val="nil"/>
              <w:bottom w:val="single" w:sz="4" w:space="0" w:color="auto"/>
              <w:right w:val="single" w:sz="4" w:space="0" w:color="auto"/>
            </w:tcBorders>
            <w:shd w:val="clear" w:color="auto" w:fill="auto"/>
            <w:noWrap/>
            <w:vAlign w:val="bottom"/>
            <w:hideMark/>
          </w:tcPr>
          <w:p w14:paraId="5CFC2EF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51A1EB5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Comité stratégique de filière(Companies / businesses / industrial associations); 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BCEF30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D4F104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D2FD2A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EB205B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2890F0BB"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51D330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Renforcement du fonds chaleur : dispositif de soutien financier de projets de production de chaleur à partir d’énergies renouvelables</w:t>
            </w:r>
          </w:p>
        </w:tc>
        <w:tc>
          <w:tcPr>
            <w:tcW w:w="218" w:type="dxa"/>
            <w:tcBorders>
              <w:top w:val="nil"/>
              <w:left w:val="nil"/>
              <w:bottom w:val="single" w:sz="4" w:space="0" w:color="auto"/>
              <w:right w:val="single" w:sz="4" w:space="0" w:color="auto"/>
            </w:tcBorders>
            <w:shd w:val="clear" w:color="auto" w:fill="auto"/>
            <w:noWrap/>
            <w:vAlign w:val="bottom"/>
            <w:hideMark/>
          </w:tcPr>
          <w:p w14:paraId="3C3B516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4AAFEA8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59C47F9A" w14:textId="454EDC08"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26012E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AC13D1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0250B4A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6D2E5D3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fonds chaleur soutient financièrement des projets de production de chaleur à partir d’énergies renouvelables : biomasse (sylvicole, agricole, biogaz…), géothermie (en utilisation directe ou par le biais de pompes à chaleur), solaire thermique, énergies de récupération, ainsi que le développement des réseaux de chaleur utilisant ces énergies. Les secteurs concernés sont l’habitat collectif, le tertiaire, l’agriculture et l’industrie. Le fonds chaleur permet à la chaleur renouvelable d’être compétitive par rapport à la chaleur produite à partir d’énergies conventionnelles, en garantissant un prix de la chaleur d'origine renouvelable inférieur denviron 5 % à celui obtenu avec des énergies conventionnelles. Le fonds chaleur a été doté sur la période 2009-2018 d’un montant de 2,16 Md€ en engagements juridiques.</w:t>
            </w:r>
            <w:r w:rsidRPr="001808DF">
              <w:rPr>
                <w:rFonts w:ascii="Arial" w:hAnsi="Arial" w:cs="Arial"/>
                <w:color w:val="000000"/>
                <w:sz w:val="16"/>
                <w:szCs w:val="16"/>
              </w:rPr>
              <w:br/>
              <w:t>La programmation pluriannuelle de l'énergie 2019-2028 prévoit un renforcement du fonds chaleur avec un budget de 307 M€ en 2019 puis 350M€ en 2020 et 2021, et 339M€ en 2022. Il est également prévu une simplification des règles, notamment en supprimant l’obligation des avances remboursables pour les remplacer par des subventions.</w:t>
            </w:r>
          </w:p>
        </w:tc>
        <w:tc>
          <w:tcPr>
            <w:tcW w:w="218" w:type="dxa"/>
            <w:tcBorders>
              <w:top w:val="nil"/>
              <w:left w:val="nil"/>
              <w:bottom w:val="single" w:sz="4" w:space="0" w:color="auto"/>
              <w:right w:val="single" w:sz="4" w:space="0" w:color="auto"/>
            </w:tcBorders>
            <w:shd w:val="clear" w:color="auto" w:fill="auto"/>
            <w:noWrap/>
            <w:vAlign w:val="bottom"/>
            <w:hideMark/>
          </w:tcPr>
          <w:p w14:paraId="26BA702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596C837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ADEME(Others)</w:t>
            </w:r>
          </w:p>
        </w:tc>
        <w:tc>
          <w:tcPr>
            <w:tcW w:w="48" w:type="dxa"/>
            <w:tcBorders>
              <w:top w:val="nil"/>
              <w:left w:val="nil"/>
              <w:bottom w:val="single" w:sz="4" w:space="0" w:color="auto"/>
              <w:right w:val="single" w:sz="4" w:space="0" w:color="auto"/>
            </w:tcBorders>
            <w:shd w:val="clear" w:color="auto" w:fill="auto"/>
            <w:noWrap/>
            <w:vAlign w:val="bottom"/>
            <w:hideMark/>
          </w:tcPr>
          <w:p w14:paraId="32FC787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AA77B2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62D3B6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04D826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2036BEF5"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B6FEFB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Arrêt des dernières centrales à charbon</w:t>
            </w:r>
          </w:p>
        </w:tc>
        <w:tc>
          <w:tcPr>
            <w:tcW w:w="218" w:type="dxa"/>
            <w:tcBorders>
              <w:top w:val="nil"/>
              <w:left w:val="nil"/>
              <w:bottom w:val="single" w:sz="4" w:space="0" w:color="auto"/>
              <w:right w:val="single" w:sz="4" w:space="0" w:color="auto"/>
            </w:tcBorders>
            <w:shd w:val="clear" w:color="auto" w:fill="auto"/>
            <w:noWrap/>
            <w:vAlign w:val="bottom"/>
            <w:hideMark/>
          </w:tcPr>
          <w:p w14:paraId="704BA7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2177142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704C23C1" w14:textId="4BECAE5C"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404A74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192853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5D0E80A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06B4EE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L’objectif fixé dans la programmation pluriannuelle de lénergie 2019-2028 est d’arrêter les dernières centrales électriques fonctionnant exclusivement au charbon ou d’accompagner leur évolution vers des solutions moins carbonées. Cette mesure a été mise en oeuvre via l'article 3 de la loi n° 2019-1147 dite "énergie climat" de 2019, avec un dispositif qui conduira à la fermeture des 4 dernières centrales d'ici fin 2024.</w:t>
            </w:r>
          </w:p>
        </w:tc>
        <w:tc>
          <w:tcPr>
            <w:tcW w:w="218" w:type="dxa"/>
            <w:tcBorders>
              <w:top w:val="nil"/>
              <w:left w:val="nil"/>
              <w:bottom w:val="single" w:sz="4" w:space="0" w:color="auto"/>
              <w:right w:val="single" w:sz="4" w:space="0" w:color="auto"/>
            </w:tcBorders>
            <w:shd w:val="clear" w:color="auto" w:fill="auto"/>
            <w:noWrap/>
            <w:vAlign w:val="bottom"/>
            <w:hideMark/>
          </w:tcPr>
          <w:p w14:paraId="7FBFD16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CD07D0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559936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8793EE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4 000,00</w:t>
            </w:r>
          </w:p>
        </w:tc>
        <w:tc>
          <w:tcPr>
            <w:tcW w:w="86" w:type="dxa"/>
            <w:tcBorders>
              <w:top w:val="nil"/>
              <w:left w:val="nil"/>
              <w:bottom w:val="single" w:sz="4" w:space="0" w:color="auto"/>
              <w:right w:val="single" w:sz="4" w:space="0" w:color="auto"/>
            </w:tcBorders>
            <w:shd w:val="clear" w:color="auto" w:fill="auto"/>
            <w:noWrap/>
            <w:vAlign w:val="bottom"/>
            <w:hideMark/>
          </w:tcPr>
          <w:p w14:paraId="1E6FAF6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4 000,00</w:t>
            </w:r>
          </w:p>
        </w:tc>
        <w:tc>
          <w:tcPr>
            <w:tcW w:w="86" w:type="dxa"/>
            <w:tcBorders>
              <w:top w:val="nil"/>
              <w:left w:val="nil"/>
              <w:bottom w:val="single" w:sz="4" w:space="0" w:color="auto"/>
              <w:right w:val="single" w:sz="4" w:space="0" w:color="auto"/>
            </w:tcBorders>
            <w:shd w:val="clear" w:color="auto" w:fill="auto"/>
            <w:noWrap/>
            <w:vAlign w:val="bottom"/>
            <w:hideMark/>
          </w:tcPr>
          <w:p w14:paraId="3DA93A8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4 000,00</w:t>
            </w:r>
          </w:p>
        </w:tc>
      </w:tr>
      <w:tr w:rsidR="00811B0F" w:rsidRPr="001808DF" w14:paraId="4E7D5589"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F48912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Interdiction de l'ouverture de nouvelles centrales de production exclusive d'électricité fonctionnant aux énergies fossiles</w:t>
            </w:r>
          </w:p>
        </w:tc>
        <w:tc>
          <w:tcPr>
            <w:tcW w:w="218" w:type="dxa"/>
            <w:tcBorders>
              <w:top w:val="nil"/>
              <w:left w:val="nil"/>
              <w:bottom w:val="single" w:sz="4" w:space="0" w:color="auto"/>
              <w:right w:val="single" w:sz="4" w:space="0" w:color="auto"/>
            </w:tcBorders>
            <w:shd w:val="clear" w:color="auto" w:fill="auto"/>
            <w:noWrap/>
            <w:vAlign w:val="bottom"/>
            <w:hideMark/>
          </w:tcPr>
          <w:p w14:paraId="4DF537F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37104E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31D6DE27" w14:textId="158556E4"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B1540C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962FE7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05C9E65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D9664C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prévoit de ne plus autoriser de nouveau projet de centrale de production exclusive d’électricité à partir d’énergies fossiles.</w:t>
            </w:r>
          </w:p>
        </w:tc>
        <w:tc>
          <w:tcPr>
            <w:tcW w:w="218" w:type="dxa"/>
            <w:tcBorders>
              <w:top w:val="nil"/>
              <w:left w:val="nil"/>
              <w:bottom w:val="single" w:sz="4" w:space="0" w:color="auto"/>
              <w:right w:val="single" w:sz="4" w:space="0" w:color="auto"/>
            </w:tcBorders>
            <w:shd w:val="clear" w:color="auto" w:fill="auto"/>
            <w:noWrap/>
            <w:vAlign w:val="bottom"/>
            <w:hideMark/>
          </w:tcPr>
          <w:p w14:paraId="7DA529F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4446E1D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E53908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6DD9D6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EEC888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33DA20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43CF010F"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94739B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Mesures en faveur de l'hydroélectricité</w:t>
            </w:r>
          </w:p>
        </w:tc>
        <w:tc>
          <w:tcPr>
            <w:tcW w:w="218" w:type="dxa"/>
            <w:tcBorders>
              <w:top w:val="nil"/>
              <w:left w:val="nil"/>
              <w:bottom w:val="single" w:sz="4" w:space="0" w:color="auto"/>
              <w:right w:val="single" w:sz="4" w:space="0" w:color="auto"/>
            </w:tcBorders>
            <w:shd w:val="clear" w:color="auto" w:fill="auto"/>
            <w:noWrap/>
            <w:vAlign w:val="bottom"/>
            <w:hideMark/>
          </w:tcPr>
          <w:p w14:paraId="7C7D1BB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669DCC5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4EB620AB" w14:textId="71EB1ADD"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C1016E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04AE95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64E6978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D4F151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de l'hydroélectricité : optimiser la production et la flexibilité du parc hydroélectrique, notamment au-travers de suréquipements et de l’installation de centrales hydroélectriques sur des barrages existants non-équipés, lancer des appels d’offres pour la petite hydroélectricité selon un calendrier défini dans la PPE 2.</w:t>
            </w:r>
          </w:p>
        </w:tc>
        <w:tc>
          <w:tcPr>
            <w:tcW w:w="218" w:type="dxa"/>
            <w:tcBorders>
              <w:top w:val="nil"/>
              <w:left w:val="nil"/>
              <w:bottom w:val="single" w:sz="4" w:space="0" w:color="auto"/>
              <w:right w:val="single" w:sz="4" w:space="0" w:color="auto"/>
            </w:tcBorders>
            <w:shd w:val="clear" w:color="auto" w:fill="auto"/>
            <w:noWrap/>
            <w:vAlign w:val="bottom"/>
            <w:hideMark/>
          </w:tcPr>
          <w:p w14:paraId="5DE8FC6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4E27EEB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CFE6AA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74F5A8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A507AE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C87E0F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C7AA065"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7686A4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Mesures en faveur de l'éolien terrestre</w:t>
            </w:r>
          </w:p>
        </w:tc>
        <w:tc>
          <w:tcPr>
            <w:tcW w:w="218" w:type="dxa"/>
            <w:tcBorders>
              <w:top w:val="nil"/>
              <w:left w:val="nil"/>
              <w:bottom w:val="single" w:sz="4" w:space="0" w:color="auto"/>
              <w:right w:val="single" w:sz="4" w:space="0" w:color="auto"/>
            </w:tcBorders>
            <w:shd w:val="clear" w:color="auto" w:fill="auto"/>
            <w:noWrap/>
            <w:vAlign w:val="bottom"/>
            <w:hideMark/>
          </w:tcPr>
          <w:p w14:paraId="7BC2DB3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7D61E09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2EF2FA6C" w14:textId="3DA21735"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A7DBFC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533E8A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3371059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1F0512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de l'éolien terrestre : rendre obligatoire d’ici 2023 le recyclage des matériaux constitutifs des éoliennes lors de leur démantèlement, favoriser la réutilisation des sites éoliens en fin de vie pour y réimplanter des machines plus performantes, lancer des appels d’offres à hauteur de 2 GW/an selon un calendrier défini dans la PPE.</w:t>
            </w:r>
          </w:p>
        </w:tc>
        <w:tc>
          <w:tcPr>
            <w:tcW w:w="218" w:type="dxa"/>
            <w:tcBorders>
              <w:top w:val="nil"/>
              <w:left w:val="nil"/>
              <w:bottom w:val="single" w:sz="4" w:space="0" w:color="auto"/>
              <w:right w:val="single" w:sz="4" w:space="0" w:color="auto"/>
            </w:tcBorders>
            <w:shd w:val="clear" w:color="auto" w:fill="auto"/>
            <w:noWrap/>
            <w:vAlign w:val="bottom"/>
            <w:hideMark/>
          </w:tcPr>
          <w:p w14:paraId="4B6693E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394497A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77AA4E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71422F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A8DD4F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E2FD7E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15641E8"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76816B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Mesures en faveur de l'électricité photovoltaïque</w:t>
            </w:r>
          </w:p>
        </w:tc>
        <w:tc>
          <w:tcPr>
            <w:tcW w:w="218" w:type="dxa"/>
            <w:tcBorders>
              <w:top w:val="nil"/>
              <w:left w:val="nil"/>
              <w:bottom w:val="single" w:sz="4" w:space="0" w:color="auto"/>
              <w:right w:val="single" w:sz="4" w:space="0" w:color="auto"/>
            </w:tcBorders>
            <w:shd w:val="clear" w:color="auto" w:fill="auto"/>
            <w:noWrap/>
            <w:vAlign w:val="bottom"/>
            <w:hideMark/>
          </w:tcPr>
          <w:p w14:paraId="7F3B292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BA7183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74579A83" w14:textId="414F8942"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5FCF92D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940464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71D3D56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66AF77B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du photovoltaïque : privilégier le développement du photovoltaïque au sol, moins coûteux, de préférence sur les terrains urbanisés ou dégradés et les parkings, en veillant à ce que les projets respectent la biodiversité et les terres agricoles, soutenir l’innovation dans la filière du photovoltaïque par appel d’offres afin d’encourager de nouvelles solutions solaires au sol (agrivoltaïsme, centrales flottantes…) et sur les bâtiments. La PPE 2 définit un calendrier d’appel d’offres correspondant à 2 GW par an pour les centrales au sol et 0,9 GW par an pour les installations sur grandes toitures, et elle maintient un objectif de 3050 MW installés par an pour les installations sur petites et moyennes toitures (inférieures à 100 kWc) via un système de guichet ouvert en orientant les projets vers l’autoconsommation.</w:t>
            </w:r>
          </w:p>
        </w:tc>
        <w:tc>
          <w:tcPr>
            <w:tcW w:w="218" w:type="dxa"/>
            <w:tcBorders>
              <w:top w:val="nil"/>
              <w:left w:val="nil"/>
              <w:bottom w:val="single" w:sz="4" w:space="0" w:color="auto"/>
              <w:right w:val="single" w:sz="4" w:space="0" w:color="auto"/>
            </w:tcBorders>
            <w:shd w:val="clear" w:color="auto" w:fill="auto"/>
            <w:noWrap/>
            <w:vAlign w:val="bottom"/>
            <w:hideMark/>
          </w:tcPr>
          <w:p w14:paraId="7490551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601E04C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AA994C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6BCFA9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AE5851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22F72D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7813D90D"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52B2EE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Mesures de promotion du gaz renouvelable</w:t>
            </w:r>
          </w:p>
        </w:tc>
        <w:tc>
          <w:tcPr>
            <w:tcW w:w="218" w:type="dxa"/>
            <w:tcBorders>
              <w:top w:val="nil"/>
              <w:left w:val="nil"/>
              <w:bottom w:val="single" w:sz="4" w:space="0" w:color="auto"/>
              <w:right w:val="single" w:sz="4" w:space="0" w:color="auto"/>
            </w:tcBorders>
            <w:shd w:val="clear" w:color="auto" w:fill="auto"/>
            <w:noWrap/>
            <w:vAlign w:val="bottom"/>
            <w:hideMark/>
          </w:tcPr>
          <w:p w14:paraId="74B35B0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FB76F0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5B2B8A4E" w14:textId="0B7E61CC"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r w:rsidRPr="001808DF">
              <w:rPr>
                <w:rFonts w:ascii="Arial" w:hAnsi="Arial" w:cs="Arial"/>
                <w:color w:val="000000"/>
                <w:sz w:val="16"/>
                <w:szCs w:val="16"/>
              </w:rPr>
              <w:t>, CH4</w:t>
            </w:r>
          </w:p>
        </w:tc>
        <w:tc>
          <w:tcPr>
            <w:tcW w:w="469" w:type="dxa"/>
            <w:tcBorders>
              <w:top w:val="nil"/>
              <w:left w:val="nil"/>
              <w:bottom w:val="single" w:sz="4" w:space="0" w:color="auto"/>
              <w:right w:val="single" w:sz="4" w:space="0" w:color="auto"/>
            </w:tcBorders>
            <w:shd w:val="clear" w:color="auto" w:fill="auto"/>
            <w:noWrap/>
            <w:vAlign w:val="bottom"/>
            <w:hideMark/>
          </w:tcPr>
          <w:p w14:paraId="3065AA9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74EAEB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3092458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6812C3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du développement du gaz renouvelable : donner de la visibilité en adoptant un calendrier d’appel d’offres pour le biométhane injecté : deux appels d’offres, pour un objectif de production annuelle de 350 GWh PCS/an chacun, seront lancés chaque année ; consolider l’obligation d’achat de biogaz à un tarif réglementé et lancer des appels d’offres permettant d’atteindre les objectifs de production à un coût maîtrisé grâce à de fortes baisses des coûts ; mettre en place un dispositif de soutien adapté pour le biométhane non injecté dans les réseaux de gaz naturel (en particulier le biométhane utilisé directement pour des véhicules au bioGNV).</w:t>
            </w:r>
          </w:p>
        </w:tc>
        <w:tc>
          <w:tcPr>
            <w:tcW w:w="218" w:type="dxa"/>
            <w:tcBorders>
              <w:top w:val="nil"/>
              <w:left w:val="nil"/>
              <w:bottom w:val="single" w:sz="4" w:space="0" w:color="auto"/>
              <w:right w:val="single" w:sz="4" w:space="0" w:color="auto"/>
            </w:tcBorders>
            <w:shd w:val="clear" w:color="auto" w:fill="auto"/>
            <w:noWrap/>
            <w:vAlign w:val="bottom"/>
            <w:hideMark/>
          </w:tcPr>
          <w:p w14:paraId="548A4FB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591FE9C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3858652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22CD47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CE0CB5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6E7076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8C95C0B"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C7AB16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Mesures en faveur du développement du stockage et du pilotage de la demande d'électricité</w:t>
            </w:r>
          </w:p>
        </w:tc>
        <w:tc>
          <w:tcPr>
            <w:tcW w:w="218" w:type="dxa"/>
            <w:tcBorders>
              <w:top w:val="nil"/>
              <w:left w:val="nil"/>
              <w:bottom w:val="single" w:sz="4" w:space="0" w:color="auto"/>
              <w:right w:val="single" w:sz="4" w:space="0" w:color="auto"/>
            </w:tcBorders>
            <w:shd w:val="clear" w:color="auto" w:fill="auto"/>
            <w:noWrap/>
            <w:vAlign w:val="bottom"/>
            <w:hideMark/>
          </w:tcPr>
          <w:p w14:paraId="79F367D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09E3BD9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00EDD222" w14:textId="18526D48"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EA3084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F80EF1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6061619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2E9604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d'engager, au cours de la première période de la PPE (2019-2023), les démarches permettant le développement des stations de pompage d’électricité pour un potentiel de 1,5 GW identifié en vue des mises en service des installations entre 2030 et 2035. Elle fixe en outre un objectif deffacement de 6,5 GW à l’horizon 2028 avec un objectif intermédiaire de 4,5GW en 2023.</w:t>
            </w:r>
          </w:p>
        </w:tc>
        <w:tc>
          <w:tcPr>
            <w:tcW w:w="218" w:type="dxa"/>
            <w:tcBorders>
              <w:top w:val="nil"/>
              <w:left w:val="nil"/>
              <w:bottom w:val="single" w:sz="4" w:space="0" w:color="auto"/>
              <w:right w:val="single" w:sz="4" w:space="0" w:color="auto"/>
            </w:tcBorders>
            <w:shd w:val="clear" w:color="auto" w:fill="auto"/>
            <w:noWrap/>
            <w:vAlign w:val="bottom"/>
            <w:hideMark/>
          </w:tcPr>
          <w:p w14:paraId="1E1E704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0C57B3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315457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2161D6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572BCF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DC8BB6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4B9029BC"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FDCE9B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Coup de pouce économies d'énergie pour les ménages</w:t>
            </w:r>
          </w:p>
        </w:tc>
        <w:tc>
          <w:tcPr>
            <w:tcW w:w="218" w:type="dxa"/>
            <w:tcBorders>
              <w:top w:val="nil"/>
              <w:left w:val="nil"/>
              <w:bottom w:val="single" w:sz="4" w:space="0" w:color="auto"/>
              <w:right w:val="single" w:sz="4" w:space="0" w:color="auto"/>
            </w:tcBorders>
            <w:shd w:val="clear" w:color="auto" w:fill="auto"/>
            <w:noWrap/>
            <w:vAlign w:val="bottom"/>
            <w:hideMark/>
          </w:tcPr>
          <w:p w14:paraId="78FFC60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075D20F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 Other (Building)</w:t>
            </w:r>
          </w:p>
        </w:tc>
        <w:tc>
          <w:tcPr>
            <w:tcW w:w="340" w:type="dxa"/>
            <w:tcBorders>
              <w:top w:val="nil"/>
              <w:left w:val="nil"/>
              <w:bottom w:val="single" w:sz="4" w:space="0" w:color="auto"/>
              <w:right w:val="single" w:sz="4" w:space="0" w:color="auto"/>
            </w:tcBorders>
            <w:shd w:val="clear" w:color="auto" w:fill="auto"/>
            <w:noWrap/>
            <w:vAlign w:val="bottom"/>
            <w:hideMark/>
          </w:tcPr>
          <w:p w14:paraId="1AC6412E" w14:textId="34D3BD61"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2BF43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E9E8AA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63393C0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5C07D7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Ce nouveau dispositif prévoit la mise en place, dans le cadre du dispositif des certificats d’économies d’énergie (CEE), de bonifications de certaines opérations pour lesquelles le demandeur se sera engagé à travers une charte permettant l’octroi de primes significatives pour les ménages diminuant ainsi leur reste à charge lors des travaux. La bonification concerne des opérations pour lesquelles le demandeur des CEE est signataire de l’une des chartes d’engagement  Coup de pouce Chauffage  ou  Coup de pouce Isolation . Tous les ménages peuvent bénéficier de cette offre. Les montants de primes attribués sont cependant différenciés en fonction de leurs niveaux de ressources. Les ménages les plus  modestes bénéficient de primes plus importantes. La programmation pluriannuelle de l'énergie 2019-2028 prévoit de poursuivre et renforcer le coup de pouce CEE pour l’arrêt des chaudières fioul au profit des pompes à chaleur, des chaudières biomasse, des systèmes solaires combinés, des chaudières à gaz à très haute performance énergétique dans les zones de desserte en gaz naturel ou un raccordement à un réseau de chaleur renouvelable.</w:t>
            </w:r>
          </w:p>
        </w:tc>
        <w:tc>
          <w:tcPr>
            <w:tcW w:w="218" w:type="dxa"/>
            <w:tcBorders>
              <w:top w:val="nil"/>
              <w:left w:val="nil"/>
              <w:bottom w:val="single" w:sz="4" w:space="0" w:color="auto"/>
              <w:right w:val="single" w:sz="4" w:space="0" w:color="auto"/>
            </w:tcBorders>
            <w:shd w:val="clear" w:color="auto" w:fill="auto"/>
            <w:noWrap/>
            <w:vAlign w:val="bottom"/>
            <w:hideMark/>
          </w:tcPr>
          <w:p w14:paraId="649AC69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20C0EF0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49E185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0196C3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A588DC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24426C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CC28FB0"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49DE6C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Mesures pour développer les biocarburants</w:t>
            </w:r>
          </w:p>
        </w:tc>
        <w:tc>
          <w:tcPr>
            <w:tcW w:w="218" w:type="dxa"/>
            <w:tcBorders>
              <w:top w:val="nil"/>
              <w:left w:val="nil"/>
              <w:bottom w:val="single" w:sz="4" w:space="0" w:color="auto"/>
              <w:right w:val="single" w:sz="4" w:space="0" w:color="auto"/>
            </w:tcBorders>
            <w:shd w:val="clear" w:color="auto" w:fill="auto"/>
            <w:noWrap/>
            <w:vAlign w:val="bottom"/>
            <w:hideMark/>
          </w:tcPr>
          <w:p w14:paraId="68ABB6E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E9404B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2F84FF86" w14:textId="52A8A204"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C4B8FD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9DB2FD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Fiscal</w:t>
            </w:r>
          </w:p>
        </w:tc>
        <w:tc>
          <w:tcPr>
            <w:tcW w:w="218" w:type="dxa"/>
            <w:tcBorders>
              <w:top w:val="nil"/>
              <w:left w:val="nil"/>
              <w:bottom w:val="single" w:sz="4" w:space="0" w:color="auto"/>
              <w:right w:val="single" w:sz="4" w:space="0" w:color="auto"/>
            </w:tcBorders>
            <w:shd w:val="clear" w:color="auto" w:fill="auto"/>
            <w:noWrap/>
            <w:vAlign w:val="bottom"/>
            <w:hideMark/>
          </w:tcPr>
          <w:p w14:paraId="08C6E5B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516716B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de poursuivre le soutien national au développement des biocarburants via une incitation à l’incorporation pour les opérateurs qui mettent à la consommation les carburants. Par ailleurs, au-delà du plafond existant pour les biocarburants conventionnels, il prévoit de limiter l’incorporation de biocarburants réalisés à partir de matières premières présentant un risque élevé d'induire des changements indirects dans laffectation des sols (ex : certaines huiles de palme ou de soja), comme le prévoit la nouvelle directive européenne relative aux énergies renouvelables.</w:t>
            </w:r>
          </w:p>
        </w:tc>
        <w:tc>
          <w:tcPr>
            <w:tcW w:w="218" w:type="dxa"/>
            <w:tcBorders>
              <w:top w:val="nil"/>
              <w:left w:val="nil"/>
              <w:bottom w:val="single" w:sz="4" w:space="0" w:color="auto"/>
              <w:right w:val="single" w:sz="4" w:space="0" w:color="auto"/>
            </w:tcBorders>
            <w:shd w:val="clear" w:color="auto" w:fill="auto"/>
            <w:noWrap/>
            <w:vAlign w:val="bottom"/>
            <w:hideMark/>
          </w:tcPr>
          <w:p w14:paraId="7AE01D2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02CB993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57C0CAD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A324C0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69AD88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D71407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79F2B8A2"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F0F1BD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Aide fiscale aux entreprises pour le remplacement de leurs équipements fonctionnant avec des HFC par des équipements sans HFC</w:t>
            </w:r>
          </w:p>
        </w:tc>
        <w:tc>
          <w:tcPr>
            <w:tcW w:w="218" w:type="dxa"/>
            <w:tcBorders>
              <w:top w:val="nil"/>
              <w:left w:val="nil"/>
              <w:bottom w:val="single" w:sz="4" w:space="0" w:color="auto"/>
              <w:right w:val="single" w:sz="4" w:space="0" w:color="auto"/>
            </w:tcBorders>
            <w:shd w:val="clear" w:color="auto" w:fill="auto"/>
            <w:noWrap/>
            <w:vAlign w:val="bottom"/>
            <w:hideMark/>
          </w:tcPr>
          <w:p w14:paraId="21ABFD3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E1D24D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Industry/industrial processes, Energy</w:t>
            </w:r>
          </w:p>
        </w:tc>
        <w:tc>
          <w:tcPr>
            <w:tcW w:w="340" w:type="dxa"/>
            <w:tcBorders>
              <w:top w:val="nil"/>
              <w:left w:val="nil"/>
              <w:bottom w:val="single" w:sz="4" w:space="0" w:color="auto"/>
              <w:right w:val="single" w:sz="4" w:space="0" w:color="auto"/>
            </w:tcBorders>
            <w:shd w:val="clear" w:color="auto" w:fill="auto"/>
            <w:noWrap/>
            <w:vAlign w:val="bottom"/>
            <w:hideMark/>
          </w:tcPr>
          <w:p w14:paraId="1F1AC5A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HFCs</w:t>
            </w:r>
          </w:p>
        </w:tc>
        <w:tc>
          <w:tcPr>
            <w:tcW w:w="469" w:type="dxa"/>
            <w:tcBorders>
              <w:top w:val="nil"/>
              <w:left w:val="nil"/>
              <w:bottom w:val="single" w:sz="4" w:space="0" w:color="auto"/>
              <w:right w:val="single" w:sz="4" w:space="0" w:color="auto"/>
            </w:tcBorders>
            <w:shd w:val="clear" w:color="auto" w:fill="auto"/>
            <w:noWrap/>
            <w:vAlign w:val="bottom"/>
            <w:hideMark/>
          </w:tcPr>
          <w:p w14:paraId="611DCCC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F457C6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37C174C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3A99A1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Les entreprises soumises à l'impôt sur les sociétés ou à l'impôt sur le revenu selon un régime réel dimposition peuvent déduire de leur résultat imposable une somme égale à 40 % de la valeur d'origine des biens d'équipement de réfrigération et de traitement de lair fonctionnant sans HFC acquis à l'état neuf à compter du 1er janvier 2019 et jusquau 31 décembre 2022.</w:t>
            </w:r>
          </w:p>
        </w:tc>
        <w:tc>
          <w:tcPr>
            <w:tcW w:w="218" w:type="dxa"/>
            <w:tcBorders>
              <w:top w:val="nil"/>
              <w:left w:val="nil"/>
              <w:bottom w:val="single" w:sz="4" w:space="0" w:color="auto"/>
              <w:right w:val="single" w:sz="4" w:space="0" w:color="auto"/>
            </w:tcBorders>
            <w:shd w:val="clear" w:color="auto" w:fill="auto"/>
            <w:noWrap/>
            <w:vAlign w:val="bottom"/>
            <w:hideMark/>
          </w:tcPr>
          <w:p w14:paraId="6C89F74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03DFD66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3D30FA1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AF6576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7842CE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4BCCC3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7DC88B4C"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FA2259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Feuilles de route de décarbonation des filières industrielles</w:t>
            </w:r>
          </w:p>
        </w:tc>
        <w:tc>
          <w:tcPr>
            <w:tcW w:w="218" w:type="dxa"/>
            <w:tcBorders>
              <w:top w:val="nil"/>
              <w:left w:val="nil"/>
              <w:bottom w:val="single" w:sz="4" w:space="0" w:color="auto"/>
              <w:right w:val="single" w:sz="4" w:space="0" w:color="auto"/>
            </w:tcBorders>
            <w:shd w:val="clear" w:color="auto" w:fill="auto"/>
            <w:noWrap/>
            <w:vAlign w:val="bottom"/>
            <w:hideMark/>
          </w:tcPr>
          <w:p w14:paraId="3A8842A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872012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68A3BC2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6C76868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A13B8C5" w14:textId="0E5D649E" w:rsidR="00811B0F" w:rsidRPr="001808DF" w:rsidRDefault="00811B0F" w:rsidP="00811B0F">
            <w:pPr>
              <w:jc w:val="left"/>
              <w:rPr>
                <w:rFonts w:ascii="Arial" w:hAnsi="Arial" w:cs="Arial"/>
                <w:color w:val="000000"/>
                <w:sz w:val="16"/>
                <w:szCs w:val="16"/>
                <w:lang w:val="en-GB"/>
              </w:rPr>
            </w:pPr>
            <w:r w:rsidRPr="001808DF">
              <w:rPr>
                <w:rFonts w:ascii="Arial" w:hAnsi="Arial" w:cs="Arial"/>
                <w:noProof/>
                <w:color w:val="000000"/>
                <w:sz w:val="16"/>
                <w:szCs w:val="16"/>
              </w:rPr>
              <w:drawing>
                <wp:anchor distT="0" distB="0" distL="114300" distR="114300" simplePos="0" relativeHeight="251843072" behindDoc="0" locked="0" layoutInCell="1" allowOverlap="1" wp14:anchorId="09B837FA" wp14:editId="109DBCB7">
                  <wp:simplePos x="0" y="0"/>
                  <wp:positionH relativeFrom="column">
                    <wp:posOffset>523875</wp:posOffset>
                  </wp:positionH>
                  <wp:positionV relativeFrom="paragraph">
                    <wp:posOffset>47625</wp:posOffset>
                  </wp:positionV>
                  <wp:extent cx="4400550" cy="2381250"/>
                  <wp:effectExtent l="0" t="0" r="0" b="0"/>
                  <wp:wrapNone/>
                  <wp:docPr id="16" name="Image 16" hidden="1">
                    <a:extLst xmlns:a="http://schemas.openxmlformats.org/drawingml/2006/main">
                      <a:ext uri="{FF2B5EF4-FFF2-40B4-BE49-F238E27FC236}">
                        <a16:creationId xmlns:a16="http://schemas.microsoft.com/office/drawing/2014/main" id="{9A2BEF94-D2DC-417C-B39E-8448986BBE9A}"/>
                      </a:ext>
                    </a:extLst>
                  </wp:docPr>
                  <wp:cNvGraphicFramePr/>
                  <a:graphic xmlns:a="http://schemas.openxmlformats.org/drawingml/2006/main">
                    <a:graphicData uri="http://schemas.openxmlformats.org/drawingml/2006/picture">
                      <pic:pic xmlns:pic="http://schemas.openxmlformats.org/drawingml/2006/picture">
                        <pic:nvPicPr>
                          <pic:cNvPr id="3" name="WorkBookValidated" hidden="1">
                            <a:extLst>
                              <a:ext uri="{FF2B5EF4-FFF2-40B4-BE49-F238E27FC236}">
                                <a16:creationId xmlns:a16="http://schemas.microsoft.com/office/drawing/2014/main" id="{9A2BEF94-D2DC-417C-B39E-8448986BBE9A}"/>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400550" cy="2381250"/>
                          </a:xfrm>
                          <a:prstGeom prst="rect">
                            <a:avLst/>
                          </a:prstGeom>
                        </pic:spPr>
                      </pic:pic>
                    </a:graphicData>
                  </a:graphic>
                  <wp14:sizeRelH relativeFrom="page">
                    <wp14:pctWidth>0</wp14:pctWidth>
                  </wp14:sizeRelH>
                  <wp14:sizeRelV relativeFrom="page">
                    <wp14:pctHeight>0</wp14:pctHeight>
                  </wp14:sizeRelV>
                </wp:anchor>
              </w:drawing>
            </w:r>
            <w:r w:rsidRPr="001808DF">
              <w:rPr>
                <w:rFonts w:ascii="Arial" w:hAnsi="Arial" w:cs="Arial"/>
                <w:color w:val="000000"/>
                <w:sz w:val="16"/>
                <w:szCs w:val="16"/>
                <w:lang w:val="en-GB"/>
              </w:rPr>
              <w:t>Research, Information, Other (Support), Other (Consulting)</w:t>
            </w:r>
          </w:p>
        </w:tc>
        <w:tc>
          <w:tcPr>
            <w:tcW w:w="218" w:type="dxa"/>
            <w:tcBorders>
              <w:top w:val="nil"/>
              <w:left w:val="nil"/>
              <w:bottom w:val="single" w:sz="4" w:space="0" w:color="auto"/>
              <w:right w:val="single" w:sz="4" w:space="0" w:color="auto"/>
            </w:tcBorders>
            <w:shd w:val="clear" w:color="auto" w:fill="auto"/>
            <w:noWrap/>
            <w:vAlign w:val="bottom"/>
            <w:hideMark/>
          </w:tcPr>
          <w:p w14:paraId="01A41B3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FB5931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Depuis 2019, dans le cadre du Pacte productif, un groupe de travail sur la décarbonation de l’industrie a été mis en place avec le CNI et les CSF des filières les plus émettrices. Jusqu’à présent, les feuilles de route des secteurs visées par ces travaux couvrent les trois quarts des émissions de l’industrie (de 2015) et donnent les objectifs des filières à horizon 2030. Trois premières feuilles de route ont été publiées pour les secteurs mines-métallurgie, ciment et chimie en mai 2021.</w:t>
            </w:r>
          </w:p>
        </w:tc>
        <w:tc>
          <w:tcPr>
            <w:tcW w:w="218" w:type="dxa"/>
            <w:tcBorders>
              <w:top w:val="nil"/>
              <w:left w:val="nil"/>
              <w:bottom w:val="single" w:sz="4" w:space="0" w:color="auto"/>
              <w:right w:val="single" w:sz="4" w:space="0" w:color="auto"/>
            </w:tcBorders>
            <w:shd w:val="clear" w:color="auto" w:fill="auto"/>
            <w:noWrap/>
            <w:vAlign w:val="bottom"/>
            <w:hideMark/>
          </w:tcPr>
          <w:p w14:paraId="43D84EA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5C4DCFE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l'économie(National government); 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302D4BF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4C869B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78D998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E46D0E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62C24A40"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194E61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Déploiement de zones à faibles émissions</w:t>
            </w:r>
          </w:p>
        </w:tc>
        <w:tc>
          <w:tcPr>
            <w:tcW w:w="218" w:type="dxa"/>
            <w:tcBorders>
              <w:top w:val="nil"/>
              <w:left w:val="nil"/>
              <w:bottom w:val="single" w:sz="4" w:space="0" w:color="auto"/>
              <w:right w:val="single" w:sz="4" w:space="0" w:color="auto"/>
            </w:tcBorders>
            <w:shd w:val="clear" w:color="auto" w:fill="auto"/>
            <w:noWrap/>
            <w:vAlign w:val="bottom"/>
            <w:hideMark/>
          </w:tcPr>
          <w:p w14:paraId="184C919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4C7B453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301C5C7A" w14:textId="34EB06F1"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B147E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C5706D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61AD784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56EB716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Les agglomérations de plus de 150 000 habitants situées sur le territoire métropolitain devront avoir instauré une zone à faibles émissions mobilité avant le 31 décembre 2024. Pour les zones à faibles émissions où les normes de qualité de l'air ne sont pas atteintes, sont interdits a minima : au plus tard le 1er janvier 2025, les véhicules diesel et assimilés dont la date de première immatriculation est antérieure au 31 décembre 2010 ainsi que les véhicules essence et assimilés dont la date de première immatriculation est antérieure au 31 décembre 2005.</w:t>
            </w:r>
          </w:p>
        </w:tc>
        <w:tc>
          <w:tcPr>
            <w:tcW w:w="218" w:type="dxa"/>
            <w:tcBorders>
              <w:top w:val="nil"/>
              <w:left w:val="nil"/>
              <w:bottom w:val="single" w:sz="4" w:space="0" w:color="auto"/>
              <w:right w:val="single" w:sz="4" w:space="0" w:color="auto"/>
            </w:tcBorders>
            <w:shd w:val="clear" w:color="auto" w:fill="auto"/>
            <w:noWrap/>
            <w:vAlign w:val="bottom"/>
            <w:hideMark/>
          </w:tcPr>
          <w:p w14:paraId="2169D50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41D72B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Collectivités locales et autorités organisatrices de transport (Local)(Local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8C77B4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07D20D1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04E111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DF1727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475B8743"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2A76A7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Renforcement des transports collectifs et partagés (loi d'orientation des mobilités 2019)</w:t>
            </w:r>
          </w:p>
        </w:tc>
        <w:tc>
          <w:tcPr>
            <w:tcW w:w="218" w:type="dxa"/>
            <w:tcBorders>
              <w:top w:val="nil"/>
              <w:left w:val="nil"/>
              <w:bottom w:val="single" w:sz="4" w:space="0" w:color="auto"/>
              <w:right w:val="single" w:sz="4" w:space="0" w:color="auto"/>
            </w:tcBorders>
            <w:shd w:val="clear" w:color="auto" w:fill="auto"/>
            <w:noWrap/>
            <w:vAlign w:val="bottom"/>
            <w:hideMark/>
          </w:tcPr>
          <w:p w14:paraId="7BAC42A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A86D2D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41529263" w14:textId="483239C5"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7C6C07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ED2BA0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353655E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089AEA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loi d'orientation des mobilités prévoit un renforcement des transports collectifs et partagés : une augmentation de 40 % des investissements en transports entre la période 2014-2018 et 2019-2023 pour notamment améliorer les transports du quotidien ; une meilleure information multimodale (100 % des informations de mobilité accessibles pour un trajet en un seul clic) ; un cadre et des outils pour favoriser le développement des alternatives à la voiture individuelle notamment dans les territoires ruraux (covoiturage, services à la demande, mise à disposition de véhicules en autopartage).</w:t>
            </w:r>
          </w:p>
        </w:tc>
        <w:tc>
          <w:tcPr>
            <w:tcW w:w="218" w:type="dxa"/>
            <w:tcBorders>
              <w:top w:val="nil"/>
              <w:left w:val="nil"/>
              <w:bottom w:val="single" w:sz="4" w:space="0" w:color="auto"/>
              <w:right w:val="single" w:sz="4" w:space="0" w:color="auto"/>
            </w:tcBorders>
            <w:shd w:val="clear" w:color="auto" w:fill="auto"/>
            <w:noWrap/>
            <w:vAlign w:val="bottom"/>
            <w:hideMark/>
          </w:tcPr>
          <w:p w14:paraId="3CFEC1B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45A836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en charge des transports(National government); Collectivités locales(Local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F6F669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FBEE7A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9CA9C6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CDF235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8A4ABDF"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D60FA4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Stratégie de développement de la mobilité propre de la programmation pluriannuelle de l’énergie 2019-2028</w:t>
            </w:r>
          </w:p>
        </w:tc>
        <w:tc>
          <w:tcPr>
            <w:tcW w:w="218" w:type="dxa"/>
            <w:tcBorders>
              <w:top w:val="nil"/>
              <w:left w:val="nil"/>
              <w:bottom w:val="single" w:sz="4" w:space="0" w:color="auto"/>
              <w:right w:val="single" w:sz="4" w:space="0" w:color="auto"/>
            </w:tcBorders>
            <w:shd w:val="clear" w:color="auto" w:fill="auto"/>
            <w:noWrap/>
            <w:vAlign w:val="bottom"/>
            <w:hideMark/>
          </w:tcPr>
          <w:p w14:paraId="2C6DF63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18C85D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56F63582" w14:textId="0F693C95"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E6F97D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A21D8B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5F84DA9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6C2F6C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stratégie de développement de la mobilité propre constitue un volet spécifique de la programmation pluriannuelle de l’énergie. La stratégie de mobilité propre (horizon 2028) prévoit un développement renforcé des ventes de véhicules électriques pour les voitures et les véhicules utilitaires légers par rapport à une trajectoire AME, un développement renforcé des véhicules à faibles émissions (électriques et GNV) pour les poids lourds, un développement renforcé des biocarburants ainsi qu’un renforcement des gains de performance énergétique des véhicules (tous véhicules routiers mais aussi navigation et aérien) par rapport à une trajectoire en AME. La stratégie de développement de la mobilité propre mobilise également les leviers relatifs à la demande de transport : maîtrise de la mobilité, report modal et optimisation de l’usage des véhicules. Un renforcement des mesures de l’AME ainsi que les dispositions de la future loi mobilités constituent les leviers d’action. A plus long terme, la stratégie nationale bas carbone prévoit la fin de la vente des véhicules thermiques à horizon 2040 pour les véhicules particuliers.</w:t>
            </w:r>
          </w:p>
        </w:tc>
        <w:tc>
          <w:tcPr>
            <w:tcW w:w="218" w:type="dxa"/>
            <w:tcBorders>
              <w:top w:val="nil"/>
              <w:left w:val="nil"/>
              <w:bottom w:val="single" w:sz="4" w:space="0" w:color="auto"/>
              <w:right w:val="single" w:sz="4" w:space="0" w:color="auto"/>
            </w:tcBorders>
            <w:shd w:val="clear" w:color="auto" w:fill="auto"/>
            <w:noWrap/>
            <w:vAlign w:val="bottom"/>
            <w:hideMark/>
          </w:tcPr>
          <w:p w14:paraId="0082DA7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3702A48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écologique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B6D839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35EFD6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E2CD48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8E3078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6FD038A5"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0625E2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Feuille de route économie circulaire</w:t>
            </w:r>
          </w:p>
        </w:tc>
        <w:tc>
          <w:tcPr>
            <w:tcW w:w="218" w:type="dxa"/>
            <w:tcBorders>
              <w:top w:val="nil"/>
              <w:left w:val="nil"/>
              <w:bottom w:val="single" w:sz="4" w:space="0" w:color="auto"/>
              <w:right w:val="single" w:sz="4" w:space="0" w:color="auto"/>
            </w:tcBorders>
            <w:shd w:val="clear" w:color="auto" w:fill="auto"/>
            <w:noWrap/>
            <w:vAlign w:val="bottom"/>
            <w:hideMark/>
          </w:tcPr>
          <w:p w14:paraId="78C2FDB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6B8B755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Waste management/waste</w:t>
            </w:r>
          </w:p>
        </w:tc>
        <w:tc>
          <w:tcPr>
            <w:tcW w:w="340" w:type="dxa"/>
            <w:tcBorders>
              <w:top w:val="nil"/>
              <w:left w:val="nil"/>
              <w:bottom w:val="single" w:sz="4" w:space="0" w:color="auto"/>
              <w:right w:val="single" w:sz="4" w:space="0" w:color="auto"/>
            </w:tcBorders>
            <w:shd w:val="clear" w:color="auto" w:fill="auto"/>
            <w:noWrap/>
            <w:vAlign w:val="bottom"/>
            <w:hideMark/>
          </w:tcPr>
          <w:p w14:paraId="6021AF85" w14:textId="3C79E8F3"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CH4, </w:t>
            </w: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757799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1DFEAB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Information</w:t>
            </w:r>
          </w:p>
        </w:tc>
        <w:tc>
          <w:tcPr>
            <w:tcW w:w="218" w:type="dxa"/>
            <w:tcBorders>
              <w:top w:val="nil"/>
              <w:left w:val="nil"/>
              <w:bottom w:val="single" w:sz="4" w:space="0" w:color="auto"/>
              <w:right w:val="single" w:sz="4" w:space="0" w:color="auto"/>
            </w:tcBorders>
            <w:shd w:val="clear" w:color="auto" w:fill="auto"/>
            <w:noWrap/>
            <w:vAlign w:val="bottom"/>
            <w:hideMark/>
          </w:tcPr>
          <w:p w14:paraId="463B96E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71875B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feuille de route sur l’économie circulaire, publiée en avril 2018, vise à mieux produire (éco-conception, incorporation de matières recyclées), mieux consommer (développement du réemploi et de la réparation, allongement de la durée de vie des produits), mieux gérer les déchets (optimisation du tri des déchets, développement du recyclage et de la valorisation) et mobiliser tous les acteurs. La feuille de route propose 50 mesures en faveur de l’économie circulaire. Un projet de loi sur l’économie circulaire et une meilleure gestion des déchets est en préparation pour 2019.</w:t>
            </w:r>
          </w:p>
        </w:tc>
        <w:tc>
          <w:tcPr>
            <w:tcW w:w="218" w:type="dxa"/>
            <w:tcBorders>
              <w:top w:val="nil"/>
              <w:left w:val="nil"/>
              <w:bottom w:val="single" w:sz="4" w:space="0" w:color="auto"/>
              <w:right w:val="single" w:sz="4" w:space="0" w:color="auto"/>
            </w:tcBorders>
            <w:shd w:val="clear" w:color="auto" w:fill="auto"/>
            <w:noWrap/>
            <w:vAlign w:val="bottom"/>
            <w:hideMark/>
          </w:tcPr>
          <w:p w14:paraId="0068622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3F8AD52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C1F0DB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E5EB6B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29581D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CA4229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704115A"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21A15E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loi anti-gaspillage pour une économie circulaire</w:t>
            </w:r>
          </w:p>
        </w:tc>
        <w:tc>
          <w:tcPr>
            <w:tcW w:w="218" w:type="dxa"/>
            <w:tcBorders>
              <w:top w:val="nil"/>
              <w:left w:val="nil"/>
              <w:bottom w:val="single" w:sz="4" w:space="0" w:color="auto"/>
              <w:right w:val="single" w:sz="4" w:space="0" w:color="auto"/>
            </w:tcBorders>
            <w:shd w:val="clear" w:color="auto" w:fill="auto"/>
            <w:noWrap/>
            <w:vAlign w:val="bottom"/>
            <w:hideMark/>
          </w:tcPr>
          <w:p w14:paraId="5DC6A0B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2810AB5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Waste management/waste</w:t>
            </w:r>
          </w:p>
        </w:tc>
        <w:tc>
          <w:tcPr>
            <w:tcW w:w="340" w:type="dxa"/>
            <w:tcBorders>
              <w:top w:val="nil"/>
              <w:left w:val="nil"/>
              <w:bottom w:val="single" w:sz="4" w:space="0" w:color="auto"/>
              <w:right w:val="single" w:sz="4" w:space="0" w:color="auto"/>
            </w:tcBorders>
            <w:shd w:val="clear" w:color="auto" w:fill="auto"/>
            <w:noWrap/>
            <w:vAlign w:val="bottom"/>
            <w:hideMark/>
          </w:tcPr>
          <w:p w14:paraId="2289925B" w14:textId="607E4786"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r w:rsidRPr="001808DF">
              <w:rPr>
                <w:rFonts w:ascii="Arial" w:hAnsi="Arial" w:cs="Arial"/>
                <w:color w:val="000000"/>
                <w:sz w:val="16"/>
                <w:szCs w:val="16"/>
              </w:rPr>
              <w:t>, CH4</w:t>
            </w:r>
          </w:p>
        </w:tc>
        <w:tc>
          <w:tcPr>
            <w:tcW w:w="469" w:type="dxa"/>
            <w:tcBorders>
              <w:top w:val="nil"/>
              <w:left w:val="nil"/>
              <w:bottom w:val="single" w:sz="4" w:space="0" w:color="auto"/>
              <w:right w:val="single" w:sz="4" w:space="0" w:color="auto"/>
            </w:tcBorders>
            <w:shd w:val="clear" w:color="auto" w:fill="auto"/>
            <w:noWrap/>
            <w:vAlign w:val="bottom"/>
            <w:hideMark/>
          </w:tcPr>
          <w:p w14:paraId="12C0628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991D5F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Information</w:t>
            </w:r>
          </w:p>
        </w:tc>
        <w:tc>
          <w:tcPr>
            <w:tcW w:w="218" w:type="dxa"/>
            <w:tcBorders>
              <w:top w:val="nil"/>
              <w:left w:val="nil"/>
              <w:bottom w:val="single" w:sz="4" w:space="0" w:color="auto"/>
              <w:right w:val="single" w:sz="4" w:space="0" w:color="auto"/>
            </w:tcBorders>
            <w:shd w:val="clear" w:color="auto" w:fill="auto"/>
            <w:noWrap/>
            <w:vAlign w:val="bottom"/>
            <w:hideMark/>
          </w:tcPr>
          <w:p w14:paraId="6AC9A87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55519BC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La loi anti-gaspillage pour une économie circulaire vise à mettre en place un ensemble de mesures articulées autour de quatre grandes orientations : mettre fin au gaspillage pour préserver les ressources naturelles, mobiliser les industriels pour transformer les modes de production, renforcer l'information du consommateur et améliorer la collecte des déchets et lutter contre les dépôts sauvages </w:t>
            </w:r>
          </w:p>
        </w:tc>
        <w:tc>
          <w:tcPr>
            <w:tcW w:w="218" w:type="dxa"/>
            <w:tcBorders>
              <w:top w:val="nil"/>
              <w:left w:val="nil"/>
              <w:bottom w:val="single" w:sz="4" w:space="0" w:color="auto"/>
              <w:right w:val="single" w:sz="4" w:space="0" w:color="auto"/>
            </w:tcBorders>
            <w:shd w:val="clear" w:color="auto" w:fill="auto"/>
            <w:noWrap/>
            <w:vAlign w:val="bottom"/>
            <w:hideMark/>
          </w:tcPr>
          <w:p w14:paraId="36D0F49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0943DE2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BAF73B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4F5ECC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989267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D96A35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2EABEF16"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21A62A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Label Bas-Carbone certifiant des projets de réduction des émissions</w:t>
            </w:r>
          </w:p>
        </w:tc>
        <w:tc>
          <w:tcPr>
            <w:tcW w:w="218" w:type="dxa"/>
            <w:tcBorders>
              <w:top w:val="nil"/>
              <w:left w:val="nil"/>
              <w:bottom w:val="single" w:sz="4" w:space="0" w:color="auto"/>
              <w:right w:val="single" w:sz="4" w:space="0" w:color="auto"/>
            </w:tcBorders>
            <w:shd w:val="clear" w:color="auto" w:fill="auto"/>
            <w:noWrap/>
            <w:vAlign w:val="bottom"/>
            <w:hideMark/>
          </w:tcPr>
          <w:p w14:paraId="0947093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0539627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05824C44" w14:textId="5493A018"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72B47D8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1419AE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1CE0ACE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7255954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label Bas-Carbone vise à favoriser l’émergence de projets additionnels de réductions d'émissions de gaz à effet de serre sur le territoire français, par la mise en place d'un cadre de suivi, notification et vérification des émissions de GES, permettant la valorisation de réductions d'émissions additionnelles, réalisées volontairement par des personnes physiques ou morales dans des secteurs d'activité variés. Le terme  réductions d'émissions  désigne indifféremment des quantités de GES dont l'émission a été évitée ou des quantités de GES séquestrées. Le label vient en réponse à la demande de compensation locale volontaire des émissions de GES. Les porteurs de projets pourront ainsi se faire rémunérer par un partenaire volontaire (acteur public ou privé), qui pourra faire reconnaître ses contributions à des réductions d'émissions additionnelles issues de ces projets. Ces réductions d'émissions sont reconnues à la suite dune vérification. Une fois reconnues, les réductions d'émissions ne sont ni transférables, ni échangeables que ce soit de gré-à-gré ou sur quelque marché volontaire ou obligatoire que ce soit. Les réductions d'émissions peuvent seulement être utilisées pour la compensation volontaire des émissions d'acteurs non étatiques (entreprises, collectivités, particuliers, etc.).</w:t>
            </w:r>
          </w:p>
        </w:tc>
        <w:tc>
          <w:tcPr>
            <w:tcW w:w="218" w:type="dxa"/>
            <w:tcBorders>
              <w:top w:val="nil"/>
              <w:left w:val="nil"/>
              <w:bottom w:val="single" w:sz="4" w:space="0" w:color="auto"/>
              <w:right w:val="single" w:sz="4" w:space="0" w:color="auto"/>
            </w:tcBorders>
            <w:shd w:val="clear" w:color="auto" w:fill="auto"/>
            <w:noWrap/>
            <w:vAlign w:val="bottom"/>
            <w:hideMark/>
          </w:tcPr>
          <w:p w14:paraId="584C6E3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072D922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A4C5E9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ED4EBAB"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961D6D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97CAAA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5B44AE47"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4FFE2B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 (2019-2023 ; 2024-2028)</w:t>
            </w:r>
          </w:p>
        </w:tc>
        <w:tc>
          <w:tcPr>
            <w:tcW w:w="218" w:type="dxa"/>
            <w:tcBorders>
              <w:top w:val="nil"/>
              <w:left w:val="nil"/>
              <w:bottom w:val="single" w:sz="4" w:space="0" w:color="auto"/>
              <w:right w:val="single" w:sz="4" w:space="0" w:color="auto"/>
            </w:tcBorders>
            <w:shd w:val="clear" w:color="auto" w:fill="auto"/>
            <w:noWrap/>
            <w:vAlign w:val="bottom"/>
            <w:hideMark/>
          </w:tcPr>
          <w:p w14:paraId="37A9DB3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0A4B275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003213F3" w14:textId="265DE622"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C33F9B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100A4C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60BF05D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1B50F4B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Comme le prévoit la loi de transition énergétique pour la croissance verte, la programmation pluriannuelle de l'énergie a fait l'objet d'un cycle complet de révision amorcé en 2017 et poursuivi jusqu'à sa publication en 2020. La PPE 2 couvre deux périodes successives de cinq ans : 2019-2023 et 2024-2028. Elle a été adoptée par le décret du 21 avril 2020.</w:t>
            </w:r>
          </w:p>
        </w:tc>
        <w:tc>
          <w:tcPr>
            <w:tcW w:w="218" w:type="dxa"/>
            <w:tcBorders>
              <w:top w:val="nil"/>
              <w:left w:val="nil"/>
              <w:bottom w:val="single" w:sz="4" w:space="0" w:color="auto"/>
              <w:right w:val="single" w:sz="4" w:space="0" w:color="auto"/>
            </w:tcBorders>
            <w:shd w:val="clear" w:color="auto" w:fill="auto"/>
            <w:noWrap/>
            <w:vAlign w:val="bottom"/>
            <w:hideMark/>
          </w:tcPr>
          <w:p w14:paraId="0BC9970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4FB3D35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0C07F3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3DE029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715C32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8ED864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2CD19BF1"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4DEAFE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Soutien au développement de l'hydrogène</w:t>
            </w:r>
          </w:p>
        </w:tc>
        <w:tc>
          <w:tcPr>
            <w:tcW w:w="218" w:type="dxa"/>
            <w:tcBorders>
              <w:top w:val="nil"/>
              <w:left w:val="nil"/>
              <w:bottom w:val="single" w:sz="4" w:space="0" w:color="auto"/>
              <w:right w:val="single" w:sz="4" w:space="0" w:color="auto"/>
            </w:tcBorders>
            <w:shd w:val="clear" w:color="auto" w:fill="auto"/>
            <w:noWrap/>
            <w:vAlign w:val="bottom"/>
            <w:hideMark/>
          </w:tcPr>
          <w:p w14:paraId="1E0E65F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296B828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1C7BA3A1" w14:textId="21CE45DF"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E41138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19628A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218" w:type="dxa"/>
            <w:tcBorders>
              <w:top w:val="nil"/>
              <w:left w:val="nil"/>
              <w:bottom w:val="single" w:sz="4" w:space="0" w:color="auto"/>
              <w:right w:val="single" w:sz="4" w:space="0" w:color="auto"/>
            </w:tcBorders>
            <w:shd w:val="clear" w:color="auto" w:fill="auto"/>
            <w:noWrap/>
            <w:vAlign w:val="bottom"/>
            <w:hideMark/>
          </w:tcPr>
          <w:p w14:paraId="68A2AB5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4394218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prévoit plusieurs mesures de promotion de l'hydrogène : mettre en place un soutien au développement de l’hydrogène à hauteur de 100M€ et lancer des appels à projet sur la mobilité et la production d’hydrogène à l’aide d’électrolyseurs ; mettre en place d’ici 2020 d’un système de traçabilité de l’hydrogène décarboné ; prolonger la mesure de sur-amortissement à l’achat de véhicules hydrogène a minima dans les mêmes conditions que pour le GNV (poids lourds&gt;3,5t) ;  mobiliser les institutions financières (financements privés et publics dont CDC, BPI) et standardiser les modèles de cofinancement pour les projets de déploiements d’écosystèmes dans les territoires ; mener avec tous les acteurs concernés une réflexion sur la simplification et l’harmonisation des procédures d’autorisation et d’homologation des bateaux et des solutions d’avitaillement hydrogène associées.</w:t>
            </w:r>
            <w:r w:rsidRPr="001808DF">
              <w:rPr>
                <w:rFonts w:ascii="Arial" w:hAnsi="Arial" w:cs="Arial"/>
                <w:color w:val="000000"/>
                <w:sz w:val="16"/>
                <w:szCs w:val="16"/>
              </w:rPr>
              <w:br/>
              <w:t>Par ailleurs, avec la stratégie nationale pour le développement de l'hydrogène décarboné, le gouvernement investit plus de 7 Md€ jusqu’à l’horizon 2030, dont 2 Md€ sur la période 2021-2022, notamment pour développer les mobilités lourdes à l'hydrogène et soutenir la recherche.</w:t>
            </w:r>
          </w:p>
        </w:tc>
        <w:tc>
          <w:tcPr>
            <w:tcW w:w="218" w:type="dxa"/>
            <w:tcBorders>
              <w:top w:val="nil"/>
              <w:left w:val="nil"/>
              <w:bottom w:val="single" w:sz="4" w:space="0" w:color="auto"/>
              <w:right w:val="single" w:sz="4" w:space="0" w:color="auto"/>
            </w:tcBorders>
            <w:shd w:val="clear" w:color="auto" w:fill="auto"/>
            <w:noWrap/>
            <w:vAlign w:val="bottom"/>
            <w:hideMark/>
          </w:tcPr>
          <w:p w14:paraId="24D78B6B"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C0C4B0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EA65BF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F234DF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87346A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96AAF3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730933FA"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0582BC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Stratégie nationale bas-carbone révisée</w:t>
            </w:r>
          </w:p>
        </w:tc>
        <w:tc>
          <w:tcPr>
            <w:tcW w:w="218" w:type="dxa"/>
            <w:tcBorders>
              <w:top w:val="nil"/>
              <w:left w:val="nil"/>
              <w:bottom w:val="single" w:sz="4" w:space="0" w:color="auto"/>
              <w:right w:val="single" w:sz="4" w:space="0" w:color="auto"/>
            </w:tcBorders>
            <w:shd w:val="clear" w:color="auto" w:fill="auto"/>
            <w:noWrap/>
            <w:vAlign w:val="bottom"/>
            <w:hideMark/>
          </w:tcPr>
          <w:p w14:paraId="5194C9E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412CE3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707D91F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1C55418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DBF32CF" w14:textId="77777777" w:rsidR="00811B0F" w:rsidRPr="001808DF" w:rsidRDefault="00811B0F" w:rsidP="00811B0F">
            <w:pPr>
              <w:jc w:val="left"/>
              <w:rPr>
                <w:rFonts w:ascii="Arial" w:hAnsi="Arial" w:cs="Arial"/>
                <w:color w:val="000000"/>
                <w:sz w:val="16"/>
                <w:szCs w:val="16"/>
                <w:lang w:val="en-GB"/>
              </w:rPr>
            </w:pPr>
            <w:r w:rsidRPr="001808DF">
              <w:rPr>
                <w:rFonts w:ascii="Arial" w:hAnsi="Arial" w:cs="Arial"/>
                <w:color w:val="000000"/>
                <w:sz w:val="16"/>
                <w:szCs w:val="16"/>
                <w:lang w:val="en-GB"/>
              </w:rPr>
              <w:t>Regulatory, Information, Voluntary Agreement, Research</w:t>
            </w:r>
          </w:p>
        </w:tc>
        <w:tc>
          <w:tcPr>
            <w:tcW w:w="218" w:type="dxa"/>
            <w:tcBorders>
              <w:top w:val="nil"/>
              <w:left w:val="nil"/>
              <w:bottom w:val="single" w:sz="4" w:space="0" w:color="auto"/>
              <w:right w:val="single" w:sz="4" w:space="0" w:color="auto"/>
            </w:tcBorders>
            <w:shd w:val="clear" w:color="auto" w:fill="auto"/>
            <w:noWrap/>
            <w:vAlign w:val="bottom"/>
            <w:hideMark/>
          </w:tcPr>
          <w:p w14:paraId="7B0CD81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6CB8AC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Stratégie Nationale Bas-Carbone (SNBC) est la feuille de route de la France pour lutter contre le changement climatique. Elle donne des orientations pour mettre en œuvre, dans tous les secteurs d’activité, la transition vers une économie bas-carbone, circulaire et durable. Elle définit une trajectoire de réduction des émissions de gaz à effet de serre jusqu’à 2050 et fixe des objectifs à court-moyen termes : les budgets carbone.</w:t>
            </w:r>
          </w:p>
        </w:tc>
        <w:tc>
          <w:tcPr>
            <w:tcW w:w="218" w:type="dxa"/>
            <w:tcBorders>
              <w:top w:val="nil"/>
              <w:left w:val="nil"/>
              <w:bottom w:val="single" w:sz="4" w:space="0" w:color="auto"/>
              <w:right w:val="single" w:sz="4" w:space="0" w:color="auto"/>
            </w:tcBorders>
            <w:shd w:val="clear" w:color="auto" w:fill="auto"/>
            <w:noWrap/>
            <w:vAlign w:val="bottom"/>
            <w:hideMark/>
          </w:tcPr>
          <w:p w14:paraId="3996ED3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6E16844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0DCC3C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05051A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4589CA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67F771B"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4EC326D5"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31BF09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Obligation d'une part minimale de produits de qualité et bio dans les repas de la restauration collective</w:t>
            </w:r>
          </w:p>
        </w:tc>
        <w:tc>
          <w:tcPr>
            <w:tcW w:w="218" w:type="dxa"/>
            <w:tcBorders>
              <w:top w:val="nil"/>
              <w:left w:val="nil"/>
              <w:bottom w:val="single" w:sz="4" w:space="0" w:color="auto"/>
              <w:right w:val="single" w:sz="4" w:space="0" w:color="auto"/>
            </w:tcBorders>
            <w:shd w:val="clear" w:color="auto" w:fill="auto"/>
            <w:noWrap/>
            <w:vAlign w:val="bottom"/>
            <w:hideMark/>
          </w:tcPr>
          <w:p w14:paraId="21EA750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3A97632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5CC3CD6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5EAC848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B65C04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298F5B2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BA9F4A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L’approvisionnement de la restauration collective devra comprendre, en 2022, 50% (en valeur) de produits bio, sous autres signes de qualité ou locaux, dont 20% de produits issus de l’agriculture biologique. A partir de 2020, les usagers devront être informés de la part de produits de qualité entrant dans la composition des repas.</w:t>
            </w:r>
          </w:p>
        </w:tc>
        <w:tc>
          <w:tcPr>
            <w:tcW w:w="218" w:type="dxa"/>
            <w:tcBorders>
              <w:top w:val="nil"/>
              <w:left w:val="nil"/>
              <w:bottom w:val="single" w:sz="4" w:space="0" w:color="auto"/>
              <w:right w:val="single" w:sz="4" w:space="0" w:color="auto"/>
            </w:tcBorders>
            <w:shd w:val="clear" w:color="auto" w:fill="auto"/>
            <w:noWrap/>
            <w:vAlign w:val="bottom"/>
            <w:hideMark/>
          </w:tcPr>
          <w:p w14:paraId="421BE86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43AEF48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9E6F13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BC0006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FDD39B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4FB7BA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4B2D8275"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FB5949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Aide à la rénovation énergétique MaPrimeRénov'</w:t>
            </w:r>
          </w:p>
        </w:tc>
        <w:tc>
          <w:tcPr>
            <w:tcW w:w="218" w:type="dxa"/>
            <w:tcBorders>
              <w:top w:val="nil"/>
              <w:left w:val="nil"/>
              <w:bottom w:val="single" w:sz="4" w:space="0" w:color="auto"/>
              <w:right w:val="single" w:sz="4" w:space="0" w:color="auto"/>
            </w:tcBorders>
            <w:shd w:val="clear" w:color="auto" w:fill="auto"/>
            <w:noWrap/>
            <w:vAlign w:val="bottom"/>
            <w:hideMark/>
          </w:tcPr>
          <w:p w14:paraId="64115AB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8D0EDE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52427F58" w14:textId="231F95BD"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5C1C2C0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FD3142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Fiscal, Economic</w:t>
            </w:r>
          </w:p>
        </w:tc>
        <w:tc>
          <w:tcPr>
            <w:tcW w:w="218" w:type="dxa"/>
            <w:tcBorders>
              <w:top w:val="nil"/>
              <w:left w:val="nil"/>
              <w:bottom w:val="single" w:sz="4" w:space="0" w:color="auto"/>
              <w:right w:val="single" w:sz="4" w:space="0" w:color="auto"/>
            </w:tcBorders>
            <w:shd w:val="clear" w:color="auto" w:fill="auto"/>
            <w:noWrap/>
            <w:vAlign w:val="bottom"/>
            <w:hideMark/>
          </w:tcPr>
          <w:p w14:paraId="1FB96B7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275DB19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Lancée le 1er janvier 2020, MaPrimeRénov' (MPR) remplace le crédit d’impôt pour la transition énergétique (CITE) et les aides de l’Agence nationale de l’habitat (Anah) « Habiter mieux agilité ». Dans le cadre du Plan de relance de l’économie, le dispositif a été renforcé depuis le 1er octobre 2020. MPR est accessible à tous les propriétaires et à toutes les copropriétés. Plusieurs bonifications existent :  </w:t>
            </w:r>
            <w:r w:rsidRPr="001808DF">
              <w:rPr>
                <w:rFonts w:ascii="Arial" w:hAnsi="Arial" w:cs="Arial"/>
                <w:color w:val="000000"/>
                <w:sz w:val="16"/>
                <w:szCs w:val="16"/>
              </w:rPr>
              <w:br/>
              <w:t>- un bonus sortie de passoire, lorsque les travaux permettent de sortir le  logement de l’état de passoire thermique,</w:t>
            </w:r>
            <w:r w:rsidRPr="001808DF">
              <w:rPr>
                <w:rFonts w:ascii="Arial" w:hAnsi="Arial" w:cs="Arial"/>
                <w:color w:val="000000"/>
                <w:sz w:val="16"/>
                <w:szCs w:val="16"/>
              </w:rPr>
              <w:br/>
              <w:t>- un bonus bâtiment basse consommation pour récompenser l’atteinte d'un niveau de performance énergétique bon ou très bon,</w:t>
            </w:r>
            <w:r w:rsidRPr="001808DF">
              <w:rPr>
                <w:rFonts w:ascii="Arial" w:hAnsi="Arial" w:cs="Arial"/>
                <w:color w:val="000000"/>
                <w:sz w:val="16"/>
                <w:szCs w:val="16"/>
              </w:rPr>
              <w:br/>
              <w:t>- un forfait rénovation globale pour encourager les travaux ambitieux qui permettent un gain énergétique de plus de 55%,</w:t>
            </w:r>
            <w:r w:rsidRPr="001808DF">
              <w:rPr>
                <w:rFonts w:ascii="Arial" w:hAnsi="Arial" w:cs="Arial"/>
                <w:color w:val="000000"/>
                <w:sz w:val="16"/>
                <w:szCs w:val="16"/>
              </w:rPr>
              <w:br/>
              <w:t>- un forfait assistance à maîtrise d'ouvrage pour les ménages souhaitant se faire accompagner dans la réalisation de leurs travaux,</w:t>
            </w:r>
            <w:r w:rsidRPr="001808DF">
              <w:rPr>
                <w:rFonts w:ascii="Arial" w:hAnsi="Arial" w:cs="Arial"/>
                <w:color w:val="000000"/>
                <w:sz w:val="16"/>
                <w:szCs w:val="16"/>
              </w:rPr>
              <w:br/>
              <w:t>- des aides individuelles pour les ménages aux revenus modestes et très modestes (respectivement de 750 € et 1 500 €).</w:t>
            </w:r>
          </w:p>
        </w:tc>
        <w:tc>
          <w:tcPr>
            <w:tcW w:w="218" w:type="dxa"/>
            <w:tcBorders>
              <w:top w:val="nil"/>
              <w:left w:val="nil"/>
              <w:bottom w:val="single" w:sz="4" w:space="0" w:color="auto"/>
              <w:right w:val="single" w:sz="4" w:space="0" w:color="auto"/>
            </w:tcBorders>
            <w:shd w:val="clear" w:color="auto" w:fill="auto"/>
            <w:noWrap/>
            <w:vAlign w:val="bottom"/>
            <w:hideMark/>
          </w:tcPr>
          <w:p w14:paraId="5073C30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040CD79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 Ministère de l'économie(National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BB716E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9F6FA2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2E7A0C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B0FE0B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EAA2340"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BF2AD8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Volet "décarbonation de l'industrie" du Plan de relance</w:t>
            </w:r>
          </w:p>
        </w:tc>
        <w:tc>
          <w:tcPr>
            <w:tcW w:w="218" w:type="dxa"/>
            <w:tcBorders>
              <w:top w:val="nil"/>
              <w:left w:val="nil"/>
              <w:bottom w:val="single" w:sz="4" w:space="0" w:color="auto"/>
              <w:right w:val="single" w:sz="4" w:space="0" w:color="auto"/>
            </w:tcBorders>
            <w:shd w:val="clear" w:color="auto" w:fill="auto"/>
            <w:noWrap/>
            <w:vAlign w:val="bottom"/>
            <w:hideMark/>
          </w:tcPr>
          <w:p w14:paraId="17F6F00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762FEE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2BDAC7C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032E021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7140BE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771A1A1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F683F3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Dans le cadre du plan de relance, 1.2 Mds d'euros sont dédiés à la décarbonation de l'industrie pour la période 2020-2022. </w:t>
            </w:r>
            <w:r w:rsidRPr="001808DF">
              <w:rPr>
                <w:rFonts w:ascii="Arial" w:hAnsi="Arial" w:cs="Arial"/>
                <w:color w:val="000000"/>
                <w:sz w:val="16"/>
                <w:szCs w:val="16"/>
              </w:rPr>
              <w:br/>
              <w:t xml:space="preserve"> Pour les projets supérieurs à 3M€, des appels à projets ADEME  financent la chaleur décarbonée d'une part, et l'efficacité énergétique et la décarbonation des procédés industriels d'autre part. Pour les projets inférieurs à 3M€, un guichet d'aide pour des équipements éligibles est tenu par l''Agence des Services et Paiements. </w:t>
            </w:r>
          </w:p>
        </w:tc>
        <w:tc>
          <w:tcPr>
            <w:tcW w:w="218" w:type="dxa"/>
            <w:tcBorders>
              <w:top w:val="nil"/>
              <w:left w:val="nil"/>
              <w:bottom w:val="single" w:sz="4" w:space="0" w:color="auto"/>
              <w:right w:val="single" w:sz="4" w:space="0" w:color="auto"/>
            </w:tcBorders>
            <w:shd w:val="clear" w:color="auto" w:fill="auto"/>
            <w:noWrap/>
            <w:vAlign w:val="bottom"/>
            <w:hideMark/>
          </w:tcPr>
          <w:p w14:paraId="1D4E373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5CA8F3B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ADEME; ASP</w:t>
            </w:r>
          </w:p>
        </w:tc>
        <w:tc>
          <w:tcPr>
            <w:tcW w:w="48" w:type="dxa"/>
            <w:tcBorders>
              <w:top w:val="nil"/>
              <w:left w:val="nil"/>
              <w:bottom w:val="single" w:sz="4" w:space="0" w:color="auto"/>
              <w:right w:val="single" w:sz="4" w:space="0" w:color="auto"/>
            </w:tcBorders>
            <w:shd w:val="clear" w:color="auto" w:fill="auto"/>
            <w:noWrap/>
            <w:vAlign w:val="bottom"/>
            <w:hideMark/>
          </w:tcPr>
          <w:p w14:paraId="589AE9A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A01B52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E8EA58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172080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17DB37E9"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016FEA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Règlement européen n°2019/631 du 17 avril 2019 fixant des objectifs de réduction d’émissions à horizon 2025 et 2030 pour les voitures particulières et véhicules utilitaires légers neufs</w:t>
            </w:r>
          </w:p>
        </w:tc>
        <w:tc>
          <w:tcPr>
            <w:tcW w:w="218" w:type="dxa"/>
            <w:tcBorders>
              <w:top w:val="nil"/>
              <w:left w:val="nil"/>
              <w:bottom w:val="single" w:sz="4" w:space="0" w:color="auto"/>
              <w:right w:val="single" w:sz="4" w:space="0" w:color="auto"/>
            </w:tcBorders>
            <w:shd w:val="clear" w:color="auto" w:fill="auto"/>
            <w:noWrap/>
            <w:vAlign w:val="bottom"/>
            <w:hideMark/>
          </w:tcPr>
          <w:p w14:paraId="7D343F0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5863808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7C473A2C" w14:textId="21EEECC4"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538F967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68CC71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21BFD35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571AA93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règlement européen n°2019/631 du 17 avril 2019 prévoit un renforcement des objectifs fixés aux constructeurs pour les voitures et véhicules utilitaires légers avec une réduction des émissions des voitures neuves de 15% d’ici 2025 et de 37,5% en 2030 par rapport aux émissions de 2021 pour les voitures et une réduction des émissions de 15 % d’ici à 2025 et de 31 % en 2030 par rapport aux émissions de 2021 pour les véhicules utilitaires légers.</w:t>
            </w:r>
          </w:p>
        </w:tc>
        <w:tc>
          <w:tcPr>
            <w:tcW w:w="218" w:type="dxa"/>
            <w:tcBorders>
              <w:top w:val="nil"/>
              <w:left w:val="nil"/>
              <w:bottom w:val="single" w:sz="4" w:space="0" w:color="auto"/>
              <w:right w:val="single" w:sz="4" w:space="0" w:color="auto"/>
            </w:tcBorders>
            <w:shd w:val="clear" w:color="auto" w:fill="auto"/>
            <w:noWrap/>
            <w:vAlign w:val="bottom"/>
            <w:hideMark/>
          </w:tcPr>
          <w:p w14:paraId="34DA4DD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35E9070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47C03E5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5234C9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4 650,00</w:t>
            </w:r>
          </w:p>
        </w:tc>
        <w:tc>
          <w:tcPr>
            <w:tcW w:w="86" w:type="dxa"/>
            <w:tcBorders>
              <w:top w:val="nil"/>
              <w:left w:val="nil"/>
              <w:bottom w:val="single" w:sz="4" w:space="0" w:color="auto"/>
              <w:right w:val="single" w:sz="4" w:space="0" w:color="auto"/>
            </w:tcBorders>
            <w:shd w:val="clear" w:color="auto" w:fill="auto"/>
            <w:noWrap/>
            <w:vAlign w:val="bottom"/>
            <w:hideMark/>
          </w:tcPr>
          <w:p w14:paraId="263D37C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12 560,00</w:t>
            </w:r>
          </w:p>
        </w:tc>
        <w:tc>
          <w:tcPr>
            <w:tcW w:w="86" w:type="dxa"/>
            <w:tcBorders>
              <w:top w:val="nil"/>
              <w:left w:val="nil"/>
              <w:bottom w:val="single" w:sz="4" w:space="0" w:color="auto"/>
              <w:right w:val="single" w:sz="4" w:space="0" w:color="auto"/>
            </w:tcBorders>
            <w:shd w:val="clear" w:color="auto" w:fill="auto"/>
            <w:noWrap/>
            <w:vAlign w:val="bottom"/>
            <w:hideMark/>
          </w:tcPr>
          <w:p w14:paraId="1591DD1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23 730,00</w:t>
            </w:r>
          </w:p>
        </w:tc>
      </w:tr>
      <w:tr w:rsidR="00811B0F" w:rsidRPr="001808DF" w14:paraId="56FD3A6C"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FFCB1D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forfait mobilités durables vélo et covoiturage</w:t>
            </w:r>
          </w:p>
        </w:tc>
        <w:tc>
          <w:tcPr>
            <w:tcW w:w="218" w:type="dxa"/>
            <w:tcBorders>
              <w:top w:val="nil"/>
              <w:left w:val="nil"/>
              <w:bottom w:val="single" w:sz="4" w:space="0" w:color="auto"/>
              <w:right w:val="single" w:sz="4" w:space="0" w:color="auto"/>
            </w:tcBorders>
            <w:shd w:val="clear" w:color="auto" w:fill="auto"/>
            <w:noWrap/>
            <w:vAlign w:val="bottom"/>
            <w:hideMark/>
          </w:tcPr>
          <w:p w14:paraId="2C3FA14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201A292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26A8D41F" w14:textId="58CA1E75"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5DE69C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08CB9D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Fiscal, 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21C1DF3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259E369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Depuis 2020, tous les employeurs privés et publics peuvent contribuer aux frais de déplacement domicile-travail en covoiturage ou en vélo de leurs salariés. Ce forfait peut s’élever jusqu’à 700 €/an en franchise d’impôt et de cotisations sociales. </w:t>
            </w:r>
          </w:p>
        </w:tc>
        <w:tc>
          <w:tcPr>
            <w:tcW w:w="218" w:type="dxa"/>
            <w:tcBorders>
              <w:top w:val="nil"/>
              <w:left w:val="nil"/>
              <w:bottom w:val="single" w:sz="4" w:space="0" w:color="auto"/>
              <w:right w:val="single" w:sz="4" w:space="0" w:color="auto"/>
            </w:tcBorders>
            <w:shd w:val="clear" w:color="auto" w:fill="auto"/>
            <w:noWrap/>
            <w:vAlign w:val="bottom"/>
            <w:hideMark/>
          </w:tcPr>
          <w:p w14:paraId="41A0723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434A15B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Employeurs(Companies / businesses / industrial associations); Ministère de la Transition Ecologique(National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C2F419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0BF3A48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CFBC01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105CFB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1632BBC"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BB736D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Augmentation de 2c€  de la taxe sur le gazole utilisé pour le transport routier de marchandises</w:t>
            </w:r>
          </w:p>
        </w:tc>
        <w:tc>
          <w:tcPr>
            <w:tcW w:w="218" w:type="dxa"/>
            <w:tcBorders>
              <w:top w:val="nil"/>
              <w:left w:val="nil"/>
              <w:bottom w:val="single" w:sz="4" w:space="0" w:color="auto"/>
              <w:right w:val="single" w:sz="4" w:space="0" w:color="auto"/>
            </w:tcBorders>
            <w:shd w:val="clear" w:color="auto" w:fill="auto"/>
            <w:noWrap/>
            <w:vAlign w:val="bottom"/>
            <w:hideMark/>
          </w:tcPr>
          <w:p w14:paraId="4EC0F50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5B86177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423E1F78" w14:textId="4BE862B7"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44A1B2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9FFA75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2FC3931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7CEEB51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taxe énergétique sur le gazole utilisé pour le transport routier de marchandises a été augmentée de 2 c€/L de 43,19 c€/L à 45,19 c€/L.</w:t>
            </w:r>
          </w:p>
        </w:tc>
        <w:tc>
          <w:tcPr>
            <w:tcW w:w="218" w:type="dxa"/>
            <w:tcBorders>
              <w:top w:val="nil"/>
              <w:left w:val="nil"/>
              <w:bottom w:val="single" w:sz="4" w:space="0" w:color="auto"/>
              <w:right w:val="single" w:sz="4" w:space="0" w:color="auto"/>
            </w:tcBorders>
            <w:shd w:val="clear" w:color="auto" w:fill="auto"/>
            <w:noWrap/>
            <w:vAlign w:val="bottom"/>
            <w:hideMark/>
          </w:tcPr>
          <w:p w14:paraId="6CA5339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18B9807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des finances  (Government)</w:t>
            </w:r>
          </w:p>
        </w:tc>
        <w:tc>
          <w:tcPr>
            <w:tcW w:w="48" w:type="dxa"/>
            <w:tcBorders>
              <w:top w:val="nil"/>
              <w:left w:val="nil"/>
              <w:bottom w:val="single" w:sz="4" w:space="0" w:color="auto"/>
              <w:right w:val="single" w:sz="4" w:space="0" w:color="auto"/>
            </w:tcBorders>
            <w:shd w:val="clear" w:color="auto" w:fill="auto"/>
            <w:noWrap/>
            <w:vAlign w:val="bottom"/>
            <w:hideMark/>
          </w:tcPr>
          <w:p w14:paraId="1F82809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C8C0A8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37BD50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0A913A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4902F21"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49184C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Services publics eco-responsables</w:t>
            </w:r>
          </w:p>
        </w:tc>
        <w:tc>
          <w:tcPr>
            <w:tcW w:w="218" w:type="dxa"/>
            <w:tcBorders>
              <w:top w:val="nil"/>
              <w:left w:val="nil"/>
              <w:bottom w:val="single" w:sz="4" w:space="0" w:color="auto"/>
              <w:right w:val="single" w:sz="4" w:space="0" w:color="auto"/>
            </w:tcBorders>
            <w:shd w:val="clear" w:color="auto" w:fill="auto"/>
            <w:noWrap/>
            <w:vAlign w:val="bottom"/>
            <w:hideMark/>
          </w:tcPr>
          <w:p w14:paraId="6D9F394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1064670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76D2420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7B3CCEE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6D965C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3D226D9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6CD4169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La circulaire du premier ministre n°6145/SG visant l’engagement de l’Etat dans des services publics écoresponsables. Elle repose sur un socle de 20 mesures obligatoires à destination de tous les services de l'Etat.  Ces mesures portent sur : </w:t>
            </w:r>
            <w:r w:rsidRPr="001808DF">
              <w:rPr>
                <w:rFonts w:ascii="Arial" w:hAnsi="Arial" w:cs="Arial"/>
                <w:color w:val="000000"/>
                <w:sz w:val="16"/>
                <w:szCs w:val="16"/>
              </w:rPr>
              <w:br/>
              <w:t>- la mobilité durable des agents,</w:t>
            </w:r>
            <w:r w:rsidRPr="001808DF">
              <w:rPr>
                <w:rFonts w:ascii="Arial" w:hAnsi="Arial" w:cs="Arial"/>
                <w:color w:val="000000"/>
                <w:sz w:val="16"/>
                <w:szCs w:val="16"/>
              </w:rPr>
              <w:br/>
              <w:t>- la suppression du plastique à usage unique,</w:t>
            </w:r>
            <w:r w:rsidRPr="001808DF">
              <w:rPr>
                <w:rFonts w:ascii="Arial" w:hAnsi="Arial" w:cs="Arial"/>
                <w:color w:val="000000"/>
                <w:sz w:val="16"/>
                <w:szCs w:val="16"/>
              </w:rPr>
              <w:br/>
              <w:t>- une politique d’achat zéro-déforestation,</w:t>
            </w:r>
            <w:r w:rsidRPr="001808DF">
              <w:rPr>
                <w:rFonts w:ascii="Arial" w:hAnsi="Arial" w:cs="Arial"/>
                <w:color w:val="000000"/>
                <w:sz w:val="16"/>
                <w:szCs w:val="16"/>
              </w:rPr>
              <w:br/>
              <w:t>- une alimentation plus respectueuse de l’environnement,</w:t>
            </w:r>
            <w:r w:rsidRPr="001808DF">
              <w:rPr>
                <w:rFonts w:ascii="Arial" w:hAnsi="Arial" w:cs="Arial"/>
                <w:color w:val="000000"/>
                <w:sz w:val="16"/>
                <w:szCs w:val="16"/>
              </w:rPr>
              <w:br/>
              <w:t>- la réduction de la consommation d’énergie dans les bâtiments publics,</w:t>
            </w:r>
            <w:r w:rsidRPr="001808DF">
              <w:rPr>
                <w:rFonts w:ascii="Arial" w:hAnsi="Arial" w:cs="Arial"/>
                <w:color w:val="000000"/>
                <w:sz w:val="16"/>
                <w:szCs w:val="16"/>
              </w:rPr>
              <w:br/>
              <w:t>- la suppression des produits phytopharmaceutiques,</w:t>
            </w:r>
            <w:r w:rsidRPr="001808DF">
              <w:rPr>
                <w:rFonts w:ascii="Arial" w:hAnsi="Arial" w:cs="Arial"/>
                <w:color w:val="000000"/>
                <w:sz w:val="16"/>
                <w:szCs w:val="16"/>
              </w:rPr>
              <w:br/>
              <w:t>- l’économie circulaire et la maîtrise de l’empreinte carbone du numérique.</w:t>
            </w:r>
          </w:p>
        </w:tc>
        <w:tc>
          <w:tcPr>
            <w:tcW w:w="218" w:type="dxa"/>
            <w:tcBorders>
              <w:top w:val="nil"/>
              <w:left w:val="nil"/>
              <w:bottom w:val="single" w:sz="4" w:space="0" w:color="auto"/>
              <w:right w:val="single" w:sz="4" w:space="0" w:color="auto"/>
            </w:tcBorders>
            <w:shd w:val="clear" w:color="auto" w:fill="auto"/>
            <w:noWrap/>
            <w:vAlign w:val="bottom"/>
            <w:hideMark/>
          </w:tcPr>
          <w:p w14:paraId="1F72C68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113689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456FA8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7D50EC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3A532D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39BA18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7BCD5ED4"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A6CC73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Les projets alimentaires territoriaux (PAT)</w:t>
            </w:r>
          </w:p>
        </w:tc>
        <w:tc>
          <w:tcPr>
            <w:tcW w:w="218" w:type="dxa"/>
            <w:tcBorders>
              <w:top w:val="nil"/>
              <w:left w:val="nil"/>
              <w:bottom w:val="single" w:sz="4" w:space="0" w:color="auto"/>
              <w:right w:val="single" w:sz="4" w:space="0" w:color="auto"/>
            </w:tcBorders>
            <w:shd w:val="clear" w:color="auto" w:fill="auto"/>
            <w:noWrap/>
            <w:vAlign w:val="bottom"/>
            <w:hideMark/>
          </w:tcPr>
          <w:p w14:paraId="2A23C56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3959B9C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423885D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0D74848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A0D9BB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(Support),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071C9A4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6F581A0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Les projets alimentaires territoriaux (PAT) ont l'ambition de fédérer les différents acteurs d'un territoire autour de la question de l'alimentation, contribuant ainsi à la prise en compte des dimensions sociales, environnementales, économiques et de santé de ce territoire.</w:t>
            </w:r>
            <w:r w:rsidRPr="001808DF">
              <w:rPr>
                <w:rFonts w:ascii="Arial" w:hAnsi="Arial" w:cs="Arial"/>
                <w:color w:val="000000"/>
                <w:sz w:val="16"/>
                <w:szCs w:val="16"/>
              </w:rPr>
              <w:br/>
            </w:r>
            <w:r w:rsidRPr="001808DF">
              <w:rPr>
                <w:rFonts w:ascii="Arial" w:hAnsi="Arial" w:cs="Arial"/>
                <w:color w:val="000000"/>
                <w:sz w:val="16"/>
                <w:szCs w:val="16"/>
              </w:rPr>
              <w:br/>
              <w:t>La nouvelle procédure de reconnaissance révisée en 2021, propose deux niveaux : un premier niveau qui identifie les PAT émergents, afin de les accompagner dans leur construction, et un deuxième niveau qui valorise et donne de la visibilité aux projets opérationnels qui mettent en œuvre un plan d’actions effectives sur leur territoire.</w:t>
            </w:r>
          </w:p>
        </w:tc>
        <w:tc>
          <w:tcPr>
            <w:tcW w:w="218" w:type="dxa"/>
            <w:tcBorders>
              <w:top w:val="nil"/>
              <w:left w:val="nil"/>
              <w:bottom w:val="single" w:sz="4" w:space="0" w:color="auto"/>
              <w:right w:val="single" w:sz="4" w:space="0" w:color="auto"/>
            </w:tcBorders>
            <w:shd w:val="clear" w:color="auto" w:fill="auto"/>
            <w:noWrap/>
            <w:vAlign w:val="bottom"/>
            <w:hideMark/>
          </w:tcPr>
          <w:p w14:paraId="21EB057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503C687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l'Agriculture et de l'Alimentation (Government)</w:t>
            </w:r>
          </w:p>
        </w:tc>
        <w:tc>
          <w:tcPr>
            <w:tcW w:w="48" w:type="dxa"/>
            <w:tcBorders>
              <w:top w:val="nil"/>
              <w:left w:val="nil"/>
              <w:bottom w:val="single" w:sz="4" w:space="0" w:color="auto"/>
              <w:right w:val="single" w:sz="4" w:space="0" w:color="auto"/>
            </w:tcBorders>
            <w:shd w:val="clear" w:color="auto" w:fill="auto"/>
            <w:noWrap/>
            <w:vAlign w:val="bottom"/>
            <w:hideMark/>
          </w:tcPr>
          <w:p w14:paraId="387F66DB"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0A99B50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5C3973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B8D6E4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139A0D32"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0BBE9B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Bon diagnostic carbone</w:t>
            </w:r>
          </w:p>
        </w:tc>
        <w:tc>
          <w:tcPr>
            <w:tcW w:w="218" w:type="dxa"/>
            <w:tcBorders>
              <w:top w:val="nil"/>
              <w:left w:val="nil"/>
              <w:bottom w:val="single" w:sz="4" w:space="0" w:color="auto"/>
              <w:right w:val="single" w:sz="4" w:space="0" w:color="auto"/>
            </w:tcBorders>
            <w:shd w:val="clear" w:color="auto" w:fill="auto"/>
            <w:noWrap/>
            <w:vAlign w:val="bottom"/>
            <w:hideMark/>
          </w:tcPr>
          <w:p w14:paraId="140217A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2F532DE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2514B98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271E5C3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2C57516" w14:textId="77777777" w:rsidR="00811B0F" w:rsidRPr="001808DF" w:rsidRDefault="00811B0F" w:rsidP="00811B0F">
            <w:pPr>
              <w:jc w:val="left"/>
              <w:rPr>
                <w:rFonts w:ascii="Arial" w:hAnsi="Arial" w:cs="Arial"/>
                <w:color w:val="000000"/>
                <w:sz w:val="16"/>
                <w:szCs w:val="16"/>
                <w:lang w:val="en-GB"/>
              </w:rPr>
            </w:pPr>
            <w:r w:rsidRPr="001808DF">
              <w:rPr>
                <w:rFonts w:ascii="Arial" w:hAnsi="Arial" w:cs="Arial"/>
                <w:color w:val="000000"/>
                <w:sz w:val="16"/>
                <w:szCs w:val="16"/>
                <w:lang w:val="en-GB"/>
              </w:rPr>
              <w:t>Information, Other (Support), Other (Consulting)</w:t>
            </w:r>
          </w:p>
        </w:tc>
        <w:tc>
          <w:tcPr>
            <w:tcW w:w="218" w:type="dxa"/>
            <w:tcBorders>
              <w:top w:val="nil"/>
              <w:left w:val="nil"/>
              <w:bottom w:val="single" w:sz="4" w:space="0" w:color="auto"/>
              <w:right w:val="single" w:sz="4" w:space="0" w:color="auto"/>
            </w:tcBorders>
            <w:shd w:val="clear" w:color="auto" w:fill="auto"/>
            <w:noWrap/>
            <w:vAlign w:val="bottom"/>
            <w:hideMark/>
          </w:tcPr>
          <w:p w14:paraId="7C29C08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68CBFEB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Bon diagnostic carbone a pour objectif d’offrir la possibilité aux agriculteurs nouvellement installés depuis moins de 5 ans, de réaliser un diagnostic carbone suivi d’un plan d’actions et d’un accompagnement personnalisé de leur exploitation, pour s’engager dans la transition agroécologique et de se mobiliser dans la lutte contre le changement climatique.</w:t>
            </w:r>
          </w:p>
        </w:tc>
        <w:tc>
          <w:tcPr>
            <w:tcW w:w="218" w:type="dxa"/>
            <w:tcBorders>
              <w:top w:val="nil"/>
              <w:left w:val="nil"/>
              <w:bottom w:val="single" w:sz="4" w:space="0" w:color="auto"/>
              <w:right w:val="single" w:sz="4" w:space="0" w:color="auto"/>
            </w:tcBorders>
            <w:shd w:val="clear" w:color="auto" w:fill="auto"/>
            <w:noWrap/>
            <w:vAlign w:val="bottom"/>
            <w:hideMark/>
          </w:tcPr>
          <w:p w14:paraId="74F6ABA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36253B2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l'Agriculture et de l'Alimentation (Government); ADEME (others)</w:t>
            </w:r>
          </w:p>
        </w:tc>
        <w:tc>
          <w:tcPr>
            <w:tcW w:w="48" w:type="dxa"/>
            <w:tcBorders>
              <w:top w:val="nil"/>
              <w:left w:val="nil"/>
              <w:bottom w:val="single" w:sz="4" w:space="0" w:color="auto"/>
              <w:right w:val="single" w:sz="4" w:space="0" w:color="auto"/>
            </w:tcBorders>
            <w:shd w:val="clear" w:color="auto" w:fill="auto"/>
            <w:noWrap/>
            <w:vAlign w:val="bottom"/>
            <w:hideMark/>
          </w:tcPr>
          <w:p w14:paraId="4D5C2F0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485C94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B88AF6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5BD8B6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76678436"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7F8E6A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Volet forestier du Plan de Relance</w:t>
            </w:r>
          </w:p>
        </w:tc>
        <w:tc>
          <w:tcPr>
            <w:tcW w:w="218" w:type="dxa"/>
            <w:tcBorders>
              <w:top w:val="nil"/>
              <w:left w:val="nil"/>
              <w:bottom w:val="single" w:sz="4" w:space="0" w:color="auto"/>
              <w:right w:val="single" w:sz="4" w:space="0" w:color="auto"/>
            </w:tcBorders>
            <w:shd w:val="clear" w:color="auto" w:fill="auto"/>
            <w:noWrap/>
            <w:vAlign w:val="bottom"/>
            <w:hideMark/>
          </w:tcPr>
          <w:p w14:paraId="42B60E1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5D47EF6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Forestry/LULUCF</w:t>
            </w:r>
          </w:p>
        </w:tc>
        <w:tc>
          <w:tcPr>
            <w:tcW w:w="340" w:type="dxa"/>
            <w:tcBorders>
              <w:top w:val="nil"/>
              <w:left w:val="nil"/>
              <w:bottom w:val="single" w:sz="4" w:space="0" w:color="auto"/>
              <w:right w:val="single" w:sz="4" w:space="0" w:color="auto"/>
            </w:tcBorders>
            <w:shd w:val="clear" w:color="auto" w:fill="auto"/>
            <w:noWrap/>
            <w:vAlign w:val="bottom"/>
            <w:hideMark/>
          </w:tcPr>
          <w:p w14:paraId="2BB9560F" w14:textId="38F0B25A"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027440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D69C4C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5DAF6A1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D854A5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mesure de « Renouvellement forestier », prévue par le plan France relance, dotée d’un budget de 150 millions d’euros, vise 45 000 hectares de forêts améliorés, adaptés, régénérés ou reconstitués avant fin 2024. Elle permettra de soutenir financièrement les propriétaires forestiers pour les accompagner dans leurs projets d'investissements. L’enjeu est d’adapter les forêts françaises au changement climatique et à valoriser leur rôle en terme d'atténuation.</w:t>
            </w:r>
          </w:p>
        </w:tc>
        <w:tc>
          <w:tcPr>
            <w:tcW w:w="218" w:type="dxa"/>
            <w:tcBorders>
              <w:top w:val="nil"/>
              <w:left w:val="nil"/>
              <w:bottom w:val="single" w:sz="4" w:space="0" w:color="auto"/>
              <w:right w:val="single" w:sz="4" w:space="0" w:color="auto"/>
            </w:tcBorders>
            <w:shd w:val="clear" w:color="auto" w:fill="auto"/>
            <w:noWrap/>
            <w:vAlign w:val="bottom"/>
            <w:hideMark/>
          </w:tcPr>
          <w:p w14:paraId="6D81097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0A545C9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16FEDC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E01F9F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CDEFFD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20A0B7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673E544B"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C48089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Interdiction d’installer des systèmes de chauffage et de production d’eau chaude sanitaire consommant principalement des combustibles à haut niveau d’émissions de gaz à effet de serre dans les bâtiments à usage d’habitation ou à usage professionnel</w:t>
            </w:r>
          </w:p>
        </w:tc>
        <w:tc>
          <w:tcPr>
            <w:tcW w:w="218" w:type="dxa"/>
            <w:tcBorders>
              <w:top w:val="nil"/>
              <w:left w:val="nil"/>
              <w:bottom w:val="single" w:sz="4" w:space="0" w:color="auto"/>
              <w:right w:val="single" w:sz="4" w:space="0" w:color="auto"/>
            </w:tcBorders>
            <w:shd w:val="clear" w:color="auto" w:fill="auto"/>
            <w:noWrap/>
            <w:vAlign w:val="bottom"/>
            <w:hideMark/>
          </w:tcPr>
          <w:p w14:paraId="727EAE8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0FA158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1518EDEE" w14:textId="12DF3951"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786C900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7DEA70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33BAECF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2520D050" w14:textId="47A2967B"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À partir du 1er juillet 2021 seront interdits les systèmes de chauffage et de production d'eau chaude sanitaire utilisant principalement des combustibles très fortement émetteurs en gaz à effet de serre dans les bâtiments résidentiels et les bâtiments tertiaires. Un seuil de 250 g</w:t>
            </w:r>
            <w:r w:rsidRPr="001808DF">
              <w:rPr>
                <w:sz w:val="16"/>
                <w:szCs w:val="16"/>
              </w:rPr>
              <w:t>CO</w:t>
            </w:r>
            <w:r w:rsidRPr="001808DF">
              <w:rPr>
                <w:sz w:val="16"/>
                <w:szCs w:val="16"/>
                <w:vertAlign w:val="subscript"/>
              </w:rPr>
              <w:t>2</w:t>
            </w:r>
            <w:r w:rsidRPr="001808DF">
              <w:rPr>
                <w:rFonts w:ascii="Arial" w:hAnsi="Arial" w:cs="Arial"/>
                <w:color w:val="000000"/>
                <w:sz w:val="16"/>
                <w:szCs w:val="16"/>
              </w:rPr>
              <w:t>eq/kWh au-delà duquel les équipements ne devront plus être installés est fixé. Il concerne principalement les installations au fioul et au charbon</w:t>
            </w:r>
          </w:p>
        </w:tc>
        <w:tc>
          <w:tcPr>
            <w:tcW w:w="218" w:type="dxa"/>
            <w:tcBorders>
              <w:top w:val="nil"/>
              <w:left w:val="nil"/>
              <w:bottom w:val="single" w:sz="4" w:space="0" w:color="auto"/>
              <w:right w:val="single" w:sz="4" w:space="0" w:color="auto"/>
            </w:tcBorders>
            <w:shd w:val="clear" w:color="auto" w:fill="auto"/>
            <w:noWrap/>
            <w:vAlign w:val="bottom"/>
            <w:hideMark/>
          </w:tcPr>
          <w:p w14:paraId="76E4631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32B9E43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073CAE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53B9BA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ACEC45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94FD8D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14AF4617"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D34B72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Favoriser la réalisation d'audit énergétique pour les logements passoires thermiques</w:t>
            </w:r>
          </w:p>
        </w:tc>
        <w:tc>
          <w:tcPr>
            <w:tcW w:w="218" w:type="dxa"/>
            <w:tcBorders>
              <w:top w:val="nil"/>
              <w:left w:val="nil"/>
              <w:bottom w:val="single" w:sz="4" w:space="0" w:color="auto"/>
              <w:right w:val="single" w:sz="4" w:space="0" w:color="auto"/>
            </w:tcBorders>
            <w:shd w:val="clear" w:color="auto" w:fill="auto"/>
            <w:noWrap/>
            <w:vAlign w:val="bottom"/>
            <w:hideMark/>
          </w:tcPr>
          <w:p w14:paraId="4A645C2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730AC2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7148EF11" w14:textId="48F052BE"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608410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5B3B27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69D1470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1C9FD22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prévoit le financement à 100% d'un audit énergétique pour les ménages modestes propriétaires de logements passoires thermiques (diagnostics de performance F ou G) et de rendre cet audit obligatoire avant la mise en location d’un logement privé de catégorie F ou G ainsi que lors de la mutation d’un logement classé F ou G, d’ici 2021, pour inciter les propriétaires à engager des travaux.</w:t>
            </w:r>
          </w:p>
        </w:tc>
        <w:tc>
          <w:tcPr>
            <w:tcW w:w="218" w:type="dxa"/>
            <w:tcBorders>
              <w:top w:val="nil"/>
              <w:left w:val="nil"/>
              <w:bottom w:val="single" w:sz="4" w:space="0" w:color="auto"/>
              <w:right w:val="single" w:sz="4" w:space="0" w:color="auto"/>
            </w:tcBorders>
            <w:shd w:val="clear" w:color="auto" w:fill="auto"/>
            <w:noWrap/>
            <w:vAlign w:val="bottom"/>
            <w:hideMark/>
          </w:tcPr>
          <w:p w14:paraId="3A4E1BD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618F536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5280AFF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DEBDDD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CA9662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9C0CE1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57B304BD"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3208BE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Projet de taxation des HFC</w:t>
            </w:r>
          </w:p>
        </w:tc>
        <w:tc>
          <w:tcPr>
            <w:tcW w:w="218" w:type="dxa"/>
            <w:tcBorders>
              <w:top w:val="nil"/>
              <w:left w:val="nil"/>
              <w:bottom w:val="single" w:sz="4" w:space="0" w:color="auto"/>
              <w:right w:val="single" w:sz="4" w:space="0" w:color="auto"/>
            </w:tcBorders>
            <w:shd w:val="clear" w:color="auto" w:fill="auto"/>
            <w:noWrap/>
            <w:vAlign w:val="bottom"/>
            <w:hideMark/>
          </w:tcPr>
          <w:p w14:paraId="32A371C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35007B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7044514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HFCs</w:t>
            </w:r>
          </w:p>
        </w:tc>
        <w:tc>
          <w:tcPr>
            <w:tcW w:w="469" w:type="dxa"/>
            <w:tcBorders>
              <w:top w:val="nil"/>
              <w:left w:val="nil"/>
              <w:bottom w:val="single" w:sz="4" w:space="0" w:color="auto"/>
              <w:right w:val="single" w:sz="4" w:space="0" w:color="auto"/>
            </w:tcBorders>
            <w:shd w:val="clear" w:color="auto" w:fill="auto"/>
            <w:noWrap/>
            <w:vAlign w:val="bottom"/>
            <w:hideMark/>
          </w:tcPr>
          <w:p w14:paraId="07EE857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483893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2532D78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2A83D8EC" w14:textId="7BED2C90"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Au niveau national, la loi de finances pour 2019 avait prévu la mise en place à partir du 1er janvier 2021 d’une taxe sur les HFC dont le tarif devait évoluer de la manière suivante : 15€ par tonne équivalent </w:t>
            </w:r>
            <w:r w:rsidRPr="001808DF">
              <w:rPr>
                <w:sz w:val="16"/>
                <w:szCs w:val="16"/>
              </w:rPr>
              <w:t>CO</w:t>
            </w:r>
            <w:r w:rsidRPr="001808DF">
              <w:rPr>
                <w:sz w:val="16"/>
                <w:szCs w:val="16"/>
                <w:vertAlign w:val="subscript"/>
              </w:rPr>
              <w:t>2</w:t>
            </w:r>
            <w:r w:rsidRPr="001808DF">
              <w:rPr>
                <w:rFonts w:ascii="Arial" w:hAnsi="Arial" w:cs="Arial"/>
                <w:color w:val="000000"/>
                <w:sz w:val="16"/>
                <w:szCs w:val="16"/>
              </w:rPr>
              <w:t xml:space="preserve"> en 2021, 18€ en 2022, 22€ en 2023, 26€ en 2024 et 30€ à compter de 2025. L’entrée en vigueur de la taxe HFC a été repoussée au 1er janvier 2025 par la loi de finances 2022 compte tenu de l’atteinte des objectifs de réduction de l’utilisation de HFC qui avaient été fixés aux professionnels du froid et de la réfrigération en 2019.</w:t>
            </w:r>
          </w:p>
        </w:tc>
        <w:tc>
          <w:tcPr>
            <w:tcW w:w="218" w:type="dxa"/>
            <w:tcBorders>
              <w:top w:val="nil"/>
              <w:left w:val="nil"/>
              <w:bottom w:val="single" w:sz="4" w:space="0" w:color="auto"/>
              <w:right w:val="single" w:sz="4" w:space="0" w:color="auto"/>
            </w:tcBorders>
            <w:shd w:val="clear" w:color="auto" w:fill="auto"/>
            <w:noWrap/>
            <w:vAlign w:val="bottom"/>
            <w:hideMark/>
          </w:tcPr>
          <w:p w14:paraId="1F259F04"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015228A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7EE847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45C44A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2C2E9A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A897DF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0B7087F"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9C9AF7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Règlement européen n°2019/1242 du 20 juin 2019 fixant des objectifs de réduction d’émissions à horizon 2025 et 2030 pour les poids lourds</w:t>
            </w:r>
          </w:p>
        </w:tc>
        <w:tc>
          <w:tcPr>
            <w:tcW w:w="218" w:type="dxa"/>
            <w:tcBorders>
              <w:top w:val="nil"/>
              <w:left w:val="nil"/>
              <w:bottom w:val="single" w:sz="4" w:space="0" w:color="auto"/>
              <w:right w:val="single" w:sz="4" w:space="0" w:color="auto"/>
            </w:tcBorders>
            <w:shd w:val="clear" w:color="auto" w:fill="auto"/>
            <w:noWrap/>
            <w:vAlign w:val="bottom"/>
            <w:hideMark/>
          </w:tcPr>
          <w:p w14:paraId="195DAA4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395AEA5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6FDC14EB" w14:textId="5489BC0B"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91B5FF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A3EB7B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331BC26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4AFD9CB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règlement européen n°2019/1242 du 20 juin 2019 fixe des objectifs aux constructeurs pour les poids lourds avec une réduction de 15 % des émissions d’ici à 2025 et une réduction de 30% en 2030 par rapport aux émissions de 2021.</w:t>
            </w:r>
          </w:p>
        </w:tc>
        <w:tc>
          <w:tcPr>
            <w:tcW w:w="218" w:type="dxa"/>
            <w:tcBorders>
              <w:top w:val="nil"/>
              <w:left w:val="nil"/>
              <w:bottom w:val="single" w:sz="4" w:space="0" w:color="auto"/>
              <w:right w:val="single" w:sz="4" w:space="0" w:color="auto"/>
            </w:tcBorders>
            <w:shd w:val="clear" w:color="auto" w:fill="auto"/>
            <w:noWrap/>
            <w:vAlign w:val="bottom"/>
            <w:hideMark/>
          </w:tcPr>
          <w:p w14:paraId="7E730F1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1F17F9E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75DA93B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D62B9C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1 250,00</w:t>
            </w:r>
          </w:p>
        </w:tc>
        <w:tc>
          <w:tcPr>
            <w:tcW w:w="86" w:type="dxa"/>
            <w:tcBorders>
              <w:top w:val="nil"/>
              <w:left w:val="nil"/>
              <w:bottom w:val="single" w:sz="4" w:space="0" w:color="auto"/>
              <w:right w:val="single" w:sz="4" w:space="0" w:color="auto"/>
            </w:tcBorders>
            <w:shd w:val="clear" w:color="auto" w:fill="auto"/>
            <w:noWrap/>
            <w:vAlign w:val="bottom"/>
            <w:hideMark/>
          </w:tcPr>
          <w:p w14:paraId="2F7E453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3 125,00</w:t>
            </w:r>
          </w:p>
        </w:tc>
        <w:tc>
          <w:tcPr>
            <w:tcW w:w="86" w:type="dxa"/>
            <w:tcBorders>
              <w:top w:val="nil"/>
              <w:left w:val="nil"/>
              <w:bottom w:val="single" w:sz="4" w:space="0" w:color="auto"/>
              <w:right w:val="single" w:sz="4" w:space="0" w:color="auto"/>
            </w:tcBorders>
            <w:shd w:val="clear" w:color="auto" w:fill="auto"/>
            <w:noWrap/>
            <w:vAlign w:val="bottom"/>
            <w:hideMark/>
          </w:tcPr>
          <w:p w14:paraId="1A32FA3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5 625,00</w:t>
            </w:r>
          </w:p>
        </w:tc>
      </w:tr>
      <w:tr w:rsidR="00811B0F" w:rsidRPr="001808DF" w14:paraId="1060E66D"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8CDC02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Interdiction des vols s'il existe une alternative ferroviaire de moins de 2h30</w:t>
            </w:r>
          </w:p>
        </w:tc>
        <w:tc>
          <w:tcPr>
            <w:tcW w:w="218" w:type="dxa"/>
            <w:tcBorders>
              <w:top w:val="nil"/>
              <w:left w:val="nil"/>
              <w:bottom w:val="single" w:sz="4" w:space="0" w:color="auto"/>
              <w:right w:val="single" w:sz="4" w:space="0" w:color="auto"/>
            </w:tcBorders>
            <w:shd w:val="clear" w:color="auto" w:fill="auto"/>
            <w:noWrap/>
            <w:vAlign w:val="bottom"/>
            <w:hideMark/>
          </w:tcPr>
          <w:p w14:paraId="0851BE7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303849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790152CA" w14:textId="6E4F1377"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2D1FE5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D179CF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5DEE44A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8CD14C9" w14:textId="33032063"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Le projet de loi climat et résilence de 2021 interdit l’exploitation de services aériens sur des liaisons intérieures au territoire national, dès lors qu’un trajet alternatif, par un autre moyen de transport collectif, moins émetteur de </w:t>
            </w:r>
            <w:r w:rsidRPr="001808DF">
              <w:rPr>
                <w:sz w:val="16"/>
                <w:szCs w:val="16"/>
              </w:rPr>
              <w:t>CO</w:t>
            </w:r>
            <w:r w:rsidRPr="001808DF">
              <w:rPr>
                <w:sz w:val="16"/>
                <w:szCs w:val="16"/>
                <w:vertAlign w:val="subscript"/>
              </w:rPr>
              <w:t>2</w:t>
            </w:r>
            <w:r w:rsidRPr="001808DF">
              <w:rPr>
                <w:rFonts w:ascii="Arial" w:hAnsi="Arial" w:cs="Arial"/>
                <w:color w:val="000000"/>
                <w:sz w:val="16"/>
                <w:szCs w:val="16"/>
              </w:rPr>
              <w:t>, existe en moins de 2h30. Un décret fixera les conditions dans lesquelles des aménagements à l’interdiction sont prévus pour les services aériens qui assurent majoritairement le transport de passagers en correspondance ou qui offrent un transport aérien majoritairement décarboné.</w:t>
            </w:r>
          </w:p>
        </w:tc>
        <w:tc>
          <w:tcPr>
            <w:tcW w:w="218" w:type="dxa"/>
            <w:tcBorders>
              <w:top w:val="nil"/>
              <w:left w:val="nil"/>
              <w:bottom w:val="single" w:sz="4" w:space="0" w:color="auto"/>
              <w:right w:val="single" w:sz="4" w:space="0" w:color="auto"/>
            </w:tcBorders>
            <w:shd w:val="clear" w:color="auto" w:fill="auto"/>
            <w:noWrap/>
            <w:vAlign w:val="bottom"/>
            <w:hideMark/>
          </w:tcPr>
          <w:p w14:paraId="0EA3337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25FB45C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33B00D4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03FA228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E0C592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AC6315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C6BE7E4"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074A01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Taxation du carburant utilisé par l'aviation de loisir</w:t>
            </w:r>
          </w:p>
        </w:tc>
        <w:tc>
          <w:tcPr>
            <w:tcW w:w="218" w:type="dxa"/>
            <w:tcBorders>
              <w:top w:val="nil"/>
              <w:left w:val="nil"/>
              <w:bottom w:val="single" w:sz="4" w:space="0" w:color="auto"/>
              <w:right w:val="single" w:sz="4" w:space="0" w:color="auto"/>
            </w:tcBorders>
            <w:shd w:val="clear" w:color="auto" w:fill="auto"/>
            <w:noWrap/>
            <w:vAlign w:val="bottom"/>
            <w:hideMark/>
          </w:tcPr>
          <w:p w14:paraId="452D760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C16D4D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12EF5F0C" w14:textId="4851B129"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41E126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0B5828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1E5CCE2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695DA3F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taxe sur les carburants utilisés pour l'aviation de loisir a été relevée pour être alignée sur la taxe sur l'essence</w:t>
            </w:r>
          </w:p>
        </w:tc>
        <w:tc>
          <w:tcPr>
            <w:tcW w:w="218" w:type="dxa"/>
            <w:tcBorders>
              <w:top w:val="nil"/>
              <w:left w:val="nil"/>
              <w:bottom w:val="single" w:sz="4" w:space="0" w:color="auto"/>
              <w:right w:val="single" w:sz="4" w:space="0" w:color="auto"/>
            </w:tcBorders>
            <w:shd w:val="clear" w:color="auto" w:fill="auto"/>
            <w:noWrap/>
            <w:vAlign w:val="bottom"/>
            <w:hideMark/>
          </w:tcPr>
          <w:p w14:paraId="4867B62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4DC419A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des finances(Government)</w:t>
            </w:r>
          </w:p>
        </w:tc>
        <w:tc>
          <w:tcPr>
            <w:tcW w:w="48" w:type="dxa"/>
            <w:tcBorders>
              <w:top w:val="nil"/>
              <w:left w:val="nil"/>
              <w:bottom w:val="single" w:sz="4" w:space="0" w:color="auto"/>
              <w:right w:val="single" w:sz="4" w:space="0" w:color="auto"/>
            </w:tcBorders>
            <w:shd w:val="clear" w:color="auto" w:fill="auto"/>
            <w:noWrap/>
            <w:vAlign w:val="bottom"/>
            <w:hideMark/>
          </w:tcPr>
          <w:p w14:paraId="77194F4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102F2F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92FD2F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ABCEA0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65225AF7"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2ABD04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Dispositif fiscal de suramortissement pour les engins non routiers utilisés par les entreprises du bâtiment et des travaux publics et les exploitants aéroportuaires et fonctionnant à l'électricité, l'hydrogène et le gaz naturel</w:t>
            </w:r>
          </w:p>
        </w:tc>
        <w:tc>
          <w:tcPr>
            <w:tcW w:w="218" w:type="dxa"/>
            <w:tcBorders>
              <w:top w:val="nil"/>
              <w:left w:val="nil"/>
              <w:bottom w:val="single" w:sz="4" w:space="0" w:color="auto"/>
              <w:right w:val="single" w:sz="4" w:space="0" w:color="auto"/>
            </w:tcBorders>
            <w:shd w:val="clear" w:color="auto" w:fill="auto"/>
            <w:noWrap/>
            <w:vAlign w:val="bottom"/>
            <w:hideMark/>
          </w:tcPr>
          <w:p w14:paraId="3461DAF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291AA8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7ED03CFA" w14:textId="690D230B"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5C046B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C64E88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1638DF3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3407" w:type="dxa"/>
            <w:tcBorders>
              <w:top w:val="nil"/>
              <w:left w:val="nil"/>
              <w:bottom w:val="single" w:sz="4" w:space="0" w:color="auto"/>
              <w:right w:val="single" w:sz="4" w:space="0" w:color="auto"/>
            </w:tcBorders>
            <w:shd w:val="clear" w:color="auto" w:fill="auto"/>
            <w:noWrap/>
            <w:vAlign w:val="bottom"/>
            <w:hideMark/>
          </w:tcPr>
          <w:p w14:paraId="1ED894A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Dispositif fiscal de suramortissement pour les engins non routiers utilisés par les entreprises du bâtiment et des travaux publics et les exploitants aéroportuaires tels que engins de piste des aéroports, matériels et outillages pour les opérations industrielles, matériels de manutention, fonctionnant à l'électricité, l'hydrogène et le gaz naturel</w:t>
            </w:r>
          </w:p>
        </w:tc>
        <w:tc>
          <w:tcPr>
            <w:tcW w:w="218" w:type="dxa"/>
            <w:tcBorders>
              <w:top w:val="nil"/>
              <w:left w:val="nil"/>
              <w:bottom w:val="single" w:sz="4" w:space="0" w:color="auto"/>
              <w:right w:val="single" w:sz="4" w:space="0" w:color="auto"/>
            </w:tcBorders>
            <w:shd w:val="clear" w:color="auto" w:fill="auto"/>
            <w:noWrap/>
            <w:vAlign w:val="bottom"/>
            <w:hideMark/>
          </w:tcPr>
          <w:p w14:paraId="75CBA9A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213937F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des finances(Government)</w:t>
            </w:r>
          </w:p>
        </w:tc>
        <w:tc>
          <w:tcPr>
            <w:tcW w:w="48" w:type="dxa"/>
            <w:tcBorders>
              <w:top w:val="nil"/>
              <w:left w:val="nil"/>
              <w:bottom w:val="single" w:sz="4" w:space="0" w:color="auto"/>
              <w:right w:val="single" w:sz="4" w:space="0" w:color="auto"/>
            </w:tcBorders>
            <w:shd w:val="clear" w:color="auto" w:fill="auto"/>
            <w:noWrap/>
            <w:vAlign w:val="bottom"/>
            <w:hideMark/>
          </w:tcPr>
          <w:p w14:paraId="2B253B7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E67800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3A6612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0EB121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1BF06E8F"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208A8A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Réglementation environnementale 2020 (RE 2020) dans les bâtiments neufs</w:t>
            </w:r>
          </w:p>
        </w:tc>
        <w:tc>
          <w:tcPr>
            <w:tcW w:w="218" w:type="dxa"/>
            <w:tcBorders>
              <w:top w:val="nil"/>
              <w:left w:val="nil"/>
              <w:bottom w:val="single" w:sz="4" w:space="0" w:color="auto"/>
              <w:right w:val="single" w:sz="4" w:space="0" w:color="auto"/>
            </w:tcBorders>
            <w:shd w:val="clear" w:color="auto" w:fill="auto"/>
            <w:noWrap/>
            <w:vAlign w:val="bottom"/>
            <w:hideMark/>
          </w:tcPr>
          <w:p w14:paraId="513B9A6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69EA1F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(Building), Energy</w:t>
            </w:r>
          </w:p>
        </w:tc>
        <w:tc>
          <w:tcPr>
            <w:tcW w:w="340" w:type="dxa"/>
            <w:tcBorders>
              <w:top w:val="nil"/>
              <w:left w:val="nil"/>
              <w:bottom w:val="single" w:sz="4" w:space="0" w:color="auto"/>
              <w:right w:val="single" w:sz="4" w:space="0" w:color="auto"/>
            </w:tcBorders>
            <w:shd w:val="clear" w:color="auto" w:fill="auto"/>
            <w:noWrap/>
            <w:vAlign w:val="bottom"/>
            <w:hideMark/>
          </w:tcPr>
          <w:p w14:paraId="3EB7ED40" w14:textId="6768E834"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115816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111F50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48F1F89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5DB8E8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La future réglementation environnementale dans la construction neuve (article 181 de la loi ELAN de 2018) et succède à la RT 2012 et met en place un standard environnemental innovant pour les bâtiments neufs, réunissant des exigences à la fois en matière de réduction de la consommation d’énergie, de développement des énergies renouvelables, et de prise en compte des émissions de gaz à effet de serre sur l’ensemble du cycle de vie du bâtiment (depuis sa construction jusqu’à sa démolition, en passant par son exploitation). La fixation des modalités de la future réglementation environnementale s’appuiera sur les retours de l’expérimentation  Bâtiments à Energie Positive &amp; Réduction Carbone (E+C-)  lancée fin 2016.</w:t>
            </w:r>
          </w:p>
        </w:tc>
        <w:tc>
          <w:tcPr>
            <w:tcW w:w="218" w:type="dxa"/>
            <w:tcBorders>
              <w:top w:val="nil"/>
              <w:left w:val="nil"/>
              <w:bottom w:val="single" w:sz="4" w:space="0" w:color="auto"/>
              <w:right w:val="single" w:sz="4" w:space="0" w:color="auto"/>
            </w:tcBorders>
            <w:shd w:val="clear" w:color="auto" w:fill="auto"/>
            <w:noWrap/>
            <w:vAlign w:val="bottom"/>
            <w:hideMark/>
          </w:tcPr>
          <w:p w14:paraId="52F7B5A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04015F2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3AC229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DB73F3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7 350,00</w:t>
            </w:r>
          </w:p>
        </w:tc>
        <w:tc>
          <w:tcPr>
            <w:tcW w:w="86" w:type="dxa"/>
            <w:tcBorders>
              <w:top w:val="nil"/>
              <w:left w:val="nil"/>
              <w:bottom w:val="single" w:sz="4" w:space="0" w:color="auto"/>
              <w:right w:val="single" w:sz="4" w:space="0" w:color="auto"/>
            </w:tcBorders>
            <w:shd w:val="clear" w:color="auto" w:fill="auto"/>
            <w:noWrap/>
            <w:vAlign w:val="bottom"/>
            <w:hideMark/>
          </w:tcPr>
          <w:p w14:paraId="3A00E45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14 700,00</w:t>
            </w:r>
          </w:p>
        </w:tc>
        <w:tc>
          <w:tcPr>
            <w:tcW w:w="86" w:type="dxa"/>
            <w:tcBorders>
              <w:top w:val="nil"/>
              <w:left w:val="nil"/>
              <w:bottom w:val="single" w:sz="4" w:space="0" w:color="auto"/>
              <w:right w:val="single" w:sz="4" w:space="0" w:color="auto"/>
            </w:tcBorders>
            <w:shd w:val="clear" w:color="auto" w:fill="auto"/>
            <w:noWrap/>
            <w:vAlign w:val="bottom"/>
            <w:hideMark/>
          </w:tcPr>
          <w:p w14:paraId="4F44C2C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15 650,00</w:t>
            </w:r>
          </w:p>
        </w:tc>
      </w:tr>
      <w:tr w:rsidR="00811B0F" w:rsidRPr="001808DF" w14:paraId="7DEF10F6"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1CE34D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Obligation de rénovation des passoires énergétiques</w:t>
            </w:r>
          </w:p>
        </w:tc>
        <w:tc>
          <w:tcPr>
            <w:tcW w:w="218" w:type="dxa"/>
            <w:tcBorders>
              <w:top w:val="nil"/>
              <w:left w:val="nil"/>
              <w:bottom w:val="single" w:sz="4" w:space="0" w:color="auto"/>
              <w:right w:val="single" w:sz="4" w:space="0" w:color="auto"/>
            </w:tcBorders>
            <w:shd w:val="clear" w:color="auto" w:fill="auto"/>
            <w:noWrap/>
            <w:vAlign w:val="bottom"/>
            <w:hideMark/>
          </w:tcPr>
          <w:p w14:paraId="0ECF2F7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3D5BF99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(Building), Energy</w:t>
            </w:r>
          </w:p>
        </w:tc>
        <w:tc>
          <w:tcPr>
            <w:tcW w:w="340" w:type="dxa"/>
            <w:tcBorders>
              <w:top w:val="nil"/>
              <w:left w:val="nil"/>
              <w:bottom w:val="single" w:sz="4" w:space="0" w:color="auto"/>
              <w:right w:val="single" w:sz="4" w:space="0" w:color="auto"/>
            </w:tcBorders>
            <w:shd w:val="clear" w:color="auto" w:fill="auto"/>
            <w:noWrap/>
            <w:vAlign w:val="bottom"/>
            <w:hideMark/>
          </w:tcPr>
          <w:p w14:paraId="0C81D84A" w14:textId="42E522B8"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C53539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3BAB75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3D18B5F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Planned</w:t>
            </w:r>
          </w:p>
        </w:tc>
        <w:tc>
          <w:tcPr>
            <w:tcW w:w="3407" w:type="dxa"/>
            <w:tcBorders>
              <w:top w:val="nil"/>
              <w:left w:val="nil"/>
              <w:bottom w:val="single" w:sz="4" w:space="0" w:color="auto"/>
              <w:right w:val="single" w:sz="4" w:space="0" w:color="auto"/>
            </w:tcBorders>
            <w:shd w:val="clear" w:color="auto" w:fill="auto"/>
            <w:noWrap/>
            <w:vAlign w:val="bottom"/>
            <w:hideMark/>
          </w:tcPr>
          <w:p w14:paraId="7809760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La loi énergie-climat de 2019 crée des obligations de rénovation des passoires énergétiques à horizon 2028.  Une première phase incitative prévoie l’obligation dès 2022 de réaliser un audit énergétique en cas de mise en vente ou location d’une passoire thermique, contenant des propositions de travaux adaptés au logement ainsi que leur coût estimé, et d’informer l’acquéreur ou locataire sur ses futures dépenses en énergie. Il est prévu dans une deuxième phase une obligation avant 2028 pour les propriétaires de passoires thermiques de réaliser des travaux d’amélioration de la performance énergétique de leur logement. </w:t>
            </w:r>
          </w:p>
        </w:tc>
        <w:tc>
          <w:tcPr>
            <w:tcW w:w="218" w:type="dxa"/>
            <w:tcBorders>
              <w:top w:val="nil"/>
              <w:left w:val="nil"/>
              <w:bottom w:val="single" w:sz="4" w:space="0" w:color="auto"/>
              <w:right w:val="single" w:sz="4" w:space="0" w:color="auto"/>
            </w:tcBorders>
            <w:shd w:val="clear" w:color="auto" w:fill="auto"/>
            <w:noWrap/>
            <w:vAlign w:val="bottom"/>
            <w:hideMark/>
          </w:tcPr>
          <w:p w14:paraId="1E01FEA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4D9410B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452C6A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69AC92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3 000,00</w:t>
            </w:r>
          </w:p>
        </w:tc>
        <w:tc>
          <w:tcPr>
            <w:tcW w:w="86" w:type="dxa"/>
            <w:tcBorders>
              <w:top w:val="nil"/>
              <w:left w:val="nil"/>
              <w:bottom w:val="single" w:sz="4" w:space="0" w:color="auto"/>
              <w:right w:val="single" w:sz="4" w:space="0" w:color="auto"/>
            </w:tcBorders>
            <w:shd w:val="clear" w:color="auto" w:fill="auto"/>
            <w:noWrap/>
            <w:vAlign w:val="bottom"/>
            <w:hideMark/>
          </w:tcPr>
          <w:p w14:paraId="6B23E5F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6 000,00</w:t>
            </w:r>
          </w:p>
        </w:tc>
        <w:tc>
          <w:tcPr>
            <w:tcW w:w="86" w:type="dxa"/>
            <w:tcBorders>
              <w:top w:val="nil"/>
              <w:left w:val="nil"/>
              <w:bottom w:val="single" w:sz="4" w:space="0" w:color="auto"/>
              <w:right w:val="single" w:sz="4" w:space="0" w:color="auto"/>
            </w:tcBorders>
            <w:shd w:val="clear" w:color="auto" w:fill="auto"/>
            <w:noWrap/>
            <w:vAlign w:val="bottom"/>
            <w:hideMark/>
          </w:tcPr>
          <w:p w14:paraId="5B3AE84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69A5AA19"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76AADA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Volet "décarbonation de l'industrie" du plan France 2030</w:t>
            </w:r>
          </w:p>
        </w:tc>
        <w:tc>
          <w:tcPr>
            <w:tcW w:w="218" w:type="dxa"/>
            <w:tcBorders>
              <w:top w:val="nil"/>
              <w:left w:val="nil"/>
              <w:bottom w:val="single" w:sz="4" w:space="0" w:color="auto"/>
              <w:right w:val="single" w:sz="4" w:space="0" w:color="auto"/>
            </w:tcBorders>
            <w:shd w:val="clear" w:color="auto" w:fill="auto"/>
            <w:noWrap/>
            <w:vAlign w:val="bottom"/>
            <w:hideMark/>
          </w:tcPr>
          <w:p w14:paraId="32946B9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2F0086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4D7EFFA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1C22984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638371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65A5D3F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Planned</w:t>
            </w:r>
          </w:p>
        </w:tc>
        <w:tc>
          <w:tcPr>
            <w:tcW w:w="3407" w:type="dxa"/>
            <w:tcBorders>
              <w:top w:val="nil"/>
              <w:left w:val="nil"/>
              <w:bottom w:val="single" w:sz="4" w:space="0" w:color="auto"/>
              <w:right w:val="single" w:sz="4" w:space="0" w:color="auto"/>
            </w:tcBorders>
            <w:shd w:val="clear" w:color="auto" w:fill="auto"/>
            <w:noWrap/>
            <w:vAlign w:val="bottom"/>
            <w:hideMark/>
          </w:tcPr>
          <w:p w14:paraId="25C121D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plan d’investissement « France 2030 » prévoit de soutenir le déploiement de solutions de décarbonation de sites industriels à hauteur de 5 milliards d’euros sur la période 2022-2026 </w:t>
            </w:r>
          </w:p>
        </w:tc>
        <w:tc>
          <w:tcPr>
            <w:tcW w:w="218" w:type="dxa"/>
            <w:tcBorders>
              <w:top w:val="nil"/>
              <w:left w:val="nil"/>
              <w:bottom w:val="single" w:sz="4" w:space="0" w:color="auto"/>
              <w:right w:val="single" w:sz="4" w:space="0" w:color="auto"/>
            </w:tcBorders>
            <w:shd w:val="clear" w:color="auto" w:fill="auto"/>
            <w:noWrap/>
            <w:vAlign w:val="bottom"/>
            <w:hideMark/>
          </w:tcPr>
          <w:p w14:paraId="7D3B112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5E0E419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ADEME</w:t>
            </w:r>
          </w:p>
        </w:tc>
        <w:tc>
          <w:tcPr>
            <w:tcW w:w="48" w:type="dxa"/>
            <w:tcBorders>
              <w:top w:val="nil"/>
              <w:left w:val="nil"/>
              <w:bottom w:val="single" w:sz="4" w:space="0" w:color="auto"/>
              <w:right w:val="single" w:sz="4" w:space="0" w:color="auto"/>
            </w:tcBorders>
            <w:shd w:val="clear" w:color="auto" w:fill="auto"/>
            <w:noWrap/>
            <w:vAlign w:val="bottom"/>
            <w:hideMark/>
          </w:tcPr>
          <w:p w14:paraId="63F7F74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AD6576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BE4DB5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5C09F2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ECF3C80"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37B7D9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Stratégie d'accélération de la décarbonation de l'industrie du PIA4</w:t>
            </w:r>
          </w:p>
        </w:tc>
        <w:tc>
          <w:tcPr>
            <w:tcW w:w="218" w:type="dxa"/>
            <w:tcBorders>
              <w:top w:val="nil"/>
              <w:left w:val="nil"/>
              <w:bottom w:val="single" w:sz="4" w:space="0" w:color="auto"/>
              <w:right w:val="single" w:sz="4" w:space="0" w:color="auto"/>
            </w:tcBorders>
            <w:shd w:val="clear" w:color="auto" w:fill="auto"/>
            <w:noWrap/>
            <w:vAlign w:val="bottom"/>
            <w:hideMark/>
          </w:tcPr>
          <w:p w14:paraId="038EC58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173CAF8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0E27701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1A04013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6AF732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 Research</w:t>
            </w:r>
          </w:p>
        </w:tc>
        <w:tc>
          <w:tcPr>
            <w:tcW w:w="218" w:type="dxa"/>
            <w:tcBorders>
              <w:top w:val="nil"/>
              <w:left w:val="nil"/>
              <w:bottom w:val="single" w:sz="4" w:space="0" w:color="auto"/>
              <w:right w:val="single" w:sz="4" w:space="0" w:color="auto"/>
            </w:tcBorders>
            <w:shd w:val="clear" w:color="auto" w:fill="auto"/>
            <w:noWrap/>
            <w:vAlign w:val="bottom"/>
            <w:hideMark/>
          </w:tcPr>
          <w:p w14:paraId="33E230C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0777362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Dans le cadre du PIA4 (4ème programme des investissements d’avenir), une stratégie d’accélération de la décarbonation de l’industrie a été élaborée. Elle prévoit de consacrer une enveloppe de 610 millions d’euros au déploiement de dispositifs d’aide couvrant l’ensemble de la chaîne d’innovation et d’industrialisation - du concept de laboratoire préparant les technologies en rupture de la prochaine décennie à l’innovation incrémentale qui pourra être déployée à court terme, à l’industrialisation de la technologie et son accès au marché -, pour assurer un continuum des financements</w:t>
            </w:r>
          </w:p>
        </w:tc>
        <w:tc>
          <w:tcPr>
            <w:tcW w:w="218" w:type="dxa"/>
            <w:tcBorders>
              <w:top w:val="nil"/>
              <w:left w:val="nil"/>
              <w:bottom w:val="single" w:sz="4" w:space="0" w:color="auto"/>
              <w:right w:val="single" w:sz="4" w:space="0" w:color="auto"/>
            </w:tcBorders>
            <w:shd w:val="clear" w:color="auto" w:fill="auto"/>
            <w:noWrap/>
            <w:vAlign w:val="bottom"/>
            <w:hideMark/>
          </w:tcPr>
          <w:p w14:paraId="0365AF3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6F00AA0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ADEME</w:t>
            </w:r>
          </w:p>
        </w:tc>
        <w:tc>
          <w:tcPr>
            <w:tcW w:w="48" w:type="dxa"/>
            <w:tcBorders>
              <w:top w:val="nil"/>
              <w:left w:val="nil"/>
              <w:bottom w:val="single" w:sz="4" w:space="0" w:color="auto"/>
              <w:right w:val="single" w:sz="4" w:space="0" w:color="auto"/>
            </w:tcBorders>
            <w:shd w:val="clear" w:color="auto" w:fill="auto"/>
            <w:noWrap/>
            <w:vAlign w:val="bottom"/>
            <w:hideMark/>
          </w:tcPr>
          <w:p w14:paraId="0787937B"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7318D5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308B45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FFAAD1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542B9107"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F50B89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Compensation des émissions des vols intérieur </w:t>
            </w:r>
          </w:p>
        </w:tc>
        <w:tc>
          <w:tcPr>
            <w:tcW w:w="218" w:type="dxa"/>
            <w:tcBorders>
              <w:top w:val="nil"/>
              <w:left w:val="nil"/>
              <w:bottom w:val="single" w:sz="4" w:space="0" w:color="auto"/>
              <w:right w:val="single" w:sz="4" w:space="0" w:color="auto"/>
            </w:tcBorders>
            <w:shd w:val="clear" w:color="auto" w:fill="auto"/>
            <w:noWrap/>
            <w:vAlign w:val="bottom"/>
            <w:hideMark/>
          </w:tcPr>
          <w:p w14:paraId="16C74F2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73374A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0C0E6E47" w14:textId="09135FE7"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20A9645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D7B79E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25008F6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189246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projet de loi climat et résilence de 2021 va rendre obligatoire pour tous les opérateurs aériens la compensation carbone des émissions des vols intérieurs métropolitains ainsi que, sur une base volontaire, celle pour les vols depuis et vers l’outre-mer. Un calendrier progressif de mise en oeuvre est appliqué, pour un début de mise en application dès 2022 et une compensation de 100 % des émissions en 2024. Par ailleurs, afin de garantir le bénéfice environnemental de la mesure, les types de crédits carbone pouvant être utilisés seront encadrés, et favoriseront notamment les puits de carbone et les projets soutenus sur le territoire des États membres de l’Union européenne.</w:t>
            </w:r>
          </w:p>
        </w:tc>
        <w:tc>
          <w:tcPr>
            <w:tcW w:w="218" w:type="dxa"/>
            <w:tcBorders>
              <w:top w:val="nil"/>
              <w:left w:val="nil"/>
              <w:bottom w:val="single" w:sz="4" w:space="0" w:color="auto"/>
              <w:right w:val="single" w:sz="4" w:space="0" w:color="auto"/>
            </w:tcBorders>
            <w:shd w:val="clear" w:color="auto" w:fill="auto"/>
            <w:noWrap/>
            <w:vAlign w:val="bottom"/>
            <w:hideMark/>
          </w:tcPr>
          <w:p w14:paraId="254644A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13C5A91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20F3D38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507DB6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9780E8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DD309CB"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4D65DF7F"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667A31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Interdiction des avions publicitaires</w:t>
            </w:r>
          </w:p>
        </w:tc>
        <w:tc>
          <w:tcPr>
            <w:tcW w:w="218" w:type="dxa"/>
            <w:tcBorders>
              <w:top w:val="nil"/>
              <w:left w:val="nil"/>
              <w:bottom w:val="single" w:sz="4" w:space="0" w:color="auto"/>
              <w:right w:val="single" w:sz="4" w:space="0" w:color="auto"/>
            </w:tcBorders>
            <w:shd w:val="clear" w:color="auto" w:fill="auto"/>
            <w:noWrap/>
            <w:vAlign w:val="bottom"/>
            <w:hideMark/>
          </w:tcPr>
          <w:p w14:paraId="70E98D1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AD77BD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14:paraId="47B7772C" w14:textId="4F4EFC80"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4639B1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C40AAF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37EBFD7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36733A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Les avions publicitaires sont interdits dans le cadre du projet de loi climat et résilience</w:t>
            </w:r>
          </w:p>
        </w:tc>
        <w:tc>
          <w:tcPr>
            <w:tcW w:w="218" w:type="dxa"/>
            <w:tcBorders>
              <w:top w:val="nil"/>
              <w:left w:val="nil"/>
              <w:bottom w:val="single" w:sz="4" w:space="0" w:color="auto"/>
              <w:right w:val="single" w:sz="4" w:space="0" w:color="auto"/>
            </w:tcBorders>
            <w:shd w:val="clear" w:color="auto" w:fill="auto"/>
            <w:noWrap/>
            <w:vAlign w:val="bottom"/>
            <w:hideMark/>
          </w:tcPr>
          <w:p w14:paraId="5935E98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044BF7A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écologique(Government)</w:t>
            </w:r>
          </w:p>
        </w:tc>
        <w:tc>
          <w:tcPr>
            <w:tcW w:w="48" w:type="dxa"/>
            <w:tcBorders>
              <w:top w:val="nil"/>
              <w:left w:val="nil"/>
              <w:bottom w:val="single" w:sz="4" w:space="0" w:color="auto"/>
              <w:right w:val="single" w:sz="4" w:space="0" w:color="auto"/>
            </w:tcBorders>
            <w:shd w:val="clear" w:color="auto" w:fill="auto"/>
            <w:noWrap/>
            <w:vAlign w:val="bottom"/>
            <w:hideMark/>
          </w:tcPr>
          <w:p w14:paraId="716933F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BFC34B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57F5F8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28041B7"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32FD6FB1"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83BF90E"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Obligation d'incorporation de biocarburants dans les carburants aéronautiques</w:t>
            </w:r>
          </w:p>
        </w:tc>
        <w:tc>
          <w:tcPr>
            <w:tcW w:w="218" w:type="dxa"/>
            <w:tcBorders>
              <w:top w:val="nil"/>
              <w:left w:val="nil"/>
              <w:bottom w:val="single" w:sz="4" w:space="0" w:color="auto"/>
              <w:right w:val="single" w:sz="4" w:space="0" w:color="auto"/>
            </w:tcBorders>
            <w:shd w:val="clear" w:color="auto" w:fill="auto"/>
            <w:noWrap/>
            <w:vAlign w:val="bottom"/>
            <w:hideMark/>
          </w:tcPr>
          <w:p w14:paraId="0FCE79D6"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F24C1D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402DFAD3" w14:textId="526F4315"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EFC4BB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FF0936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7B52AE0D"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DEC236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Les carburants d'aviation font l'objet d'une obligation d'incorporation (1% à compter de 2022)</w:t>
            </w:r>
          </w:p>
        </w:tc>
        <w:tc>
          <w:tcPr>
            <w:tcW w:w="218" w:type="dxa"/>
            <w:tcBorders>
              <w:top w:val="nil"/>
              <w:left w:val="nil"/>
              <w:bottom w:val="single" w:sz="4" w:space="0" w:color="auto"/>
              <w:right w:val="single" w:sz="4" w:space="0" w:color="auto"/>
            </w:tcBorders>
            <w:shd w:val="clear" w:color="auto" w:fill="auto"/>
            <w:noWrap/>
            <w:vAlign w:val="bottom"/>
            <w:hideMark/>
          </w:tcPr>
          <w:p w14:paraId="5716276A"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07F2EBE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écologique(Government)</w:t>
            </w:r>
          </w:p>
        </w:tc>
        <w:tc>
          <w:tcPr>
            <w:tcW w:w="48" w:type="dxa"/>
            <w:tcBorders>
              <w:top w:val="nil"/>
              <w:left w:val="nil"/>
              <w:bottom w:val="single" w:sz="4" w:space="0" w:color="auto"/>
              <w:right w:val="single" w:sz="4" w:space="0" w:color="auto"/>
            </w:tcBorders>
            <w:shd w:val="clear" w:color="auto" w:fill="auto"/>
            <w:noWrap/>
            <w:vAlign w:val="bottom"/>
            <w:hideMark/>
          </w:tcPr>
          <w:p w14:paraId="0D516B1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0787221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63364B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CAB4EDE"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585C8DF"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FB2B95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Plan de relance aéronautique - soutien à l'innovation verte dans l'aviation</w:t>
            </w:r>
          </w:p>
        </w:tc>
        <w:tc>
          <w:tcPr>
            <w:tcW w:w="218" w:type="dxa"/>
            <w:tcBorders>
              <w:top w:val="nil"/>
              <w:left w:val="nil"/>
              <w:bottom w:val="single" w:sz="4" w:space="0" w:color="auto"/>
              <w:right w:val="single" w:sz="4" w:space="0" w:color="auto"/>
            </w:tcBorders>
            <w:shd w:val="clear" w:color="auto" w:fill="auto"/>
            <w:noWrap/>
            <w:vAlign w:val="bottom"/>
            <w:hideMark/>
          </w:tcPr>
          <w:p w14:paraId="467DD30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64151D1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1908DC23" w14:textId="2DE26581"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3F1DEB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0F9EE9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Research</w:t>
            </w:r>
          </w:p>
        </w:tc>
        <w:tc>
          <w:tcPr>
            <w:tcW w:w="218" w:type="dxa"/>
            <w:tcBorders>
              <w:top w:val="nil"/>
              <w:left w:val="nil"/>
              <w:bottom w:val="single" w:sz="4" w:space="0" w:color="auto"/>
              <w:right w:val="single" w:sz="4" w:space="0" w:color="auto"/>
            </w:tcBorders>
            <w:shd w:val="clear" w:color="auto" w:fill="auto"/>
            <w:noWrap/>
            <w:vAlign w:val="bottom"/>
            <w:hideMark/>
          </w:tcPr>
          <w:p w14:paraId="3F421395"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64F60BF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plan de relance pour l'aéronautique inclut 1,5 Mds€ de soutien pour l'avion vert</w:t>
            </w:r>
          </w:p>
        </w:tc>
        <w:tc>
          <w:tcPr>
            <w:tcW w:w="218" w:type="dxa"/>
            <w:tcBorders>
              <w:top w:val="nil"/>
              <w:left w:val="nil"/>
              <w:bottom w:val="single" w:sz="4" w:space="0" w:color="auto"/>
              <w:right w:val="single" w:sz="4" w:space="0" w:color="auto"/>
            </w:tcBorders>
            <w:shd w:val="clear" w:color="auto" w:fill="auto"/>
            <w:noWrap/>
            <w:vAlign w:val="bottom"/>
            <w:hideMark/>
          </w:tcPr>
          <w:p w14:paraId="4E364F4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148C78B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écologique(Government)</w:t>
            </w:r>
          </w:p>
        </w:tc>
        <w:tc>
          <w:tcPr>
            <w:tcW w:w="48" w:type="dxa"/>
            <w:tcBorders>
              <w:top w:val="nil"/>
              <w:left w:val="nil"/>
              <w:bottom w:val="single" w:sz="4" w:space="0" w:color="auto"/>
              <w:right w:val="single" w:sz="4" w:space="0" w:color="auto"/>
            </w:tcBorders>
            <w:shd w:val="clear" w:color="auto" w:fill="auto"/>
            <w:noWrap/>
            <w:vAlign w:val="bottom"/>
            <w:hideMark/>
          </w:tcPr>
          <w:p w14:paraId="6BFFCC1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F4640E3"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53421E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C0561C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F167CA8"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877CCD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Mesures en faveur du ferroviaire (voyageurs et marchandises) actées dand le cadre du Plan de relance</w:t>
            </w:r>
          </w:p>
        </w:tc>
        <w:tc>
          <w:tcPr>
            <w:tcW w:w="218" w:type="dxa"/>
            <w:tcBorders>
              <w:top w:val="nil"/>
              <w:left w:val="nil"/>
              <w:bottom w:val="single" w:sz="4" w:space="0" w:color="auto"/>
              <w:right w:val="single" w:sz="4" w:space="0" w:color="auto"/>
            </w:tcBorders>
            <w:shd w:val="clear" w:color="auto" w:fill="auto"/>
            <w:noWrap/>
            <w:vAlign w:val="bottom"/>
            <w:hideMark/>
          </w:tcPr>
          <w:p w14:paraId="26FAD01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F0DD6C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50F64526" w14:textId="40D12727"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2C7922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D3EC9B9"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3CCD72BB"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0B7567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Le plan de relance a acté un  ensemble de mesures en faveur du ferroviaire (regénération de lignes, mesures en faveur du fret) pour un montant de 4,7 Mds € d'investissement</w:t>
            </w:r>
          </w:p>
        </w:tc>
        <w:tc>
          <w:tcPr>
            <w:tcW w:w="218" w:type="dxa"/>
            <w:tcBorders>
              <w:top w:val="nil"/>
              <w:left w:val="nil"/>
              <w:bottom w:val="single" w:sz="4" w:space="0" w:color="auto"/>
              <w:right w:val="single" w:sz="4" w:space="0" w:color="auto"/>
            </w:tcBorders>
            <w:shd w:val="clear" w:color="auto" w:fill="auto"/>
            <w:noWrap/>
            <w:vAlign w:val="bottom"/>
            <w:hideMark/>
          </w:tcPr>
          <w:p w14:paraId="047BCCC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1C6A8ED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écologique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3EF74EBC"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09460B5"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74ED47F"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63AF6B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031477B2"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CB8EDC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Volet forestier du Plan d'investissement France 2030</w:t>
            </w:r>
          </w:p>
        </w:tc>
        <w:tc>
          <w:tcPr>
            <w:tcW w:w="218" w:type="dxa"/>
            <w:tcBorders>
              <w:top w:val="nil"/>
              <w:left w:val="nil"/>
              <w:bottom w:val="single" w:sz="4" w:space="0" w:color="auto"/>
              <w:right w:val="single" w:sz="4" w:space="0" w:color="auto"/>
            </w:tcBorders>
            <w:shd w:val="clear" w:color="auto" w:fill="auto"/>
            <w:noWrap/>
            <w:vAlign w:val="bottom"/>
            <w:hideMark/>
          </w:tcPr>
          <w:p w14:paraId="0D86E6B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B4D412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Forestry/LULUCF</w:t>
            </w:r>
          </w:p>
        </w:tc>
        <w:tc>
          <w:tcPr>
            <w:tcW w:w="340" w:type="dxa"/>
            <w:tcBorders>
              <w:top w:val="nil"/>
              <w:left w:val="nil"/>
              <w:bottom w:val="single" w:sz="4" w:space="0" w:color="auto"/>
              <w:right w:val="single" w:sz="4" w:space="0" w:color="auto"/>
            </w:tcBorders>
            <w:shd w:val="clear" w:color="auto" w:fill="auto"/>
            <w:noWrap/>
            <w:vAlign w:val="bottom"/>
            <w:hideMark/>
          </w:tcPr>
          <w:p w14:paraId="2DC99D75" w14:textId="1D4972C8"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2AAA69FF"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6B122F7"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Economic, Research</w:t>
            </w:r>
          </w:p>
        </w:tc>
        <w:tc>
          <w:tcPr>
            <w:tcW w:w="218" w:type="dxa"/>
            <w:tcBorders>
              <w:top w:val="nil"/>
              <w:left w:val="nil"/>
              <w:bottom w:val="single" w:sz="4" w:space="0" w:color="auto"/>
              <w:right w:val="single" w:sz="4" w:space="0" w:color="auto"/>
            </w:tcBorders>
            <w:shd w:val="clear" w:color="auto" w:fill="auto"/>
            <w:noWrap/>
            <w:vAlign w:val="bottom"/>
            <w:hideMark/>
          </w:tcPr>
          <w:p w14:paraId="34975AF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D8870AC"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xml:space="preserve">Dans le cadre du plan France 2030, 500 M€ sont dédiés aux forêts françaises, avec les priorités suivantes : opérations de renouvellement forestier (200 M€ y seront dédiés), renforcement et modernisation de l’appareil de production au service du développement du bois construction, développement d’une chaîne de production performante et innovante, développement des débouchés pour tous les co-produits du bois est soutenu via un plan cellulose permettant de créer de nouveaux débouchés : production d’énergie, valorisation de la cellulose par la chimie verte, etc. </w:t>
            </w:r>
          </w:p>
        </w:tc>
        <w:tc>
          <w:tcPr>
            <w:tcW w:w="218" w:type="dxa"/>
            <w:tcBorders>
              <w:top w:val="nil"/>
              <w:left w:val="nil"/>
              <w:bottom w:val="single" w:sz="4" w:space="0" w:color="auto"/>
              <w:right w:val="single" w:sz="4" w:space="0" w:color="auto"/>
            </w:tcBorders>
            <w:shd w:val="clear" w:color="auto" w:fill="auto"/>
            <w:noWrap/>
            <w:vAlign w:val="bottom"/>
            <w:hideMark/>
          </w:tcPr>
          <w:p w14:paraId="665734E6"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3A954128"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AF18110"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DF0FB0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0DA5E68"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4649E2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r>
      <w:tr w:rsidR="00811B0F" w:rsidRPr="001808DF" w14:paraId="669211DE" w14:textId="77777777" w:rsidTr="00811B0F">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3409140"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Dispositif éco-énergie tertiaire (dit "décret tertiaire")</w:t>
            </w:r>
          </w:p>
        </w:tc>
        <w:tc>
          <w:tcPr>
            <w:tcW w:w="218" w:type="dxa"/>
            <w:tcBorders>
              <w:top w:val="nil"/>
              <w:left w:val="nil"/>
              <w:bottom w:val="single" w:sz="4" w:space="0" w:color="auto"/>
              <w:right w:val="single" w:sz="4" w:space="0" w:color="auto"/>
            </w:tcBorders>
            <w:shd w:val="clear" w:color="auto" w:fill="auto"/>
            <w:noWrap/>
            <w:vAlign w:val="bottom"/>
            <w:hideMark/>
          </w:tcPr>
          <w:p w14:paraId="1F1116D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6DA56D93"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7E6980D5" w14:textId="17788ACC" w:rsidR="00811B0F" w:rsidRPr="001808DF" w:rsidRDefault="00811B0F" w:rsidP="00811B0F">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08062E4"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85E93E1"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6F5BEA6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43CCFE2"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Cette obligation prévue par la loi ELAN et précisée par décret oblige les entreprises et administrations à réduire la consommation énergétique de leurs locaux tertiaires, dès lors que leur surface est supérieure à 1000m², de 40% en 2030, 50% en 2040, 60% en 2050.</w:t>
            </w:r>
          </w:p>
        </w:tc>
        <w:tc>
          <w:tcPr>
            <w:tcW w:w="218" w:type="dxa"/>
            <w:tcBorders>
              <w:top w:val="nil"/>
              <w:left w:val="nil"/>
              <w:bottom w:val="single" w:sz="4" w:space="0" w:color="auto"/>
              <w:right w:val="single" w:sz="4" w:space="0" w:color="auto"/>
            </w:tcBorders>
            <w:shd w:val="clear" w:color="auto" w:fill="auto"/>
            <w:noWrap/>
            <w:vAlign w:val="bottom"/>
            <w:hideMark/>
          </w:tcPr>
          <w:p w14:paraId="1BFFCFD2"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3FD4600A" w14:textId="77777777" w:rsidR="00811B0F" w:rsidRPr="001808DF" w:rsidRDefault="00811B0F" w:rsidP="00811B0F">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517534A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872B0E9"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3 000,00</w:t>
            </w:r>
          </w:p>
        </w:tc>
        <w:tc>
          <w:tcPr>
            <w:tcW w:w="86" w:type="dxa"/>
            <w:tcBorders>
              <w:top w:val="nil"/>
              <w:left w:val="nil"/>
              <w:bottom w:val="single" w:sz="4" w:space="0" w:color="auto"/>
              <w:right w:val="single" w:sz="4" w:space="0" w:color="auto"/>
            </w:tcBorders>
            <w:shd w:val="clear" w:color="auto" w:fill="auto"/>
            <w:noWrap/>
            <w:vAlign w:val="bottom"/>
            <w:hideMark/>
          </w:tcPr>
          <w:p w14:paraId="02F988E1"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6 000,00</w:t>
            </w:r>
          </w:p>
        </w:tc>
        <w:tc>
          <w:tcPr>
            <w:tcW w:w="86" w:type="dxa"/>
            <w:tcBorders>
              <w:top w:val="nil"/>
              <w:left w:val="nil"/>
              <w:bottom w:val="single" w:sz="4" w:space="0" w:color="auto"/>
              <w:right w:val="single" w:sz="4" w:space="0" w:color="auto"/>
            </w:tcBorders>
            <w:shd w:val="clear" w:color="auto" w:fill="auto"/>
            <w:noWrap/>
            <w:vAlign w:val="bottom"/>
            <w:hideMark/>
          </w:tcPr>
          <w:p w14:paraId="3A04D5FD" w14:textId="77777777" w:rsidR="00811B0F" w:rsidRPr="001808DF" w:rsidRDefault="00811B0F" w:rsidP="00811B0F">
            <w:pPr>
              <w:jc w:val="right"/>
              <w:rPr>
                <w:rFonts w:ascii="Arial" w:hAnsi="Arial" w:cs="Arial"/>
                <w:color w:val="000000"/>
                <w:sz w:val="16"/>
                <w:szCs w:val="16"/>
              </w:rPr>
            </w:pPr>
            <w:r w:rsidRPr="001808DF">
              <w:rPr>
                <w:rFonts w:ascii="Arial" w:hAnsi="Arial" w:cs="Arial"/>
                <w:color w:val="000000"/>
                <w:sz w:val="16"/>
                <w:szCs w:val="16"/>
              </w:rPr>
              <w:t>7 500,00</w:t>
            </w:r>
          </w:p>
        </w:tc>
      </w:tr>
    </w:tbl>
    <w:p w14:paraId="00FBFC4D" w14:textId="1898126A" w:rsidR="00C02B8B" w:rsidRPr="0098629B" w:rsidRDefault="00C02B8B" w:rsidP="00C02B8B">
      <w:pPr>
        <w:rPr>
          <w:sz w:val="48"/>
        </w:rPr>
      </w:pPr>
    </w:p>
    <w:p w14:paraId="1E4D4F2D" w14:textId="77777777" w:rsidR="0051771F" w:rsidRPr="0098629B" w:rsidRDefault="0051771F" w:rsidP="0051771F">
      <w:pPr>
        <w:pStyle w:val="Textedesaisie"/>
      </w:pPr>
    </w:p>
    <w:p w14:paraId="4E9C8D6C" w14:textId="77777777" w:rsidR="0051771F" w:rsidRPr="0098629B" w:rsidRDefault="0051771F" w:rsidP="0051771F">
      <w:pPr>
        <w:pStyle w:val="Textedesaisie"/>
      </w:pPr>
    </w:p>
    <w:p w14:paraId="57AA5D68" w14:textId="77777777" w:rsidR="00811B0F" w:rsidRPr="0098629B" w:rsidRDefault="00811B0F" w:rsidP="0051771F">
      <w:pPr>
        <w:pStyle w:val="Textedesaisie"/>
        <w:sectPr w:rsidR="00811B0F" w:rsidRPr="0098629B" w:rsidSect="001808DF">
          <w:type w:val="continuous"/>
          <w:pgSz w:w="16838" w:h="11906" w:orient="landscape" w:code="9"/>
          <w:pgMar w:top="1049" w:right="1229" w:bottom="907" w:left="1648" w:header="284" w:footer="284" w:gutter="0"/>
          <w:cols w:space="708"/>
          <w:titlePg/>
          <w:docGrid w:linePitch="360"/>
        </w:sectPr>
      </w:pPr>
    </w:p>
    <w:p w14:paraId="52C36355" w14:textId="188C411B" w:rsidR="0051771F" w:rsidRPr="0098629B" w:rsidRDefault="0051771F" w:rsidP="0051771F">
      <w:pPr>
        <w:pStyle w:val="Textedesaisie"/>
      </w:pPr>
    </w:p>
    <w:p w14:paraId="655BE07D" w14:textId="77777777" w:rsidR="0051771F" w:rsidRPr="0098629B" w:rsidRDefault="0051771F" w:rsidP="0051771F">
      <w:pPr>
        <w:pStyle w:val="Textedesaisie"/>
      </w:pPr>
    </w:p>
    <w:p w14:paraId="750D51B6" w14:textId="77777777" w:rsidR="0051771F" w:rsidRPr="0098629B" w:rsidRDefault="0051771F" w:rsidP="0051771F">
      <w:pPr>
        <w:pStyle w:val="Textedesaisie"/>
      </w:pPr>
    </w:p>
    <w:p w14:paraId="6CAC4E7B" w14:textId="77777777" w:rsidR="0051771F" w:rsidRPr="0098629B" w:rsidRDefault="0051771F" w:rsidP="0051771F">
      <w:pPr>
        <w:pStyle w:val="Textedesaisie"/>
      </w:pPr>
    </w:p>
    <w:p w14:paraId="41BC4D19" w14:textId="77777777" w:rsidR="0051771F" w:rsidRPr="0098629B" w:rsidRDefault="0051771F" w:rsidP="0051771F">
      <w:pPr>
        <w:pStyle w:val="Textedesaisie"/>
      </w:pPr>
    </w:p>
    <w:p w14:paraId="402D05AD" w14:textId="77777777" w:rsidR="0051771F" w:rsidRPr="0098629B" w:rsidRDefault="0051771F" w:rsidP="0051771F">
      <w:pPr>
        <w:pStyle w:val="Textedesaisie"/>
      </w:pPr>
    </w:p>
    <w:p w14:paraId="51CE66CF" w14:textId="77777777" w:rsidR="004D72D0" w:rsidRPr="0098629B" w:rsidRDefault="004D72D0" w:rsidP="0051771F">
      <w:pPr>
        <w:pStyle w:val="Textedesaisie"/>
      </w:pPr>
    </w:p>
    <w:p w14:paraId="7D176123" w14:textId="77777777" w:rsidR="004D72D0" w:rsidRPr="0098629B" w:rsidRDefault="004D72D0" w:rsidP="004D72D0">
      <w:pPr>
        <w:jc w:val="center"/>
        <w:rPr>
          <w:rFonts w:cs="Arial"/>
          <w:sz w:val="24"/>
        </w:rPr>
      </w:pPr>
    </w:p>
    <w:p w14:paraId="04F66644" w14:textId="77777777" w:rsidR="004D72D0" w:rsidRPr="0098629B" w:rsidRDefault="004D72D0" w:rsidP="004D72D0">
      <w:pPr>
        <w:jc w:val="center"/>
        <w:rPr>
          <w:rFonts w:cs="Arial"/>
          <w:sz w:val="24"/>
        </w:rPr>
      </w:pPr>
    </w:p>
    <w:p w14:paraId="7BBDFD91" w14:textId="77777777" w:rsidR="004D72D0" w:rsidRPr="0098629B" w:rsidRDefault="004D72D0" w:rsidP="004D72D0">
      <w:pPr>
        <w:jc w:val="center"/>
        <w:rPr>
          <w:rFonts w:cs="Arial"/>
          <w:sz w:val="24"/>
        </w:rPr>
      </w:pPr>
    </w:p>
    <w:p w14:paraId="42B58CBA" w14:textId="77777777" w:rsidR="004D72D0" w:rsidRPr="0098629B" w:rsidRDefault="004D72D0" w:rsidP="004D72D0">
      <w:pPr>
        <w:ind w:right="27"/>
        <w:jc w:val="center"/>
        <w:rPr>
          <w:rFonts w:cs="Arial"/>
          <w:sz w:val="24"/>
        </w:rPr>
      </w:pPr>
    </w:p>
    <w:p w14:paraId="49E48885" w14:textId="77777777" w:rsidR="004D72D0" w:rsidRPr="0098629B" w:rsidRDefault="004D72D0" w:rsidP="004D72D0">
      <w:pPr>
        <w:jc w:val="center"/>
        <w:rPr>
          <w:rFonts w:cs="Arial"/>
          <w:sz w:val="24"/>
        </w:rPr>
      </w:pPr>
    </w:p>
    <w:p w14:paraId="5F56450F" w14:textId="77777777" w:rsidR="004D72D0" w:rsidRPr="0098629B" w:rsidRDefault="004D72D0" w:rsidP="004D72D0">
      <w:pPr>
        <w:jc w:val="center"/>
        <w:rPr>
          <w:rFonts w:cs="Arial"/>
          <w:sz w:val="24"/>
        </w:rPr>
      </w:pPr>
    </w:p>
    <w:p w14:paraId="0BA43C20" w14:textId="77777777" w:rsidR="004D72D0" w:rsidRPr="0098629B" w:rsidRDefault="004D72D0" w:rsidP="004D72D0">
      <w:pPr>
        <w:jc w:val="center"/>
        <w:rPr>
          <w:rFonts w:cs="Arial"/>
          <w:sz w:val="24"/>
        </w:rPr>
      </w:pPr>
    </w:p>
    <w:p w14:paraId="36A34BC7" w14:textId="77777777" w:rsidR="00CA43A0" w:rsidRPr="0098629B" w:rsidRDefault="00CA43A0" w:rsidP="004D72D0">
      <w:pPr>
        <w:jc w:val="center"/>
        <w:rPr>
          <w:rFonts w:cs="Arial"/>
        </w:rPr>
      </w:pPr>
    </w:p>
    <w:p w14:paraId="319ED4F4" w14:textId="77777777" w:rsidR="00CA43A0" w:rsidRPr="0098629B" w:rsidRDefault="00CA43A0" w:rsidP="004D72D0">
      <w:pPr>
        <w:jc w:val="center"/>
        <w:rPr>
          <w:rFonts w:cs="Arial"/>
        </w:rPr>
      </w:pPr>
    </w:p>
    <w:p w14:paraId="355C6F4E" w14:textId="77777777" w:rsidR="00CA43A0" w:rsidRPr="0098629B" w:rsidRDefault="00CA43A0" w:rsidP="004D72D0">
      <w:pPr>
        <w:jc w:val="center"/>
        <w:rPr>
          <w:rFonts w:cs="Arial"/>
        </w:rPr>
      </w:pPr>
    </w:p>
    <w:p w14:paraId="3626D4EF" w14:textId="77777777" w:rsidR="00CA43A0" w:rsidRPr="0098629B" w:rsidRDefault="00CA43A0" w:rsidP="004D72D0">
      <w:pPr>
        <w:jc w:val="center"/>
        <w:rPr>
          <w:rFonts w:cs="Arial"/>
        </w:rPr>
      </w:pPr>
    </w:p>
    <w:p w14:paraId="0AC3A740" w14:textId="77777777" w:rsidR="00CA43A0" w:rsidRPr="0098629B" w:rsidRDefault="00CA43A0" w:rsidP="004D72D0">
      <w:pPr>
        <w:jc w:val="center"/>
        <w:rPr>
          <w:rFonts w:cs="Arial"/>
        </w:rPr>
      </w:pPr>
    </w:p>
    <w:p w14:paraId="0EF3EE3C" w14:textId="77777777" w:rsidR="00CA43A0" w:rsidRPr="0098629B" w:rsidRDefault="00CA43A0" w:rsidP="004D72D0">
      <w:pPr>
        <w:jc w:val="center"/>
        <w:rPr>
          <w:rFonts w:cs="Arial"/>
        </w:rPr>
      </w:pPr>
    </w:p>
    <w:p w14:paraId="3F073F2D" w14:textId="77777777" w:rsidR="00CA43A0" w:rsidRPr="0098629B" w:rsidRDefault="00CA43A0" w:rsidP="004D72D0">
      <w:pPr>
        <w:jc w:val="center"/>
        <w:rPr>
          <w:rFonts w:cs="Arial"/>
        </w:rPr>
      </w:pPr>
    </w:p>
    <w:p w14:paraId="140F70D9" w14:textId="1DF1D77B" w:rsidR="003E4D7F" w:rsidRPr="001F63F5" w:rsidRDefault="006B4DCF" w:rsidP="004D72D0">
      <w:pPr>
        <w:jc w:val="center"/>
        <w:rPr>
          <w:rFonts w:cs="Arial"/>
        </w:rPr>
      </w:pPr>
      <w:r w:rsidRPr="0098629B">
        <w:rPr>
          <w:noProof/>
        </w:rPr>
        <w:drawing>
          <wp:anchor distT="0" distB="0" distL="114300" distR="114300" simplePos="0" relativeHeight="251841024" behindDoc="0" locked="0" layoutInCell="1" allowOverlap="1" wp14:anchorId="52A7F8CC" wp14:editId="08C686CA">
            <wp:simplePos x="0" y="0"/>
            <wp:positionH relativeFrom="page">
              <wp:posOffset>520700</wp:posOffset>
            </wp:positionH>
            <wp:positionV relativeFrom="page">
              <wp:posOffset>8324215</wp:posOffset>
            </wp:positionV>
            <wp:extent cx="1907540" cy="1381760"/>
            <wp:effectExtent l="0" t="0" r="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1"/>
                    <a:stretch>
                      <a:fillRect/>
                    </a:stretch>
                  </pic:blipFill>
                  <pic:spPr bwMode="auto">
                    <a:xfrm>
                      <a:off x="0" y="0"/>
                      <a:ext cx="19075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A04" w:rsidRPr="0098629B">
        <w:rPr>
          <w:noProof/>
        </w:rPr>
        <mc:AlternateContent>
          <mc:Choice Requires="wps">
            <w:drawing>
              <wp:anchor distT="0" distB="0" distL="114300" distR="114300" simplePos="0" relativeHeight="251690496" behindDoc="0" locked="0" layoutInCell="1" allowOverlap="1" wp14:anchorId="5C514D42" wp14:editId="61E449F8">
                <wp:simplePos x="0" y="0"/>
                <wp:positionH relativeFrom="column">
                  <wp:posOffset>-4445</wp:posOffset>
                </wp:positionH>
                <wp:positionV relativeFrom="paragraph">
                  <wp:posOffset>5974715</wp:posOffset>
                </wp:positionV>
                <wp:extent cx="6290945" cy="4445"/>
                <wp:effectExtent l="0" t="0" r="20955" b="20955"/>
                <wp:wrapNone/>
                <wp:docPr id="9" name="Connecteur droit 9"/>
                <wp:cNvGraphicFramePr/>
                <a:graphic xmlns:a="http://schemas.openxmlformats.org/drawingml/2006/main">
                  <a:graphicData uri="http://schemas.microsoft.com/office/word/2010/wordprocessingShape">
                    <wps:wsp>
                      <wps:cNvCnPr/>
                      <wps:spPr>
                        <a:xfrm>
                          <a:off x="0" y="0"/>
                          <a:ext cx="629094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DB067" id="Connecteur droit 9"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5pt,470.45pt" to="495pt,4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" strokecolor="black [3213]"/>
            </w:pict>
          </mc:Fallback>
        </mc:AlternateContent>
      </w:r>
      <w:r w:rsidR="002A2AE3" w:rsidRPr="0098629B">
        <w:rPr>
          <w:noProof/>
        </w:rPr>
        <mc:AlternateContent>
          <mc:Choice Requires="wps">
            <w:drawing>
              <wp:anchor distT="0" distB="0" distL="114300" distR="114300" simplePos="0" relativeHeight="251685376" behindDoc="0" locked="0" layoutInCell="1" allowOverlap="1" wp14:anchorId="48AC7045" wp14:editId="1A5BD153">
                <wp:simplePos x="0" y="0"/>
                <wp:positionH relativeFrom="column">
                  <wp:posOffset>8255</wp:posOffset>
                </wp:positionH>
                <wp:positionV relativeFrom="paragraph">
                  <wp:posOffset>9372600</wp:posOffset>
                </wp:positionV>
                <wp:extent cx="6299200" cy="0"/>
                <wp:effectExtent l="0" t="0" r="25400" b="19050"/>
                <wp:wrapNone/>
                <wp:docPr id="3" name="Connecteur droit 3"/>
                <wp:cNvGraphicFramePr/>
                <a:graphic xmlns:a="http://schemas.openxmlformats.org/drawingml/2006/main">
                  <a:graphicData uri="http://schemas.microsoft.com/office/word/2010/wordprocessingShape">
                    <wps:wsp>
                      <wps:cNvCnPr/>
                      <wps:spPr>
                        <a:xfrm>
                          <a:off x="0" y="0"/>
                          <a:ext cx="629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03DE2" id="Connecteur droit 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65pt,738pt" to="496.6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" strokecolor="black [3213]"/>
            </w:pict>
          </mc:Fallback>
        </mc:AlternateContent>
      </w:r>
    </w:p>
    <w:sectPr w:rsidR="003E4D7F" w:rsidRPr="001F63F5" w:rsidSect="00811B0F">
      <w:pgSz w:w="11906" w:h="16838" w:code="9"/>
      <w:pgMar w:top="1229" w:right="907" w:bottom="1648" w:left="1049"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8A89" w14:textId="77777777" w:rsidR="007114CC" w:rsidRDefault="007114CC" w:rsidP="00F51D4C">
      <w:r>
        <w:separator/>
      </w:r>
    </w:p>
    <w:p w14:paraId="337676B9" w14:textId="77777777" w:rsidR="007114CC" w:rsidRDefault="007114CC"/>
    <w:p w14:paraId="62B55F96" w14:textId="77777777" w:rsidR="007114CC" w:rsidRDefault="007114CC"/>
    <w:p w14:paraId="6320E92A" w14:textId="77777777" w:rsidR="007114CC" w:rsidRDefault="007114CC"/>
  </w:endnote>
  <w:endnote w:type="continuationSeparator" w:id="0">
    <w:p w14:paraId="4078D197" w14:textId="77777777" w:rsidR="007114CC" w:rsidRDefault="007114CC" w:rsidP="00F51D4C">
      <w:r>
        <w:continuationSeparator/>
      </w:r>
    </w:p>
    <w:p w14:paraId="760D6884" w14:textId="77777777" w:rsidR="007114CC" w:rsidRDefault="007114CC"/>
    <w:p w14:paraId="7B6F9360" w14:textId="77777777" w:rsidR="007114CC" w:rsidRDefault="007114CC"/>
    <w:p w14:paraId="0275BACC" w14:textId="77777777" w:rsidR="007114CC" w:rsidRDefault="00711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altName w:val="Times New Roman"/>
    <w:panose1 w:val="00000000000000000000"/>
    <w:charset w:val="00"/>
    <w:family w:val="modern"/>
    <w:notTrueType/>
    <w:pitch w:val="variable"/>
    <w:sig w:usb0="0000000F" w:usb1="00000000" w:usb2="00000000" w:usb3="00000000" w:csb0="00000003" w:csb1="00000000"/>
  </w:font>
  <w:font w:name="StarSymbol">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rianne Light">
    <w:altName w:val="Times New Roman"/>
    <w:panose1 w:val="00000000000000000000"/>
    <w:charset w:val="00"/>
    <w:family w:val="modern"/>
    <w:notTrueType/>
    <w:pitch w:val="variable"/>
    <w:sig w:usb0="0000000F"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rianne Medium">
    <w:altName w:val="Times New Roman"/>
    <w:panose1 w:val="00000000000000000000"/>
    <w:charset w:val="00"/>
    <w:family w:val="modern"/>
    <w:notTrueType/>
    <w:pitch w:val="variable"/>
    <w:sig w:usb0="0000000F"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Liberation Sans;Arial">
    <w:panose1 w:val="00000000000000000000"/>
    <w:charset w:val="00"/>
    <w:family w:val="roman"/>
    <w:notTrueType/>
    <w:pitch w:val="default"/>
  </w:font>
  <w:font w:name="Marianne ExtraBold">
    <w:altName w:val="Times New Roman"/>
    <w:panose1 w:val="00000000000000000000"/>
    <w:charset w:val="00"/>
    <w:family w:val="modern"/>
    <w:notTrueType/>
    <w:pitch w:val="variable"/>
    <w:sig w:usb0="0000000F" w:usb1="00000000" w:usb2="00000000" w:usb3="00000000" w:csb0="00000003" w:csb1="00000000"/>
  </w:font>
  <w:font w:name="CIDFont+F1">
    <w:altName w:val="Calibri"/>
    <w:panose1 w:val="00000000000000000000"/>
    <w:charset w:val="00"/>
    <w:family w:val="auto"/>
    <w:notTrueType/>
    <w:pitch w:val="default"/>
    <w:sig w:usb0="00000003" w:usb1="00000000" w:usb2="0000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428B1" w14:textId="6D2827B0" w:rsidR="007114CC" w:rsidRDefault="007114CC" w:rsidP="003E4D7F">
    <w:pPr>
      <w:pStyle w:val="Footer"/>
      <w:jc w:val="right"/>
    </w:pPr>
    <w:r>
      <w:rPr>
        <w:noProof/>
        <w:lang w:eastAsia="fr-FR"/>
      </w:rPr>
      <mc:AlternateContent>
        <mc:Choice Requires="wps">
          <w:drawing>
            <wp:anchor distT="45720" distB="45720" distL="114300" distR="114300" simplePos="0" relativeHeight="251663360" behindDoc="0" locked="0" layoutInCell="1" allowOverlap="1" wp14:anchorId="008060D3" wp14:editId="252D489C">
              <wp:simplePos x="0" y="0"/>
              <wp:positionH relativeFrom="margin">
                <wp:align>left</wp:align>
              </wp:positionH>
              <wp:positionV relativeFrom="paragraph">
                <wp:posOffset>13335</wp:posOffset>
              </wp:positionV>
              <wp:extent cx="4248150" cy="18097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80975"/>
                      </a:xfrm>
                      <a:prstGeom prst="rect">
                        <a:avLst/>
                      </a:prstGeom>
                      <a:solidFill>
                        <a:srgbClr val="FFFFFF"/>
                      </a:solidFill>
                      <a:ln w="9525">
                        <a:noFill/>
                        <a:miter lim="800000"/>
                        <a:headEnd/>
                        <a:tailEnd/>
                      </a:ln>
                    </wps:spPr>
                    <wps:txbx>
                      <w:txbxContent>
                        <w:p w14:paraId="22569C69" w14:textId="51C31B2D" w:rsidR="007114CC" w:rsidRPr="009C6A8D" w:rsidRDefault="007114CC">
                          <w:pPr>
                            <w:rPr>
                              <w:rFonts w:cs="Arial"/>
                              <w:sz w:val="16"/>
                              <w:szCs w:val="16"/>
                            </w:rPr>
                          </w:pPr>
                          <w:r>
                            <w:rPr>
                              <w:rFonts w:cs="Arial"/>
                              <w:b/>
                              <w:sz w:val="16"/>
                              <w:szCs w:val="16"/>
                            </w:rPr>
                            <w:t xml:space="preserve">Huitième Communication nationale de la France à la CCNUCC </w:t>
                          </w:r>
                          <w:r w:rsidRPr="00E51095">
                            <w:rPr>
                              <w:rFonts w:ascii="Calibri" w:hAnsi="Calibri" w:cs="Calibri"/>
                              <w:b/>
                              <w:sz w:val="16"/>
                              <w:szCs w:val="16"/>
                            </w:rPr>
                            <w:t>ǀ</w:t>
                          </w:r>
                          <w:r w:rsidRPr="00E51095">
                            <w:rPr>
                              <w:rFonts w:cs="Arial"/>
                              <w:sz w:val="16"/>
                              <w:szCs w:val="16"/>
                            </w:rPr>
                            <w:t xml:space="preserve"> </w:t>
                          </w:r>
                          <w:r>
                            <w:rPr>
                              <w:rFonts w:cs="Arial"/>
                              <w:sz w:val="16"/>
                              <w:szCs w:val="16"/>
                            </w:rPr>
                            <w:t>Décembre 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060D3" id="_x0000_t202" coordsize="21600,21600" o:spt="202" path="m,l,21600r21600,l21600,xe">
              <v:stroke joinstyle="miter"/>
              <v:path gradientshapeok="t" o:connecttype="rect"/>
            </v:shapetype>
            <v:shape id="_x0000_s1027" type="#_x0000_t202" style="position:absolute;left:0;text-align:left;margin-left:0;margin-top:1.05pt;width:334.5pt;height:14.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" stroked="f">
              <v:textbox inset="0,0,0,0">
                <w:txbxContent>
                  <w:p w14:paraId="22569C69" w14:textId="51C31B2D" w:rsidR="007114CC" w:rsidRPr="009C6A8D" w:rsidRDefault="007114CC">
                    <w:pPr>
                      <w:rPr>
                        <w:rFonts w:cs="Arial"/>
                        <w:sz w:val="16"/>
                        <w:szCs w:val="16"/>
                      </w:rPr>
                    </w:pPr>
                    <w:r>
                      <w:rPr>
                        <w:rFonts w:cs="Arial"/>
                        <w:b/>
                        <w:sz w:val="16"/>
                        <w:szCs w:val="16"/>
                      </w:rPr>
                      <w:t xml:space="preserve">Huitième Communication nationale de la France à la CCNUCC </w:t>
                    </w:r>
                    <w:r w:rsidRPr="00E51095">
                      <w:rPr>
                        <w:rFonts w:ascii="Calibri" w:hAnsi="Calibri" w:cs="Calibri"/>
                        <w:b/>
                        <w:sz w:val="16"/>
                        <w:szCs w:val="16"/>
                      </w:rPr>
                      <w:t>ǀ</w:t>
                    </w:r>
                    <w:r w:rsidRPr="00E51095">
                      <w:rPr>
                        <w:rFonts w:cs="Arial"/>
                        <w:sz w:val="16"/>
                        <w:szCs w:val="16"/>
                      </w:rPr>
                      <w:t xml:space="preserve"> </w:t>
                    </w:r>
                    <w:r>
                      <w:rPr>
                        <w:rFonts w:cs="Arial"/>
                        <w:sz w:val="16"/>
                        <w:szCs w:val="16"/>
                      </w:rPr>
                      <w:t>Décembre 2022</w:t>
                    </w:r>
                  </w:p>
                </w:txbxContent>
              </v:textbox>
              <w10:wrap anchorx="margin"/>
            </v:shape>
          </w:pict>
        </mc:Fallback>
      </mc:AlternateContent>
    </w:r>
    <w:sdt>
      <w:sdtPr>
        <w:id w:val="-1550528615"/>
        <w:docPartObj>
          <w:docPartGallery w:val="Page Numbers (Bottom of Page)"/>
          <w:docPartUnique/>
        </w:docPartObj>
      </w:sdtPr>
      <w:sdtEndPr/>
      <w:sdtContent>
        <w:r>
          <w:fldChar w:fldCharType="begin"/>
        </w:r>
        <w:r>
          <w:instrText>PAGE   \* MERGEFORMAT</w:instrText>
        </w:r>
        <w:r>
          <w:fldChar w:fldCharType="separate"/>
        </w:r>
        <w:r>
          <w:rPr>
            <w:noProof/>
          </w:rPr>
          <w:t>14</w:t>
        </w:r>
        <w:r>
          <w:fldChar w:fldCharType="end"/>
        </w:r>
      </w:sdtContent>
    </w:sdt>
  </w:p>
  <w:p w14:paraId="7419CAEA" w14:textId="77777777" w:rsidR="007114CC" w:rsidRDefault="00711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DF49" w14:textId="10F1C96A" w:rsidR="007114CC" w:rsidRDefault="007114CC">
    <w:pPr>
      <w:pStyle w:val="Footer"/>
      <w:jc w:val="right"/>
    </w:pPr>
    <w:r>
      <w:fldChar w:fldCharType="begin"/>
    </w:r>
    <w:r>
      <w:instrText>PAGE</w:instrText>
    </w:r>
    <w:r>
      <w:fldChar w:fldCharType="separate"/>
    </w:r>
    <w:r w:rsidR="00573042">
      <w:rPr>
        <w:noProof/>
      </w:rPr>
      <w:t>65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57E1B" w14:textId="77777777" w:rsidR="007114CC" w:rsidRDefault="007114CC" w:rsidP="00F51D4C">
      <w:r>
        <w:separator/>
      </w:r>
    </w:p>
    <w:p w14:paraId="1EC3B564" w14:textId="77777777" w:rsidR="007114CC" w:rsidRDefault="007114CC"/>
    <w:p w14:paraId="5512802A" w14:textId="77777777" w:rsidR="007114CC" w:rsidRDefault="007114CC"/>
    <w:p w14:paraId="41CBA5FF" w14:textId="77777777" w:rsidR="007114CC" w:rsidRDefault="007114CC"/>
  </w:footnote>
  <w:footnote w:type="continuationSeparator" w:id="0">
    <w:p w14:paraId="2D909931" w14:textId="77777777" w:rsidR="007114CC" w:rsidRDefault="007114CC" w:rsidP="00F51D4C">
      <w:r>
        <w:continuationSeparator/>
      </w:r>
    </w:p>
    <w:p w14:paraId="1F51BF86" w14:textId="77777777" w:rsidR="007114CC" w:rsidRDefault="007114CC"/>
    <w:p w14:paraId="1E2D3F8A" w14:textId="77777777" w:rsidR="007114CC" w:rsidRDefault="007114CC"/>
    <w:p w14:paraId="48EB4C07" w14:textId="77777777" w:rsidR="007114CC" w:rsidRDefault="007114CC"/>
  </w:footnote>
  <w:footnote w:id="1">
    <w:p w14:paraId="3A0CEF20" w14:textId="77777777" w:rsidR="007114CC" w:rsidRDefault="007114CC" w:rsidP="000863E6">
      <w:pPr>
        <w:autoSpaceDE w:val="0"/>
        <w:autoSpaceDN w:val="0"/>
        <w:adjustRightInd w:val="0"/>
      </w:pPr>
      <w:r>
        <w:rPr>
          <w:rStyle w:val="FootnoteReference"/>
        </w:rPr>
        <w:footnoteRef/>
      </w:r>
      <w:r>
        <w:t xml:space="preserve"> </w:t>
      </w:r>
      <w:hyperlink r:id="rId1" w:history="1">
        <w:r w:rsidRPr="00730361">
          <w:rPr>
            <w:rStyle w:val="Hyperlink"/>
            <w:rFonts w:asciiTheme="majorHAnsi" w:eastAsiaTheme="minorHAnsi" w:hAnsiTheme="majorHAnsi" w:cs="CIDFont+F1"/>
            <w:sz w:val="16"/>
            <w:szCs w:val="16"/>
            <w:u w:val="none"/>
            <w:lang w:eastAsia="en-US"/>
          </w:rPr>
          <w:t>https://www.legifrance.gouv.fr/affichCodeArticle.do?cidTexte=LEGITEXT000006074220&amp;idArticle=LEGIARTI000022476854&amp;</w:t>
        </w:r>
      </w:hyperlink>
      <w:r w:rsidRPr="00730361">
        <w:rPr>
          <w:rFonts w:asciiTheme="majorHAnsi" w:eastAsiaTheme="minorHAnsi" w:hAnsiTheme="majorHAnsi" w:cs="CIDFont+F1"/>
          <w:sz w:val="16"/>
          <w:szCs w:val="16"/>
          <w:lang w:eastAsia="en-US"/>
        </w:rPr>
        <w:t xml:space="preserve"> dateTexte=&amp;categorieLien=cid</w:t>
      </w:r>
    </w:p>
  </w:footnote>
  <w:footnote w:id="2">
    <w:p w14:paraId="50104343" w14:textId="77777777" w:rsidR="007114CC" w:rsidRPr="00052DCE" w:rsidRDefault="007114CC" w:rsidP="000863E6">
      <w:pPr>
        <w:pStyle w:val="FootnoteText"/>
        <w:rPr>
          <w:sz w:val="16"/>
          <w:szCs w:val="16"/>
        </w:rPr>
      </w:pPr>
      <w:r w:rsidRPr="00052DCE">
        <w:rPr>
          <w:rStyle w:val="FootnoteReference"/>
          <w:sz w:val="16"/>
          <w:szCs w:val="16"/>
        </w:rPr>
        <w:footnoteRef/>
      </w:r>
      <w:r w:rsidRPr="00052DCE">
        <w:rPr>
          <w:sz w:val="16"/>
          <w:szCs w:val="16"/>
        </w:rPr>
        <w:t xml:space="preserve"> https://www.ecologie.gouv.fr/suivi-strategie-nationale-bas-carbone</w:t>
      </w:r>
    </w:p>
  </w:footnote>
  <w:footnote w:id="3">
    <w:p w14:paraId="1AF14F43" w14:textId="77777777" w:rsidR="007114CC" w:rsidRDefault="007114CC" w:rsidP="000863E6">
      <w:pPr>
        <w:pStyle w:val="FootnoteText"/>
      </w:pPr>
      <w:r w:rsidRPr="00052DCE">
        <w:rPr>
          <w:rStyle w:val="FootnoteReference"/>
          <w:sz w:val="16"/>
          <w:szCs w:val="16"/>
        </w:rPr>
        <w:footnoteRef/>
      </w:r>
      <w:r w:rsidRPr="00052DCE">
        <w:rPr>
          <w:sz w:val="16"/>
          <w:szCs w:val="16"/>
        </w:rPr>
        <w:t xml:space="preserve"> </w:t>
      </w:r>
      <w:hyperlink r:id="rId2" w:history="1">
        <w:r w:rsidRPr="004973C1">
          <w:rPr>
            <w:rStyle w:val="Hyperlink"/>
            <w:sz w:val="16"/>
            <w:szCs w:val="16"/>
          </w:rPr>
          <w:t>https://www.ecologie.gouv.fr/rapportages-climat-france</w:t>
        </w:r>
      </w:hyperlink>
    </w:p>
  </w:footnote>
  <w:footnote w:id="4">
    <w:p w14:paraId="6A04D5CB" w14:textId="77777777" w:rsidR="007114CC" w:rsidRPr="00A17C42" w:rsidRDefault="007114CC" w:rsidP="0018240E">
      <w:pPr>
        <w:pStyle w:val="FootnoteText"/>
        <w:rPr>
          <w:sz w:val="16"/>
          <w:szCs w:val="16"/>
        </w:rPr>
      </w:pPr>
      <w:r w:rsidRPr="00052DCE">
        <w:rPr>
          <w:rStyle w:val="FootnoteReference"/>
          <w:sz w:val="16"/>
          <w:szCs w:val="16"/>
        </w:rPr>
        <w:footnoteRef/>
      </w:r>
      <w:r w:rsidRPr="00052DCE">
        <w:rPr>
          <w:sz w:val="16"/>
          <w:szCs w:val="16"/>
        </w:rPr>
        <w:t xml:space="preserve"> </w:t>
      </w:r>
      <w:r w:rsidRPr="00A17C42">
        <w:rPr>
          <w:sz w:val="16"/>
          <w:szCs w:val="16"/>
        </w:rPr>
        <w:t>Citepa, juin 2022. Inventaire des émissions de polluants atmosphériques et de gaz à effet de serre en France –</w:t>
      </w:r>
    </w:p>
    <w:p w14:paraId="568AB9C4" w14:textId="77777777" w:rsidR="007114CC" w:rsidRPr="00052DCE" w:rsidRDefault="007114CC" w:rsidP="0018240E">
      <w:pPr>
        <w:pStyle w:val="FootnoteText"/>
        <w:rPr>
          <w:sz w:val="16"/>
          <w:szCs w:val="16"/>
        </w:rPr>
      </w:pPr>
      <w:r w:rsidRPr="00A17C42">
        <w:rPr>
          <w:sz w:val="16"/>
          <w:szCs w:val="16"/>
        </w:rPr>
        <w:t>Format Secten.</w:t>
      </w:r>
    </w:p>
  </w:footnote>
  <w:footnote w:id="5">
    <w:p w14:paraId="5565CBB6" w14:textId="77777777" w:rsidR="007114CC" w:rsidRPr="00A17C42" w:rsidRDefault="007114CC" w:rsidP="00C060AE">
      <w:pPr>
        <w:pStyle w:val="FootnoteText"/>
        <w:rPr>
          <w:sz w:val="16"/>
          <w:szCs w:val="16"/>
        </w:rPr>
      </w:pPr>
      <w:r>
        <w:rPr>
          <w:rStyle w:val="FootnoteReference"/>
        </w:rPr>
        <w:footnoteRef/>
      </w:r>
      <w:r>
        <w:t xml:space="preserve"> </w:t>
      </w:r>
      <w:r w:rsidRPr="00A17C42">
        <w:rPr>
          <w:sz w:val="16"/>
          <w:szCs w:val="16"/>
        </w:rPr>
        <w:t>Citepa, juin 2022. Inventaire des émissions de polluants atmosphériques et de gaz à effet de serre en France –</w:t>
      </w:r>
    </w:p>
    <w:p w14:paraId="3D44E733" w14:textId="77777777" w:rsidR="007114CC" w:rsidRDefault="007114CC" w:rsidP="00C060AE">
      <w:pPr>
        <w:pStyle w:val="FootnoteText"/>
      </w:pPr>
      <w:r w:rsidRPr="00A17C42">
        <w:rPr>
          <w:sz w:val="16"/>
          <w:szCs w:val="16"/>
        </w:rPr>
        <w:t>Format Secten.</w:t>
      </w:r>
    </w:p>
  </w:footnote>
  <w:footnote w:id="6">
    <w:p w14:paraId="17666074" w14:textId="77777777" w:rsidR="007114CC" w:rsidRDefault="007114CC" w:rsidP="00C060AE">
      <w:pPr>
        <w:pStyle w:val="CommentText"/>
      </w:pPr>
      <w:r>
        <w:rPr>
          <w:rStyle w:val="FootnoteReference"/>
        </w:rPr>
        <w:footnoteRef/>
      </w:r>
      <w:r>
        <w:t xml:space="preserve"> </w:t>
      </w:r>
      <w:hyperlink r:id="rId3" w:history="1">
        <w:r w:rsidRPr="0098743A">
          <w:rPr>
            <w:rStyle w:val="Hyperlink"/>
            <w:sz w:val="16"/>
            <w:szCs w:val="16"/>
          </w:rPr>
          <w:t>https://eur-lex.europa.eu/legal-content/FR/TXT/PDF/?uri=CELEX:32019R0807&amp;from=EN</w:t>
        </w:r>
      </w:hyperlink>
    </w:p>
    <w:p w14:paraId="4D8EFC36" w14:textId="77777777" w:rsidR="007114CC" w:rsidRDefault="007114CC" w:rsidP="00C060AE">
      <w:pPr>
        <w:pStyle w:val="FootnoteText"/>
      </w:pPr>
    </w:p>
  </w:footnote>
  <w:footnote w:id="7">
    <w:p w14:paraId="7EBD46E8" w14:textId="77777777" w:rsidR="007114CC" w:rsidRDefault="007114CC" w:rsidP="00896B85">
      <w:pPr>
        <w:pStyle w:val="FootnoteText"/>
      </w:pPr>
      <w:r>
        <w:rPr>
          <w:rStyle w:val="FootnoteReference"/>
        </w:rPr>
        <w:footnoteRef/>
      </w:r>
      <w:r>
        <w:t xml:space="preserve"> </w:t>
      </w:r>
      <w:r w:rsidRPr="00052DCE">
        <w:rPr>
          <w:sz w:val="16"/>
          <w:szCs w:val="16"/>
        </w:rPr>
        <w:t>https://www.ecologie.gouv.fr/artificialisation-des-sols#scroll-nav__3</w:t>
      </w:r>
    </w:p>
  </w:footnote>
  <w:footnote w:id="8">
    <w:p w14:paraId="3E5626DF" w14:textId="77777777" w:rsidR="007114CC" w:rsidRDefault="007114CC" w:rsidP="00896B85">
      <w:pPr>
        <w:pStyle w:val="FootnoteText"/>
      </w:pPr>
      <w:r>
        <w:rPr>
          <w:rStyle w:val="FootnoteReference"/>
        </w:rPr>
        <w:footnoteRef/>
      </w:r>
      <w:r>
        <w:t xml:space="preserve"> </w:t>
      </w:r>
      <w:r w:rsidRPr="00880175">
        <w:t>https://agriculture.gouv.fr/filiere-graines-et-plants-forestiers-plus-de-50-millions-deuros-pour-batir-lavenir-de-la-foret</w:t>
      </w:r>
    </w:p>
  </w:footnote>
  <w:footnote w:id="9">
    <w:p w14:paraId="0A1E04C5" w14:textId="77777777" w:rsidR="007114CC" w:rsidRPr="009E30DE" w:rsidRDefault="007114CC" w:rsidP="00896B85">
      <w:pPr>
        <w:pStyle w:val="FootnoteText"/>
        <w:rPr>
          <w:sz w:val="16"/>
          <w:szCs w:val="16"/>
        </w:rPr>
      </w:pPr>
      <w:r w:rsidRPr="009E30DE">
        <w:rPr>
          <w:rStyle w:val="FootnoteReference"/>
          <w:sz w:val="16"/>
          <w:szCs w:val="16"/>
        </w:rPr>
        <w:footnoteRef/>
      </w:r>
      <w:r w:rsidRPr="009E30DE">
        <w:rPr>
          <w:sz w:val="16"/>
          <w:szCs w:val="16"/>
        </w:rPr>
        <w:t xml:space="preserve"> http://bois.bpifrance.fr/</w:t>
      </w:r>
    </w:p>
  </w:footnote>
  <w:footnote w:id="10">
    <w:p w14:paraId="3CA99F2E" w14:textId="77777777" w:rsidR="007114CC" w:rsidRPr="00052DCE" w:rsidRDefault="007114CC" w:rsidP="00896B85">
      <w:pPr>
        <w:pStyle w:val="FootnoteText"/>
        <w:rPr>
          <w:sz w:val="16"/>
          <w:szCs w:val="16"/>
        </w:rPr>
      </w:pPr>
      <w:r w:rsidRPr="00052DCE">
        <w:rPr>
          <w:rStyle w:val="FootnoteReference"/>
          <w:sz w:val="16"/>
          <w:szCs w:val="16"/>
        </w:rPr>
        <w:footnoteRef/>
      </w:r>
      <w:r w:rsidRPr="00052DCE">
        <w:rPr>
          <w:sz w:val="16"/>
          <w:szCs w:val="16"/>
        </w:rPr>
        <w:t xml:space="preserve"> https://fondschaleur.ademe.fr/</w:t>
      </w:r>
    </w:p>
  </w:footnote>
  <w:footnote w:id="11">
    <w:p w14:paraId="08964F87" w14:textId="77777777" w:rsidR="007114CC" w:rsidRPr="00A17C42" w:rsidRDefault="007114CC" w:rsidP="00A229A3">
      <w:pPr>
        <w:autoSpaceDE w:val="0"/>
        <w:autoSpaceDN w:val="0"/>
        <w:adjustRightInd w:val="0"/>
        <w:rPr>
          <w:rFonts w:asciiTheme="majorHAnsi" w:eastAsiaTheme="minorHAnsi" w:hAnsiTheme="majorHAnsi" w:cs="TrebuchetMS"/>
          <w:sz w:val="16"/>
          <w:szCs w:val="16"/>
          <w:lang w:eastAsia="en-US"/>
        </w:rPr>
      </w:pPr>
      <w:r w:rsidRPr="00A17C42">
        <w:rPr>
          <w:rStyle w:val="FootnoteReference"/>
          <w:rFonts w:asciiTheme="majorHAnsi" w:hAnsiTheme="majorHAnsi"/>
          <w:sz w:val="16"/>
          <w:szCs w:val="16"/>
        </w:rPr>
        <w:footnoteRef/>
      </w:r>
      <w:r w:rsidRPr="00A17C42">
        <w:rPr>
          <w:rFonts w:asciiTheme="majorHAnsi" w:hAnsiTheme="majorHAnsi"/>
          <w:sz w:val="16"/>
          <w:szCs w:val="16"/>
        </w:rPr>
        <w:t xml:space="preserve"> </w:t>
      </w:r>
      <w:r w:rsidRPr="00A17C42">
        <w:rPr>
          <w:rFonts w:asciiTheme="majorHAnsi" w:eastAsiaTheme="minorHAnsi" w:hAnsiTheme="majorHAnsi" w:cs="TrebuchetMS"/>
          <w:sz w:val="16"/>
          <w:szCs w:val="16"/>
          <w:lang w:eastAsia="en-US"/>
        </w:rPr>
        <w:t>Citepa, juin 2022. Inventaire des émissions de polluants atmosphériques et de gaz à effet de serre en France –</w:t>
      </w:r>
    </w:p>
    <w:p w14:paraId="0975B42E" w14:textId="77777777" w:rsidR="007114CC" w:rsidRDefault="007114CC" w:rsidP="00A229A3">
      <w:pPr>
        <w:pStyle w:val="FootnoteText"/>
      </w:pPr>
      <w:r w:rsidRPr="00A17C42">
        <w:rPr>
          <w:rFonts w:asciiTheme="majorHAnsi" w:eastAsiaTheme="minorHAnsi" w:hAnsiTheme="majorHAnsi" w:cs="TrebuchetMS"/>
          <w:sz w:val="16"/>
          <w:szCs w:val="16"/>
          <w:lang w:eastAsia="en-US"/>
        </w:rPr>
        <w:t>Format Secten.</w:t>
      </w:r>
    </w:p>
  </w:footnote>
  <w:footnote w:id="12">
    <w:p w14:paraId="038DFCCA" w14:textId="77777777" w:rsidR="007114CC" w:rsidRDefault="007114CC" w:rsidP="00A229A3">
      <w:pPr>
        <w:pStyle w:val="FootnoteText"/>
      </w:pPr>
      <w:r>
        <w:rPr>
          <w:rStyle w:val="FootnoteReference"/>
        </w:rPr>
        <w:footnoteRef/>
      </w:r>
      <w:r>
        <w:t xml:space="preserve"> </w:t>
      </w:r>
      <w:r w:rsidRPr="00E76F76">
        <w:t>https://www.ecologie.gouv.fr/sites/default/files/Projet%20de%20FAQ.pdf</w:t>
      </w:r>
    </w:p>
  </w:footnote>
  <w:footnote w:id="13">
    <w:p w14:paraId="79278E12" w14:textId="77777777" w:rsidR="007114CC" w:rsidRDefault="007114CC" w:rsidP="00A229A3">
      <w:pPr>
        <w:pStyle w:val="FootnoteText"/>
      </w:pPr>
      <w:r>
        <w:rPr>
          <w:rStyle w:val="FootnoteReference"/>
        </w:rPr>
        <w:footnoteRef/>
      </w:r>
      <w:r>
        <w:t xml:space="preserve"> les emballages professionnels (2025), y compris pour les emballages utilisés par les professionnels de la restauration (2023), Les produits ou matériaux de construction du secteur du bâtiment (2022),</w:t>
      </w:r>
      <w:r>
        <w:rPr>
          <w:rFonts w:ascii="Calibri" w:hAnsi="Calibri" w:cs="Calibri"/>
        </w:rPr>
        <w:t> </w:t>
      </w:r>
      <w:r>
        <w:t>les jouets (2022), les articles de sport et de loisirs (2022), les articles de bricolage et de jardin (2022), les huiles minérales ou synthétiques (2022), les produits du tabac (2021), les gommes à mâcher (2024), les textiles sanitaires à usage unique (2024), les engins de pêche contenant du plastique (2025) les aides techniques médicales (possibilité)</w:t>
      </w:r>
    </w:p>
  </w:footnote>
  <w:footnote w:id="14">
    <w:p w14:paraId="478D3405" w14:textId="6FC924E6" w:rsidR="007114CC" w:rsidRDefault="007114CC">
      <w:pPr>
        <w:pStyle w:val="FootnoteText"/>
      </w:pPr>
      <w:r>
        <w:rPr>
          <w:rStyle w:val="FootnoteReference"/>
        </w:rPr>
        <w:footnoteRef/>
      </w:r>
      <w:r>
        <w:t xml:space="preserve"> </w:t>
      </w:r>
      <w:hyperlink r:id="rId4" w:history="1">
        <w:r w:rsidRPr="007015AA">
          <w:rPr>
            <w:rStyle w:val="Hyperlink"/>
          </w:rPr>
          <w:t>https://unfccc.int/sites/default/files/resource/BR_FRA_resubmission.pdf</w:t>
        </w:r>
      </w:hyperlink>
    </w:p>
  </w:footnote>
  <w:footnote w:id="15">
    <w:p w14:paraId="18747A4A" w14:textId="7667E5A8" w:rsidR="007114CC" w:rsidRDefault="007114CC">
      <w:pPr>
        <w:pStyle w:val="FootnoteText"/>
      </w:pPr>
      <w:r>
        <w:rPr>
          <w:rStyle w:val="FootnoteReference"/>
        </w:rPr>
        <w:footnoteRef/>
      </w:r>
      <w:r>
        <w:t xml:space="preserve"> </w:t>
      </w:r>
      <w:hyperlink r:id="rId5" w:history="1">
        <w:r w:rsidRPr="007015AA">
          <w:rPr>
            <w:rStyle w:val="Hyperlink"/>
          </w:rPr>
          <w:t>https://unfccc.int/sites/default/files/resource/BR_FRA_resubmission.pdf</w:t>
        </w:r>
      </w:hyperlink>
    </w:p>
  </w:footnote>
  <w:footnote w:id="16">
    <w:p w14:paraId="4329CED3" w14:textId="77777777" w:rsidR="007114CC" w:rsidRDefault="007114CC" w:rsidP="00F24A36">
      <w:pPr>
        <w:pStyle w:val="FootnoteText"/>
      </w:pPr>
      <w:r>
        <w:rPr>
          <w:rStyle w:val="FootnoteReference"/>
        </w:rPr>
        <w:footnoteRef/>
      </w:r>
      <w:r>
        <w:t xml:space="preserve"> </w:t>
      </w:r>
      <w:hyperlink r:id="rId6" w:history="1">
        <w:r w:rsidRPr="00837EEF">
          <w:rPr>
            <w:rStyle w:val="Hyperlink"/>
          </w:rPr>
          <w:t>https://www.ecologie.gouv.fr/sites/default/files/Synth%C3%A8se_du_sc%C3%A9nario_AME2021_postQAQC%5B1%5D.pdf</w:t>
        </w:r>
      </w:hyperlink>
    </w:p>
  </w:footnote>
  <w:footnote w:id="17">
    <w:p w14:paraId="35F053F6" w14:textId="77777777" w:rsidR="007114CC" w:rsidRPr="00C14DCA" w:rsidRDefault="007114CC" w:rsidP="00F24A36">
      <w:pPr>
        <w:pStyle w:val="Footnote"/>
        <w:rPr>
          <w:rFonts w:asciiTheme="majorHAnsi" w:hAnsiTheme="majorHAnsi"/>
        </w:rPr>
      </w:pPr>
      <w:r w:rsidRPr="00C14DCA">
        <w:rPr>
          <w:rStyle w:val="FootnoteReference"/>
          <w:rFonts w:asciiTheme="majorHAnsi" w:hAnsiTheme="majorHAnsi"/>
        </w:rPr>
        <w:footnoteRef/>
      </w:r>
      <w:hyperlink r:id="rId7" w:anchor="e2" w:history="1">
        <w:r w:rsidRPr="00C14DCA">
          <w:rPr>
            <w:rStyle w:val="Hyperlink"/>
            <w:rFonts w:asciiTheme="majorHAnsi" w:hAnsiTheme="majorHAnsi"/>
          </w:rPr>
          <w:t>https://www.ecologique-solidaire.gouv.fr/scenarios-prospectifs-energie-climat-air#e2</w:t>
        </w:r>
      </w:hyperlink>
    </w:p>
  </w:footnote>
  <w:footnote w:id="18">
    <w:p w14:paraId="24A04148" w14:textId="77777777" w:rsidR="00954B08" w:rsidRPr="00D80FE2" w:rsidRDefault="00954B08" w:rsidP="00954B08">
      <w:pPr>
        <w:pStyle w:val="FootnoteText"/>
      </w:pPr>
      <w:r>
        <w:rPr>
          <w:rStyle w:val="FootnoteReference"/>
        </w:rPr>
        <w:footnoteRef/>
      </w:r>
      <w:r>
        <w:t xml:space="preserve"> Detailed information about the models can be found on </w:t>
      </w:r>
      <w:hyperlink r:id="rId8" w:history="1">
        <w:r w:rsidRPr="00903AFD">
          <w:rPr>
            <w:rStyle w:val="Hyperlink"/>
          </w:rPr>
          <w:t>https://reportnet.europa.eu/public/country/FR</w:t>
        </w:r>
      </w:hyperlink>
      <w:r>
        <w:t>, GovReg: National projections of anthropogenic greenhouse gas emissions [2023], Table4.zip</w:t>
      </w:r>
    </w:p>
  </w:footnote>
  <w:footnote w:id="19">
    <w:p w14:paraId="6B45D22D" w14:textId="77777777" w:rsidR="00954B08" w:rsidRPr="00913449" w:rsidRDefault="00954B08" w:rsidP="00954B08">
      <w:pPr>
        <w:pStyle w:val="FootnoteText"/>
      </w:pPr>
      <w:r>
        <w:rPr>
          <w:rStyle w:val="FootnoteReference"/>
        </w:rPr>
        <w:footnoteRef/>
      </w:r>
      <w:r>
        <w:t xml:space="preserve"> </w:t>
      </w:r>
      <w:r w:rsidRPr="00913449">
        <w:t>https://www.ecologie.gouv.fr/sites/default/files/Synth%C3%A8se_du_sc%C3%A9nario_AME2021_postQAQC%5B1%5D.pdf</w:t>
      </w:r>
    </w:p>
  </w:footnote>
  <w:footnote w:id="20">
    <w:p w14:paraId="7EF4D5ED" w14:textId="77777777" w:rsidR="007114CC" w:rsidRDefault="007114CC" w:rsidP="00635A2E">
      <w:pPr>
        <w:pStyle w:val="FootnoteText"/>
      </w:pPr>
      <w:r>
        <w:rPr>
          <w:rStyle w:val="FootnoteReference"/>
        </w:rPr>
        <w:footnoteRef/>
      </w:r>
      <w:r>
        <w:t xml:space="preserve"> </w:t>
      </w:r>
      <w:r w:rsidRPr="009A5D51">
        <w:t>Source</w:t>
      </w:r>
      <w:r w:rsidRPr="009A5D51">
        <w:rPr>
          <w:rFonts w:ascii="Calibri" w:hAnsi="Calibri" w:cs="Calibri"/>
        </w:rPr>
        <w:t> </w:t>
      </w:r>
      <w:r w:rsidRPr="009A5D51">
        <w:t xml:space="preserve">: </w:t>
      </w:r>
      <w:r w:rsidRPr="009A5D51">
        <w:rPr>
          <w:bCs/>
        </w:rPr>
        <w:t>Bilan d'activité climat du groupe AFD en 2021</w:t>
      </w:r>
    </w:p>
  </w:footnote>
  <w:footnote w:id="21">
    <w:p w14:paraId="1F24F6E8" w14:textId="77777777" w:rsidR="007114CC" w:rsidRDefault="007114CC" w:rsidP="00631ED2">
      <w:pPr>
        <w:pStyle w:val="FootnoteText"/>
      </w:pPr>
      <w:r>
        <w:rPr>
          <w:rStyle w:val="FootnoteReference"/>
        </w:rPr>
        <w:footnoteRef/>
      </w:r>
      <w:r>
        <w:t xml:space="preserve"> </w:t>
      </w:r>
      <w:r>
        <w:rPr>
          <w:sz w:val="18"/>
          <w:szCs w:val="18"/>
        </w:rPr>
        <w:t>https://www.afd.fr/fr/ressources/plan-dorientation-strategique-2018-2022-synthese</w:t>
      </w:r>
    </w:p>
  </w:footnote>
  <w:footnote w:id="22">
    <w:p w14:paraId="283C9E6E" w14:textId="77777777" w:rsidR="007114CC" w:rsidRPr="00C3107B" w:rsidRDefault="007114CC" w:rsidP="00631ED2">
      <w:pPr>
        <w:pStyle w:val="FootnoteText"/>
        <w:rPr>
          <w:rFonts w:ascii="Times New Roman" w:hAnsi="Times New Roman"/>
        </w:rPr>
      </w:pPr>
      <w:r w:rsidRPr="00C3107B">
        <w:rPr>
          <w:rStyle w:val="FootnoteReference"/>
          <w:rFonts w:ascii="Times New Roman" w:hAnsi="Times New Roman"/>
        </w:rPr>
        <w:footnoteRef/>
      </w:r>
      <w:r w:rsidRPr="00C3107B">
        <w:rPr>
          <w:rStyle w:val="FootnoteReference"/>
          <w:rFonts w:ascii="Times New Roman" w:hAnsi="Times New Roman"/>
        </w:rPr>
        <w:t xml:space="preserve"> </w:t>
      </w:r>
      <w:r w:rsidRPr="00F2628A">
        <w:t>Lorsqu’il s’agit de prêts non concessionnels, cet instrument n’est pas comptabilisé dans les flux français d’aide publique au développement mais dans les Autres apports du secteur public (AASP).</w:t>
      </w:r>
    </w:p>
  </w:footnote>
  <w:footnote w:id="23">
    <w:p w14:paraId="748E7C2D" w14:textId="77777777" w:rsidR="007114CC" w:rsidRPr="00565136" w:rsidRDefault="007114CC" w:rsidP="009C16BD">
      <w:pPr>
        <w:pStyle w:val="FootnoteText"/>
        <w:rPr>
          <w:sz w:val="16"/>
        </w:rPr>
      </w:pPr>
      <w:r w:rsidRPr="00565136">
        <w:rPr>
          <w:vertAlign w:val="superscript"/>
        </w:rPr>
        <w:footnoteRef/>
      </w:r>
      <w:r w:rsidRPr="00565136">
        <w:rPr>
          <w:vertAlign w:val="superscript"/>
        </w:rPr>
        <w:t xml:space="preserve"> </w:t>
      </w:r>
      <w:r w:rsidRPr="00565136">
        <w:rPr>
          <w:sz w:val="16"/>
        </w:rPr>
        <w:t>Si la contribution totale était prise en compte et non l’élément-don uniquement, la France se placerait devant l’Allemagne dans ces classements.</w:t>
      </w:r>
    </w:p>
  </w:footnote>
  <w:footnote w:id="24">
    <w:p w14:paraId="193EBE31" w14:textId="77777777" w:rsidR="007114CC" w:rsidRDefault="007114CC" w:rsidP="009C16BD">
      <w:pPr>
        <w:pStyle w:val="FootnoteText"/>
      </w:pPr>
      <w:r>
        <w:rPr>
          <w:rStyle w:val="FootnoteReference"/>
        </w:rPr>
        <w:footnoteRef/>
      </w:r>
      <w:r>
        <w:t xml:space="preserve"> Au 20 juillet 2022. Source</w:t>
      </w:r>
      <w:r>
        <w:rPr>
          <w:rFonts w:ascii="Calibri" w:hAnsi="Calibri" w:cs="Calibri"/>
        </w:rPr>
        <w:t> </w:t>
      </w:r>
      <w:r>
        <w:t xml:space="preserve">: </w:t>
      </w:r>
      <w:r w:rsidRPr="005A758B">
        <w:t>https://www.greenclimate.fund/projects/dashboard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13C9" w14:textId="77777777" w:rsidR="007114CC" w:rsidRDefault="007114CC" w:rsidP="00466AA3">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1353" w:hanging="360"/>
      </w:pPr>
      <w:rPr>
        <w:rFonts w:ascii="Symbol" w:hAnsi="Symbol" w:cs="Symbol" w:hint="default"/>
        <w:color w:val="000000"/>
        <w:sz w:val="22"/>
        <w:szCs w:val="22"/>
        <w:lang w:val="en-US"/>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1353" w:hanging="360"/>
      </w:pPr>
      <w:rPr>
        <w:rFonts w:ascii="Symbol" w:hAnsi="Symbol" w:cs="Symbol" w:hint="default"/>
        <w:color w:val="000000"/>
        <w:sz w:val="22"/>
        <w:szCs w:val="22"/>
      </w:rPr>
    </w:lvl>
    <w:lvl w:ilvl="1">
      <w:start w:val="1"/>
      <w:numFmt w:val="bullet"/>
      <w:lvlText w:val=""/>
      <w:lvlJc w:val="left"/>
      <w:pPr>
        <w:tabs>
          <w:tab w:val="num" w:pos="0"/>
        </w:tabs>
        <w:ind w:left="1440" w:hanging="360"/>
      </w:pPr>
      <w:rPr>
        <w:rFonts w:ascii="Symbol" w:hAnsi="Symbol" w:cs="Symbol" w:hint="default"/>
        <w:color w:val="000000"/>
        <w:sz w:val="22"/>
        <w:szCs w:val="2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sz w:val="22"/>
        <w:szCs w:val="22"/>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sz w:val="22"/>
        <w:szCs w:val="22"/>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283B34"/>
    <w:multiLevelType w:val="hybridMultilevel"/>
    <w:tmpl w:val="DA6CED58"/>
    <w:lvl w:ilvl="0" w:tplc="0018DB8A">
      <w:start w:val="1"/>
      <w:numFmt w:val="bullet"/>
      <w:pStyle w:val="Textepuce1"/>
      <w:lvlText w:val=""/>
      <w:lvlJc w:val="left"/>
      <w:pPr>
        <w:ind w:left="92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522C68"/>
    <w:multiLevelType w:val="hybridMultilevel"/>
    <w:tmpl w:val="B68C9C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3C2CFF"/>
    <w:multiLevelType w:val="hybridMultilevel"/>
    <w:tmpl w:val="4CD4C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5704CE"/>
    <w:multiLevelType w:val="multilevel"/>
    <w:tmpl w:val="51C2F876"/>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09F52CFD"/>
    <w:multiLevelType w:val="hybridMultilevel"/>
    <w:tmpl w:val="304E9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087C5F"/>
    <w:multiLevelType w:val="multilevel"/>
    <w:tmpl w:val="3ED00128"/>
    <w:styleLink w:val="List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8" w15:restartNumberingAfterBreak="0">
    <w:nsid w:val="0E3008DF"/>
    <w:multiLevelType w:val="multilevel"/>
    <w:tmpl w:val="E106418E"/>
    <w:name w:val="NC-BR-2022"/>
    <w:lvl w:ilvl="0">
      <w:start w:val="1"/>
      <w:numFmt w:val="upperLetter"/>
      <w:lvlText w:val="%1."/>
      <w:lvlJc w:val="left"/>
      <w:pPr>
        <w:ind w:left="0" w:firstLine="0"/>
      </w:pPr>
      <w:rPr>
        <w:rFonts w:hint="default"/>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0F671CE8"/>
    <w:multiLevelType w:val="hybridMultilevel"/>
    <w:tmpl w:val="167E2318"/>
    <w:lvl w:ilvl="0" w:tplc="61FED4D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270E31"/>
    <w:multiLevelType w:val="hybridMultilevel"/>
    <w:tmpl w:val="3A02E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2C499A"/>
    <w:multiLevelType w:val="hybridMultilevel"/>
    <w:tmpl w:val="4AE0C272"/>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485C25"/>
    <w:multiLevelType w:val="hybridMultilevel"/>
    <w:tmpl w:val="5CDA802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D87752"/>
    <w:multiLevelType w:val="hybridMultilevel"/>
    <w:tmpl w:val="AA54F6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B56E6F"/>
    <w:multiLevelType w:val="hybridMultilevel"/>
    <w:tmpl w:val="DDA22384"/>
    <w:lvl w:ilvl="0" w:tplc="7AA69D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7330B93"/>
    <w:multiLevelType w:val="hybridMultilevel"/>
    <w:tmpl w:val="2D8E1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330E92"/>
    <w:multiLevelType w:val="hybridMultilevel"/>
    <w:tmpl w:val="386E3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837740"/>
    <w:multiLevelType w:val="hybridMultilevel"/>
    <w:tmpl w:val="8BC0D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5E5F9B"/>
    <w:multiLevelType w:val="hybridMultilevel"/>
    <w:tmpl w:val="F8686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BE0FEB"/>
    <w:multiLevelType w:val="multilevel"/>
    <w:tmpl w:val="C9EE374C"/>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2EC87241"/>
    <w:multiLevelType w:val="hybridMultilevel"/>
    <w:tmpl w:val="D3FC14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10AC5"/>
    <w:multiLevelType w:val="multilevel"/>
    <w:tmpl w:val="F2A42138"/>
    <w:styleLink w:val="Style1"/>
    <w:lvl w:ilvl="0">
      <w:start w:val="1"/>
      <w:numFmt w:val="upperLetter"/>
      <w:lvlText w:val="%1."/>
      <w:lvlJc w:val="left"/>
      <w:pPr>
        <w:ind w:left="180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2" w15:restartNumberingAfterBreak="0">
    <w:nsid w:val="330C15ED"/>
    <w:multiLevelType w:val="multilevel"/>
    <w:tmpl w:val="C630A204"/>
    <w:styleLink w:val="Numbering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3" w15:restartNumberingAfterBreak="0">
    <w:nsid w:val="337559DB"/>
    <w:multiLevelType w:val="hybridMultilevel"/>
    <w:tmpl w:val="FB44F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286A75"/>
    <w:multiLevelType w:val="hybridMultilevel"/>
    <w:tmpl w:val="85A8F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AB7ADB"/>
    <w:multiLevelType w:val="hybridMultilevel"/>
    <w:tmpl w:val="05EC7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6F7A68"/>
    <w:multiLevelType w:val="hybridMultilevel"/>
    <w:tmpl w:val="6AF0F3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3C101A"/>
    <w:multiLevelType w:val="hybridMultilevel"/>
    <w:tmpl w:val="F50ED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502AAE"/>
    <w:multiLevelType w:val="hybridMultilevel"/>
    <w:tmpl w:val="D65AC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59C2A97"/>
    <w:multiLevelType w:val="hybridMultilevel"/>
    <w:tmpl w:val="4C8CE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9C0730"/>
    <w:multiLevelType w:val="multilevel"/>
    <w:tmpl w:val="EC9A8B88"/>
    <w:styleLink w:val="Style4"/>
    <w:lvl w:ilvl="0">
      <w:start w:val="1"/>
      <w:numFmt w:val="upperLetter"/>
      <w:lvlText w:val="%1."/>
      <w:lvlJc w:val="left"/>
      <w:pPr>
        <w:ind w:left="0" w:firstLine="0"/>
      </w:pPr>
      <w:rPr>
        <w:rFonts w:hint="default"/>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567" w:hanging="283"/>
      </w:pPr>
      <w:rPr>
        <w:rFonts w:hint="default"/>
      </w:rPr>
    </w:lvl>
    <w:lvl w:ilvl="5">
      <w:start w:val="1"/>
      <w:numFmt w:val="lowerLetter"/>
      <w:lvlText w:val="(%6)"/>
      <w:lvlJc w:val="left"/>
      <w:pPr>
        <w:ind w:left="567" w:hanging="283"/>
      </w:pPr>
      <w:rPr>
        <w:rFonts w:hint="default"/>
      </w:rPr>
    </w:lvl>
    <w:lvl w:ilvl="6">
      <w:start w:val="1"/>
      <w:numFmt w:val="lowerRoman"/>
      <w:lvlText w:val="(%7)"/>
      <w:lvlJc w:val="left"/>
      <w:pPr>
        <w:ind w:left="567" w:hanging="283"/>
      </w:pPr>
      <w:rPr>
        <w:rFonts w:hint="default"/>
      </w:rPr>
    </w:lvl>
    <w:lvl w:ilvl="7">
      <w:start w:val="1"/>
      <w:numFmt w:val="lowerLetter"/>
      <w:lvlText w:val="(%8)"/>
      <w:lvlJc w:val="left"/>
      <w:pPr>
        <w:ind w:left="567" w:hanging="283"/>
      </w:pPr>
      <w:rPr>
        <w:rFonts w:hint="default"/>
      </w:rPr>
    </w:lvl>
    <w:lvl w:ilvl="8">
      <w:start w:val="1"/>
      <w:numFmt w:val="lowerRoman"/>
      <w:lvlText w:val="(%9)"/>
      <w:lvlJc w:val="left"/>
      <w:pPr>
        <w:ind w:left="567" w:hanging="283"/>
      </w:pPr>
      <w:rPr>
        <w:rFonts w:hint="default"/>
      </w:rPr>
    </w:lvl>
  </w:abstractNum>
  <w:abstractNum w:abstractNumId="31" w15:restartNumberingAfterBreak="0">
    <w:nsid w:val="4B4C74C4"/>
    <w:multiLevelType w:val="hybridMultilevel"/>
    <w:tmpl w:val="D1402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1A43CA"/>
    <w:multiLevelType w:val="multilevel"/>
    <w:tmpl w:val="51C2F876"/>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4CB575CE"/>
    <w:multiLevelType w:val="hybridMultilevel"/>
    <w:tmpl w:val="B68C9C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1A570F6"/>
    <w:multiLevelType w:val="multilevel"/>
    <w:tmpl w:val="7F0C7140"/>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sz w:val="18"/>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56EF5792"/>
    <w:multiLevelType w:val="hybridMultilevel"/>
    <w:tmpl w:val="697AED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F95FCE"/>
    <w:multiLevelType w:val="hybridMultilevel"/>
    <w:tmpl w:val="3B28F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8296907"/>
    <w:multiLevelType w:val="multilevel"/>
    <w:tmpl w:val="1194DF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9E31680"/>
    <w:multiLevelType w:val="hybridMultilevel"/>
    <w:tmpl w:val="0D5A9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01329A"/>
    <w:multiLevelType w:val="hybridMultilevel"/>
    <w:tmpl w:val="0E9606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B033E7B"/>
    <w:multiLevelType w:val="hybridMultilevel"/>
    <w:tmpl w:val="70C6C4F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BBA41E7"/>
    <w:multiLevelType w:val="multilevel"/>
    <w:tmpl w:val="1E5E8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77559B"/>
    <w:multiLevelType w:val="hybridMultilevel"/>
    <w:tmpl w:val="EB1053F2"/>
    <w:lvl w:ilvl="0" w:tplc="61FED4D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E81476E"/>
    <w:multiLevelType w:val="multilevel"/>
    <w:tmpl w:val="F6A6D21E"/>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4" w15:restartNumberingAfterBreak="0">
    <w:nsid w:val="60247E77"/>
    <w:multiLevelType w:val="multilevel"/>
    <w:tmpl w:val="E18A032E"/>
    <w:lvl w:ilvl="0">
      <w:start w:val="2"/>
      <w:numFmt w:val="bullet"/>
      <w:lvlText w:val="-"/>
      <w:lvlJc w:val="left"/>
      <w:pPr>
        <w:ind w:left="360" w:hanging="360"/>
      </w:pPr>
      <w:rPr>
        <w:rFonts w:ascii="Arial" w:hAnsi="Arial" w:cs="Aria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 w15:restartNumberingAfterBreak="0">
    <w:nsid w:val="60DD5BC9"/>
    <w:multiLevelType w:val="hybridMultilevel"/>
    <w:tmpl w:val="757C80B4"/>
    <w:lvl w:ilvl="0" w:tplc="42424A64">
      <w:start w:val="1"/>
      <w:numFmt w:val="bullet"/>
      <w:lvlText w:val="-"/>
      <w:lvlJc w:val="left"/>
      <w:pPr>
        <w:ind w:left="720" w:hanging="360"/>
      </w:pPr>
      <w:rPr>
        <w:rFonts w:ascii="Marianne" w:eastAsia="Times New Roman" w:hAnsi="Marianne"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7B3083"/>
    <w:multiLevelType w:val="hybridMultilevel"/>
    <w:tmpl w:val="4546E0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9A5DC9"/>
    <w:multiLevelType w:val="multilevel"/>
    <w:tmpl w:val="66786554"/>
    <w:lvl w:ilvl="0">
      <w:start w:val="1"/>
      <w:numFmt w:val="upperLetter"/>
      <w:pStyle w:val="Titre2Niveau2"/>
      <w:lvlText w:val="%1."/>
      <w:lvlJc w:val="left"/>
      <w:pPr>
        <w:ind w:left="0" w:firstLine="0"/>
      </w:pPr>
      <w:rPr>
        <w:rFonts w:hint="default"/>
        <w:i w:val="0"/>
        <w:sz w:val="32"/>
        <w:szCs w:val="32"/>
      </w:rPr>
    </w:lvl>
    <w:lvl w:ilvl="1">
      <w:start w:val="1"/>
      <w:numFmt w:val="decimal"/>
      <w:pStyle w:val="Titre3Niveau3"/>
      <w:lvlText w:val="%1.%2."/>
      <w:lvlJc w:val="left"/>
      <w:pPr>
        <w:tabs>
          <w:tab w:val="num" w:pos="0"/>
        </w:tabs>
        <w:ind w:left="0" w:firstLine="0"/>
      </w:pPr>
      <w:rPr>
        <w:rFonts w:ascii="Marianne" w:hAnsi="Marianne" w:hint="default"/>
        <w:i w:val="0"/>
        <w:sz w:val="22"/>
      </w:rPr>
    </w:lvl>
    <w:lvl w:ilvl="2">
      <w:start w:val="1"/>
      <w:numFmt w:val="decimal"/>
      <w:pStyle w:val="Titre4niveau4"/>
      <w:lvlText w:val="%1.%2.%3."/>
      <w:lvlJc w:val="left"/>
      <w:pPr>
        <w:ind w:left="0" w:firstLine="0"/>
      </w:pPr>
      <w:rPr>
        <w:rFonts w:hint="default"/>
      </w:rPr>
    </w:lvl>
    <w:lvl w:ilvl="3">
      <w:start w:val="1"/>
      <w:numFmt w:val="none"/>
      <w:lvlRestart w:val="0"/>
      <w:pStyle w:val="titreencadre"/>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8" w15:restartNumberingAfterBreak="0">
    <w:nsid w:val="63D1239F"/>
    <w:multiLevelType w:val="hybridMultilevel"/>
    <w:tmpl w:val="8592B802"/>
    <w:lvl w:ilvl="0" w:tplc="33FEE1F8">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B06DFD"/>
    <w:multiLevelType w:val="hybridMultilevel"/>
    <w:tmpl w:val="C0BEF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AE8169B"/>
    <w:multiLevelType w:val="hybridMultilevel"/>
    <w:tmpl w:val="FF0E6F02"/>
    <w:lvl w:ilvl="0" w:tplc="00000003">
      <w:start w:val="1"/>
      <w:numFmt w:val="bullet"/>
      <w:lvlText w:val=""/>
      <w:lvlJc w:val="left"/>
      <w:pPr>
        <w:tabs>
          <w:tab w:val="num" w:pos="0"/>
        </w:tabs>
        <w:ind w:left="1353" w:hanging="360"/>
      </w:pPr>
      <w:rPr>
        <w:rFonts w:ascii="Symbol" w:hAnsi="Symbol" w:cs="Symbol" w:hint="default"/>
        <w:color w:val="000000"/>
        <w:sz w:val="22"/>
        <w:szCs w:val="2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B1B4300"/>
    <w:multiLevelType w:val="hybridMultilevel"/>
    <w:tmpl w:val="4FAAA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0303957"/>
    <w:multiLevelType w:val="hybridMultilevel"/>
    <w:tmpl w:val="F3F8F23E"/>
    <w:lvl w:ilvl="0" w:tplc="D34A78DA">
      <w:start w:val="1"/>
      <w:numFmt w:val="decimal"/>
      <w:pStyle w:val="textepuce2"/>
      <w:lvlText w:val="%1."/>
      <w:lvlJc w:val="left"/>
      <w:pPr>
        <w:ind w:left="1021" w:hanging="45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4203F53"/>
    <w:multiLevelType w:val="hybridMultilevel"/>
    <w:tmpl w:val="18361C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691733C"/>
    <w:multiLevelType w:val="hybridMultilevel"/>
    <w:tmpl w:val="512C6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B0124B1"/>
    <w:multiLevelType w:val="hybridMultilevel"/>
    <w:tmpl w:val="B7D05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F8C6CC2"/>
    <w:multiLevelType w:val="hybridMultilevel"/>
    <w:tmpl w:val="25CA0892"/>
    <w:lvl w:ilvl="0" w:tplc="00000003">
      <w:start w:val="1"/>
      <w:numFmt w:val="bullet"/>
      <w:lvlText w:val=""/>
      <w:lvlJc w:val="left"/>
      <w:pPr>
        <w:tabs>
          <w:tab w:val="num" w:pos="0"/>
        </w:tabs>
        <w:ind w:left="1353" w:hanging="360"/>
      </w:pPr>
      <w:rPr>
        <w:rFonts w:ascii="Symbol" w:hAnsi="Symbol" w:cs="Symbol" w:hint="default"/>
        <w:color w:val="000000"/>
        <w:sz w:val="22"/>
        <w:szCs w:val="2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90791645">
    <w:abstractNumId w:val="2"/>
  </w:num>
  <w:num w:numId="2" w16cid:durableId="2074502388">
    <w:abstractNumId w:val="52"/>
  </w:num>
  <w:num w:numId="3" w16cid:durableId="1226259891">
    <w:abstractNumId w:val="22"/>
  </w:num>
  <w:num w:numId="4" w16cid:durableId="1469125747">
    <w:abstractNumId w:val="7"/>
  </w:num>
  <w:num w:numId="5" w16cid:durableId="1246383217">
    <w:abstractNumId w:val="34"/>
  </w:num>
  <w:num w:numId="6" w16cid:durableId="866871129">
    <w:abstractNumId w:val="54"/>
  </w:num>
  <w:num w:numId="7" w16cid:durableId="1699156881">
    <w:abstractNumId w:val="21"/>
  </w:num>
  <w:num w:numId="8" w16cid:durableId="1139764040">
    <w:abstractNumId w:val="16"/>
  </w:num>
  <w:num w:numId="9" w16cid:durableId="249772556">
    <w:abstractNumId w:val="27"/>
  </w:num>
  <w:num w:numId="10" w16cid:durableId="200242068">
    <w:abstractNumId w:val="23"/>
  </w:num>
  <w:num w:numId="11" w16cid:durableId="945885530">
    <w:abstractNumId w:val="45"/>
  </w:num>
  <w:num w:numId="12" w16cid:durableId="404956144">
    <w:abstractNumId w:val="51"/>
  </w:num>
  <w:num w:numId="13" w16cid:durableId="957680046">
    <w:abstractNumId w:val="47"/>
  </w:num>
  <w:num w:numId="14" w16cid:durableId="1046565416">
    <w:abstractNumId w:val="4"/>
  </w:num>
  <w:num w:numId="15" w16cid:durableId="614363253">
    <w:abstractNumId w:val="55"/>
  </w:num>
  <w:num w:numId="16" w16cid:durableId="150798912">
    <w:abstractNumId w:val="35"/>
  </w:num>
  <w:num w:numId="17" w16cid:durableId="671839083">
    <w:abstractNumId w:val="31"/>
  </w:num>
  <w:num w:numId="18" w16cid:durableId="1381133644">
    <w:abstractNumId w:val="15"/>
  </w:num>
  <w:num w:numId="19" w16cid:durableId="1727530085">
    <w:abstractNumId w:val="6"/>
  </w:num>
  <w:num w:numId="20" w16cid:durableId="800079587">
    <w:abstractNumId w:val="41"/>
  </w:num>
  <w:num w:numId="21" w16cid:durableId="4810433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8186788">
    <w:abstractNumId w:val="50"/>
  </w:num>
  <w:num w:numId="23" w16cid:durableId="2118913919">
    <w:abstractNumId w:val="56"/>
  </w:num>
  <w:num w:numId="24" w16cid:durableId="1836608738">
    <w:abstractNumId w:val="25"/>
  </w:num>
  <w:num w:numId="25" w16cid:durableId="532619233">
    <w:abstractNumId w:val="40"/>
  </w:num>
  <w:num w:numId="26" w16cid:durableId="1499614913">
    <w:abstractNumId w:val="12"/>
  </w:num>
  <w:num w:numId="27" w16cid:durableId="1647663604">
    <w:abstractNumId w:val="48"/>
  </w:num>
  <w:num w:numId="28" w16cid:durableId="502742868">
    <w:abstractNumId w:val="24"/>
  </w:num>
  <w:num w:numId="29" w16cid:durableId="868101328">
    <w:abstractNumId w:val="10"/>
  </w:num>
  <w:num w:numId="30" w16cid:durableId="1225067090">
    <w:abstractNumId w:val="11"/>
  </w:num>
  <w:num w:numId="31" w16cid:durableId="927225693">
    <w:abstractNumId w:val="18"/>
  </w:num>
  <w:num w:numId="32" w16cid:durableId="1843617099">
    <w:abstractNumId w:val="19"/>
  </w:num>
  <w:num w:numId="33" w16cid:durableId="1001856061">
    <w:abstractNumId w:val="14"/>
  </w:num>
  <w:num w:numId="34" w16cid:durableId="1330865346">
    <w:abstractNumId w:val="47"/>
  </w:num>
  <w:num w:numId="35" w16cid:durableId="1493713501">
    <w:abstractNumId w:val="28"/>
  </w:num>
  <w:num w:numId="36" w16cid:durableId="234704586">
    <w:abstractNumId w:val="29"/>
  </w:num>
  <w:num w:numId="37" w16cid:durableId="2123065227">
    <w:abstractNumId w:val="13"/>
  </w:num>
  <w:num w:numId="38" w16cid:durableId="1316489187">
    <w:abstractNumId w:val="46"/>
  </w:num>
  <w:num w:numId="39" w16cid:durableId="452019089">
    <w:abstractNumId w:val="38"/>
  </w:num>
  <w:num w:numId="40" w16cid:durableId="908081488">
    <w:abstractNumId w:val="44"/>
  </w:num>
  <w:num w:numId="41" w16cid:durableId="1450273890">
    <w:abstractNumId w:val="49"/>
  </w:num>
  <w:num w:numId="42" w16cid:durableId="1294826130">
    <w:abstractNumId w:val="43"/>
  </w:num>
  <w:num w:numId="43" w16cid:durableId="452481928">
    <w:abstractNumId w:val="5"/>
  </w:num>
  <w:num w:numId="44" w16cid:durableId="964123620">
    <w:abstractNumId w:val="30"/>
  </w:num>
  <w:num w:numId="45" w16cid:durableId="728311599">
    <w:abstractNumId w:val="9"/>
  </w:num>
  <w:num w:numId="46" w16cid:durableId="1978219999">
    <w:abstractNumId w:val="42"/>
  </w:num>
  <w:num w:numId="47" w16cid:durableId="1903978550">
    <w:abstractNumId w:val="26"/>
  </w:num>
  <w:num w:numId="48" w16cid:durableId="344672727">
    <w:abstractNumId w:val="17"/>
  </w:num>
  <w:num w:numId="49" w16cid:durableId="6231226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03526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486961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2600521">
    <w:abstractNumId w:val="3"/>
  </w:num>
  <w:num w:numId="53" w16cid:durableId="679547343">
    <w:abstractNumId w:val="33"/>
  </w:num>
  <w:num w:numId="54" w16cid:durableId="253631116">
    <w:abstractNumId w:val="20"/>
  </w:num>
  <w:num w:numId="55" w16cid:durableId="1472863209">
    <w:abstractNumId w:val="53"/>
  </w:num>
  <w:num w:numId="56" w16cid:durableId="152533726">
    <w:abstractNumId w:val="39"/>
  </w:num>
  <w:num w:numId="57" w16cid:durableId="37437950">
    <w:abstractNumId w:val="36"/>
  </w:num>
  <w:num w:numId="58" w16cid:durableId="18238115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32526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47607439">
    <w:abstractNumId w:val="37"/>
  </w:num>
  <w:num w:numId="61" w16cid:durableId="15182267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708455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958394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07287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746211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68219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87707596">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935"/>
    <w:rsid w:val="00002707"/>
    <w:rsid w:val="00004183"/>
    <w:rsid w:val="00007B3B"/>
    <w:rsid w:val="00011EED"/>
    <w:rsid w:val="000122AD"/>
    <w:rsid w:val="0001502C"/>
    <w:rsid w:val="00015478"/>
    <w:rsid w:val="000157E5"/>
    <w:rsid w:val="00022163"/>
    <w:rsid w:val="000222C0"/>
    <w:rsid w:val="00027D90"/>
    <w:rsid w:val="00027F24"/>
    <w:rsid w:val="000323FF"/>
    <w:rsid w:val="000337A0"/>
    <w:rsid w:val="00037B0C"/>
    <w:rsid w:val="00042E0B"/>
    <w:rsid w:val="00051E06"/>
    <w:rsid w:val="00053DB3"/>
    <w:rsid w:val="0005645A"/>
    <w:rsid w:val="00063B85"/>
    <w:rsid w:val="00066F18"/>
    <w:rsid w:val="000713CC"/>
    <w:rsid w:val="00073E72"/>
    <w:rsid w:val="000749DC"/>
    <w:rsid w:val="00076E7A"/>
    <w:rsid w:val="00081C08"/>
    <w:rsid w:val="00082E4C"/>
    <w:rsid w:val="00084C07"/>
    <w:rsid w:val="000863E6"/>
    <w:rsid w:val="00091982"/>
    <w:rsid w:val="00092146"/>
    <w:rsid w:val="00093795"/>
    <w:rsid w:val="000B528C"/>
    <w:rsid w:val="000B725D"/>
    <w:rsid w:val="000C08B6"/>
    <w:rsid w:val="000C30EE"/>
    <w:rsid w:val="000C711B"/>
    <w:rsid w:val="000D2F08"/>
    <w:rsid w:val="000D6CEA"/>
    <w:rsid w:val="000F2436"/>
    <w:rsid w:val="000F55D0"/>
    <w:rsid w:val="000F6E9C"/>
    <w:rsid w:val="000F7B26"/>
    <w:rsid w:val="0010331A"/>
    <w:rsid w:val="0010506B"/>
    <w:rsid w:val="00111D10"/>
    <w:rsid w:val="001125D5"/>
    <w:rsid w:val="00114423"/>
    <w:rsid w:val="00114C84"/>
    <w:rsid w:val="00117C72"/>
    <w:rsid w:val="00117FAB"/>
    <w:rsid w:val="001322CC"/>
    <w:rsid w:val="001329FA"/>
    <w:rsid w:val="00132B40"/>
    <w:rsid w:val="001348B2"/>
    <w:rsid w:val="00134E06"/>
    <w:rsid w:val="001358AE"/>
    <w:rsid w:val="00141043"/>
    <w:rsid w:val="00151882"/>
    <w:rsid w:val="00152136"/>
    <w:rsid w:val="0015443B"/>
    <w:rsid w:val="001808DF"/>
    <w:rsid w:val="0018240E"/>
    <w:rsid w:val="0019181E"/>
    <w:rsid w:val="001939DF"/>
    <w:rsid w:val="00193B16"/>
    <w:rsid w:val="00196F33"/>
    <w:rsid w:val="001A3B9E"/>
    <w:rsid w:val="001A3EB8"/>
    <w:rsid w:val="001A5DDF"/>
    <w:rsid w:val="001A6C20"/>
    <w:rsid w:val="001B585A"/>
    <w:rsid w:val="001B7CC7"/>
    <w:rsid w:val="001C27AE"/>
    <w:rsid w:val="001C4357"/>
    <w:rsid w:val="001C71A6"/>
    <w:rsid w:val="001C7C9E"/>
    <w:rsid w:val="001D0EE1"/>
    <w:rsid w:val="001D55EC"/>
    <w:rsid w:val="001E2D38"/>
    <w:rsid w:val="001E2F27"/>
    <w:rsid w:val="001E4C6C"/>
    <w:rsid w:val="001E5CAA"/>
    <w:rsid w:val="001E6141"/>
    <w:rsid w:val="001E6EDE"/>
    <w:rsid w:val="001F2587"/>
    <w:rsid w:val="001F63F5"/>
    <w:rsid w:val="002019AB"/>
    <w:rsid w:val="00202146"/>
    <w:rsid w:val="002035E5"/>
    <w:rsid w:val="002056CB"/>
    <w:rsid w:val="00206F0B"/>
    <w:rsid w:val="00210A16"/>
    <w:rsid w:val="002147DD"/>
    <w:rsid w:val="00215836"/>
    <w:rsid w:val="00217EF0"/>
    <w:rsid w:val="00221780"/>
    <w:rsid w:val="0022180D"/>
    <w:rsid w:val="00223772"/>
    <w:rsid w:val="00223DAD"/>
    <w:rsid w:val="00224DF6"/>
    <w:rsid w:val="00226645"/>
    <w:rsid w:val="00227E0D"/>
    <w:rsid w:val="00235933"/>
    <w:rsid w:val="002372C9"/>
    <w:rsid w:val="00237F90"/>
    <w:rsid w:val="00246278"/>
    <w:rsid w:val="002507EC"/>
    <w:rsid w:val="00250CFD"/>
    <w:rsid w:val="00250DCB"/>
    <w:rsid w:val="00251B48"/>
    <w:rsid w:val="002531AC"/>
    <w:rsid w:val="0026081F"/>
    <w:rsid w:val="00274EB7"/>
    <w:rsid w:val="0027779E"/>
    <w:rsid w:val="002819E8"/>
    <w:rsid w:val="00286BBA"/>
    <w:rsid w:val="00290470"/>
    <w:rsid w:val="002A03F0"/>
    <w:rsid w:val="002A2AE3"/>
    <w:rsid w:val="002A44BC"/>
    <w:rsid w:val="002A52F3"/>
    <w:rsid w:val="002A5699"/>
    <w:rsid w:val="002B552B"/>
    <w:rsid w:val="002C6E98"/>
    <w:rsid w:val="002D08FD"/>
    <w:rsid w:val="002D615D"/>
    <w:rsid w:val="002D67C0"/>
    <w:rsid w:val="002E3B64"/>
    <w:rsid w:val="002E5FBC"/>
    <w:rsid w:val="002E693F"/>
    <w:rsid w:val="002E7E70"/>
    <w:rsid w:val="002F0338"/>
    <w:rsid w:val="002F0AC8"/>
    <w:rsid w:val="002F2FFD"/>
    <w:rsid w:val="002F4FA6"/>
    <w:rsid w:val="002F6C90"/>
    <w:rsid w:val="00305138"/>
    <w:rsid w:val="00305DA8"/>
    <w:rsid w:val="0030637F"/>
    <w:rsid w:val="00306B73"/>
    <w:rsid w:val="003122AF"/>
    <w:rsid w:val="00313BC5"/>
    <w:rsid w:val="00314BB0"/>
    <w:rsid w:val="00324188"/>
    <w:rsid w:val="00325A04"/>
    <w:rsid w:val="003263CE"/>
    <w:rsid w:val="00332CF0"/>
    <w:rsid w:val="00332D6C"/>
    <w:rsid w:val="00337A46"/>
    <w:rsid w:val="00342CBD"/>
    <w:rsid w:val="0034496D"/>
    <w:rsid w:val="00344B87"/>
    <w:rsid w:val="00347D7C"/>
    <w:rsid w:val="003511CD"/>
    <w:rsid w:val="003555E2"/>
    <w:rsid w:val="0035679A"/>
    <w:rsid w:val="00364061"/>
    <w:rsid w:val="00364CC3"/>
    <w:rsid w:val="00370CC5"/>
    <w:rsid w:val="00372FB7"/>
    <w:rsid w:val="00380A1C"/>
    <w:rsid w:val="003810C2"/>
    <w:rsid w:val="00395F22"/>
    <w:rsid w:val="003A1EE9"/>
    <w:rsid w:val="003A2935"/>
    <w:rsid w:val="003A3D67"/>
    <w:rsid w:val="003A40B1"/>
    <w:rsid w:val="003A6082"/>
    <w:rsid w:val="003B1AB1"/>
    <w:rsid w:val="003B5361"/>
    <w:rsid w:val="003B6ECE"/>
    <w:rsid w:val="003C31E8"/>
    <w:rsid w:val="003C71EF"/>
    <w:rsid w:val="003C7C34"/>
    <w:rsid w:val="003D55E6"/>
    <w:rsid w:val="003E05B4"/>
    <w:rsid w:val="003E4D7F"/>
    <w:rsid w:val="003E53AB"/>
    <w:rsid w:val="003E63E4"/>
    <w:rsid w:val="003F14FD"/>
    <w:rsid w:val="003F6B66"/>
    <w:rsid w:val="003F6D23"/>
    <w:rsid w:val="00401567"/>
    <w:rsid w:val="00410D74"/>
    <w:rsid w:val="00413EC7"/>
    <w:rsid w:val="004229A7"/>
    <w:rsid w:val="00426F59"/>
    <w:rsid w:val="00431E8F"/>
    <w:rsid w:val="00442AF9"/>
    <w:rsid w:val="00445AB9"/>
    <w:rsid w:val="00446A05"/>
    <w:rsid w:val="004520A7"/>
    <w:rsid w:val="00453A47"/>
    <w:rsid w:val="00456B83"/>
    <w:rsid w:val="004627F2"/>
    <w:rsid w:val="00462D62"/>
    <w:rsid w:val="00463DE5"/>
    <w:rsid w:val="0046409B"/>
    <w:rsid w:val="00466AA3"/>
    <w:rsid w:val="0047459C"/>
    <w:rsid w:val="00480581"/>
    <w:rsid w:val="004811D4"/>
    <w:rsid w:val="00484343"/>
    <w:rsid w:val="004929E5"/>
    <w:rsid w:val="004A3952"/>
    <w:rsid w:val="004A6491"/>
    <w:rsid w:val="004A79D1"/>
    <w:rsid w:val="004B446A"/>
    <w:rsid w:val="004B4DAA"/>
    <w:rsid w:val="004B4E41"/>
    <w:rsid w:val="004B70B4"/>
    <w:rsid w:val="004C0570"/>
    <w:rsid w:val="004C30B7"/>
    <w:rsid w:val="004C6F95"/>
    <w:rsid w:val="004D03AC"/>
    <w:rsid w:val="004D2261"/>
    <w:rsid w:val="004D4A28"/>
    <w:rsid w:val="004D6319"/>
    <w:rsid w:val="004D72D0"/>
    <w:rsid w:val="004E7FEF"/>
    <w:rsid w:val="004F5072"/>
    <w:rsid w:val="004F7142"/>
    <w:rsid w:val="00500AD1"/>
    <w:rsid w:val="00503085"/>
    <w:rsid w:val="005066D8"/>
    <w:rsid w:val="00506D54"/>
    <w:rsid w:val="00506E61"/>
    <w:rsid w:val="00507F7D"/>
    <w:rsid w:val="00510F18"/>
    <w:rsid w:val="00511E54"/>
    <w:rsid w:val="005136CB"/>
    <w:rsid w:val="0051771F"/>
    <w:rsid w:val="00523158"/>
    <w:rsid w:val="005232F9"/>
    <w:rsid w:val="00532A13"/>
    <w:rsid w:val="005366DA"/>
    <w:rsid w:val="00545457"/>
    <w:rsid w:val="00550AF2"/>
    <w:rsid w:val="005630AF"/>
    <w:rsid w:val="00565DB7"/>
    <w:rsid w:val="005676EF"/>
    <w:rsid w:val="00571AEC"/>
    <w:rsid w:val="005725A4"/>
    <w:rsid w:val="00573042"/>
    <w:rsid w:val="00575DA2"/>
    <w:rsid w:val="00586A0B"/>
    <w:rsid w:val="0059176B"/>
    <w:rsid w:val="00592A85"/>
    <w:rsid w:val="00592BB3"/>
    <w:rsid w:val="005963A4"/>
    <w:rsid w:val="00596AFC"/>
    <w:rsid w:val="005A05DB"/>
    <w:rsid w:val="005A1C7A"/>
    <w:rsid w:val="005A309C"/>
    <w:rsid w:val="005B1232"/>
    <w:rsid w:val="005B2260"/>
    <w:rsid w:val="005B6CB5"/>
    <w:rsid w:val="005B75B4"/>
    <w:rsid w:val="005D07B9"/>
    <w:rsid w:val="005D35AC"/>
    <w:rsid w:val="005D3F5E"/>
    <w:rsid w:val="005D59BC"/>
    <w:rsid w:val="005D5AA6"/>
    <w:rsid w:val="005D5DC1"/>
    <w:rsid w:val="005D77E5"/>
    <w:rsid w:val="005E12DA"/>
    <w:rsid w:val="005E7D27"/>
    <w:rsid w:val="005F3EA0"/>
    <w:rsid w:val="005F5D6B"/>
    <w:rsid w:val="006007BA"/>
    <w:rsid w:val="00602E69"/>
    <w:rsid w:val="00606733"/>
    <w:rsid w:val="00606EDB"/>
    <w:rsid w:val="0062059A"/>
    <w:rsid w:val="00630A34"/>
    <w:rsid w:val="00631ED2"/>
    <w:rsid w:val="00634E9D"/>
    <w:rsid w:val="0063577E"/>
    <w:rsid w:val="00635A2E"/>
    <w:rsid w:val="00637120"/>
    <w:rsid w:val="0064533F"/>
    <w:rsid w:val="00645AED"/>
    <w:rsid w:val="00647CDF"/>
    <w:rsid w:val="00650745"/>
    <w:rsid w:val="0065267C"/>
    <w:rsid w:val="00652943"/>
    <w:rsid w:val="006606DD"/>
    <w:rsid w:val="006611EF"/>
    <w:rsid w:val="00675ABC"/>
    <w:rsid w:val="00676517"/>
    <w:rsid w:val="00677B3C"/>
    <w:rsid w:val="00685E7A"/>
    <w:rsid w:val="00686906"/>
    <w:rsid w:val="0069050C"/>
    <w:rsid w:val="00692556"/>
    <w:rsid w:val="006941C5"/>
    <w:rsid w:val="00694770"/>
    <w:rsid w:val="006967DF"/>
    <w:rsid w:val="006A7128"/>
    <w:rsid w:val="006B0E73"/>
    <w:rsid w:val="006B108E"/>
    <w:rsid w:val="006B46F0"/>
    <w:rsid w:val="006B4DCF"/>
    <w:rsid w:val="006B506C"/>
    <w:rsid w:val="006B7EC5"/>
    <w:rsid w:val="006C000D"/>
    <w:rsid w:val="006C296F"/>
    <w:rsid w:val="006C4C1D"/>
    <w:rsid w:val="006C7946"/>
    <w:rsid w:val="006D1AF1"/>
    <w:rsid w:val="006D2D4D"/>
    <w:rsid w:val="006D6988"/>
    <w:rsid w:val="006D768D"/>
    <w:rsid w:val="006E0C3B"/>
    <w:rsid w:val="006E14C3"/>
    <w:rsid w:val="006E306D"/>
    <w:rsid w:val="006F03CA"/>
    <w:rsid w:val="006F072F"/>
    <w:rsid w:val="006F2DEC"/>
    <w:rsid w:val="006F538E"/>
    <w:rsid w:val="007034CC"/>
    <w:rsid w:val="007114CC"/>
    <w:rsid w:val="00714D22"/>
    <w:rsid w:val="007166B0"/>
    <w:rsid w:val="00716DC8"/>
    <w:rsid w:val="00716F9B"/>
    <w:rsid w:val="00721698"/>
    <w:rsid w:val="007256F1"/>
    <w:rsid w:val="00734C21"/>
    <w:rsid w:val="0074073C"/>
    <w:rsid w:val="007412BE"/>
    <w:rsid w:val="0074602A"/>
    <w:rsid w:val="007507A5"/>
    <w:rsid w:val="007554E4"/>
    <w:rsid w:val="00757301"/>
    <w:rsid w:val="00760F1E"/>
    <w:rsid w:val="00776776"/>
    <w:rsid w:val="00776C9F"/>
    <w:rsid w:val="00776ED7"/>
    <w:rsid w:val="00777BD5"/>
    <w:rsid w:val="0078035B"/>
    <w:rsid w:val="00791BA3"/>
    <w:rsid w:val="007A566E"/>
    <w:rsid w:val="007B182D"/>
    <w:rsid w:val="007B3671"/>
    <w:rsid w:val="007B725A"/>
    <w:rsid w:val="007C1765"/>
    <w:rsid w:val="007C589E"/>
    <w:rsid w:val="007C761D"/>
    <w:rsid w:val="007C76ED"/>
    <w:rsid w:val="007D49B7"/>
    <w:rsid w:val="007D7F97"/>
    <w:rsid w:val="007E022E"/>
    <w:rsid w:val="007E06CE"/>
    <w:rsid w:val="007E2FC4"/>
    <w:rsid w:val="007F1A04"/>
    <w:rsid w:val="00803F82"/>
    <w:rsid w:val="00810BA9"/>
    <w:rsid w:val="00811B0F"/>
    <w:rsid w:val="008124AB"/>
    <w:rsid w:val="008136D9"/>
    <w:rsid w:val="00815B96"/>
    <w:rsid w:val="0081613C"/>
    <w:rsid w:val="00820FB2"/>
    <w:rsid w:val="0082105D"/>
    <w:rsid w:val="00824B69"/>
    <w:rsid w:val="008252EF"/>
    <w:rsid w:val="0083034E"/>
    <w:rsid w:val="00831950"/>
    <w:rsid w:val="00836655"/>
    <w:rsid w:val="00837EFF"/>
    <w:rsid w:val="00841EC7"/>
    <w:rsid w:val="008433E7"/>
    <w:rsid w:val="00845892"/>
    <w:rsid w:val="00845C7B"/>
    <w:rsid w:val="008513C0"/>
    <w:rsid w:val="00851EB9"/>
    <w:rsid w:val="008523D9"/>
    <w:rsid w:val="008533A8"/>
    <w:rsid w:val="00853536"/>
    <w:rsid w:val="008618C6"/>
    <w:rsid w:val="00871491"/>
    <w:rsid w:val="0087446A"/>
    <w:rsid w:val="00881A60"/>
    <w:rsid w:val="00882248"/>
    <w:rsid w:val="0088435A"/>
    <w:rsid w:val="00891B49"/>
    <w:rsid w:val="008922ED"/>
    <w:rsid w:val="00896B84"/>
    <w:rsid w:val="00896B85"/>
    <w:rsid w:val="00896F0A"/>
    <w:rsid w:val="00897290"/>
    <w:rsid w:val="008A38D1"/>
    <w:rsid w:val="008B5634"/>
    <w:rsid w:val="008C1068"/>
    <w:rsid w:val="008C2F20"/>
    <w:rsid w:val="008C409B"/>
    <w:rsid w:val="008C4B32"/>
    <w:rsid w:val="008C6DA5"/>
    <w:rsid w:val="008C79A1"/>
    <w:rsid w:val="008E5A7D"/>
    <w:rsid w:val="008F217B"/>
    <w:rsid w:val="00900103"/>
    <w:rsid w:val="00902858"/>
    <w:rsid w:val="00905B2A"/>
    <w:rsid w:val="00907CA7"/>
    <w:rsid w:val="00907DD3"/>
    <w:rsid w:val="009126A4"/>
    <w:rsid w:val="009149B1"/>
    <w:rsid w:val="0091771C"/>
    <w:rsid w:val="00917B0D"/>
    <w:rsid w:val="00917E5F"/>
    <w:rsid w:val="0092089A"/>
    <w:rsid w:val="0092435E"/>
    <w:rsid w:val="00924E16"/>
    <w:rsid w:val="00927E59"/>
    <w:rsid w:val="00936697"/>
    <w:rsid w:val="009433BD"/>
    <w:rsid w:val="009440A8"/>
    <w:rsid w:val="009451E3"/>
    <w:rsid w:val="00954B08"/>
    <w:rsid w:val="009618C8"/>
    <w:rsid w:val="00962526"/>
    <w:rsid w:val="00967FE1"/>
    <w:rsid w:val="00971591"/>
    <w:rsid w:val="009764FA"/>
    <w:rsid w:val="0098312F"/>
    <w:rsid w:val="0098629B"/>
    <w:rsid w:val="00990158"/>
    <w:rsid w:val="009A005D"/>
    <w:rsid w:val="009A4D51"/>
    <w:rsid w:val="009B1B86"/>
    <w:rsid w:val="009B3BE2"/>
    <w:rsid w:val="009B4556"/>
    <w:rsid w:val="009C09C9"/>
    <w:rsid w:val="009C16BD"/>
    <w:rsid w:val="009C6A8D"/>
    <w:rsid w:val="009D3953"/>
    <w:rsid w:val="009D6E69"/>
    <w:rsid w:val="009E3957"/>
    <w:rsid w:val="009E3F33"/>
    <w:rsid w:val="009E6424"/>
    <w:rsid w:val="009F196B"/>
    <w:rsid w:val="009F266B"/>
    <w:rsid w:val="009F364F"/>
    <w:rsid w:val="009F6122"/>
    <w:rsid w:val="00A047D2"/>
    <w:rsid w:val="00A1028B"/>
    <w:rsid w:val="00A21CFA"/>
    <w:rsid w:val="00A229A3"/>
    <w:rsid w:val="00A30EA4"/>
    <w:rsid w:val="00A310C6"/>
    <w:rsid w:val="00A3263A"/>
    <w:rsid w:val="00A37FBC"/>
    <w:rsid w:val="00A42ADB"/>
    <w:rsid w:val="00A43902"/>
    <w:rsid w:val="00A5105D"/>
    <w:rsid w:val="00A53502"/>
    <w:rsid w:val="00A56CA8"/>
    <w:rsid w:val="00A703F4"/>
    <w:rsid w:val="00A74C49"/>
    <w:rsid w:val="00A80024"/>
    <w:rsid w:val="00A835FA"/>
    <w:rsid w:val="00A84719"/>
    <w:rsid w:val="00A97BA9"/>
    <w:rsid w:val="00AA5DD8"/>
    <w:rsid w:val="00AA5F15"/>
    <w:rsid w:val="00AB4489"/>
    <w:rsid w:val="00AC0C65"/>
    <w:rsid w:val="00AC119B"/>
    <w:rsid w:val="00AC3724"/>
    <w:rsid w:val="00AC47D0"/>
    <w:rsid w:val="00AC5B75"/>
    <w:rsid w:val="00AE1B40"/>
    <w:rsid w:val="00AF07F1"/>
    <w:rsid w:val="00AF450A"/>
    <w:rsid w:val="00B00D18"/>
    <w:rsid w:val="00B01AEF"/>
    <w:rsid w:val="00B02709"/>
    <w:rsid w:val="00B04A7C"/>
    <w:rsid w:val="00B104C3"/>
    <w:rsid w:val="00B15DFF"/>
    <w:rsid w:val="00B17161"/>
    <w:rsid w:val="00B3263B"/>
    <w:rsid w:val="00B32E7E"/>
    <w:rsid w:val="00B42B9E"/>
    <w:rsid w:val="00B46540"/>
    <w:rsid w:val="00B47236"/>
    <w:rsid w:val="00B47702"/>
    <w:rsid w:val="00B52CA8"/>
    <w:rsid w:val="00B53473"/>
    <w:rsid w:val="00B57222"/>
    <w:rsid w:val="00B57911"/>
    <w:rsid w:val="00B6361C"/>
    <w:rsid w:val="00B73BFB"/>
    <w:rsid w:val="00B751E0"/>
    <w:rsid w:val="00B851CD"/>
    <w:rsid w:val="00B92487"/>
    <w:rsid w:val="00B96FBB"/>
    <w:rsid w:val="00B97704"/>
    <w:rsid w:val="00B9781A"/>
    <w:rsid w:val="00BA4D1D"/>
    <w:rsid w:val="00BA5782"/>
    <w:rsid w:val="00BB17AC"/>
    <w:rsid w:val="00BB5CA4"/>
    <w:rsid w:val="00BC4A4E"/>
    <w:rsid w:val="00BC6219"/>
    <w:rsid w:val="00BD161D"/>
    <w:rsid w:val="00BE1484"/>
    <w:rsid w:val="00BE3EF8"/>
    <w:rsid w:val="00BE54E6"/>
    <w:rsid w:val="00BE55F6"/>
    <w:rsid w:val="00BE6408"/>
    <w:rsid w:val="00BF2B78"/>
    <w:rsid w:val="00C02B8B"/>
    <w:rsid w:val="00C04DF9"/>
    <w:rsid w:val="00C060AE"/>
    <w:rsid w:val="00C07FFB"/>
    <w:rsid w:val="00C10522"/>
    <w:rsid w:val="00C11513"/>
    <w:rsid w:val="00C14A14"/>
    <w:rsid w:val="00C154F7"/>
    <w:rsid w:val="00C20719"/>
    <w:rsid w:val="00C231B4"/>
    <w:rsid w:val="00C246BC"/>
    <w:rsid w:val="00C25103"/>
    <w:rsid w:val="00C26427"/>
    <w:rsid w:val="00C26468"/>
    <w:rsid w:val="00C27281"/>
    <w:rsid w:val="00C30949"/>
    <w:rsid w:val="00C32D55"/>
    <w:rsid w:val="00C336C4"/>
    <w:rsid w:val="00C36E79"/>
    <w:rsid w:val="00C42BD0"/>
    <w:rsid w:val="00C430E9"/>
    <w:rsid w:val="00C43ED2"/>
    <w:rsid w:val="00C5348E"/>
    <w:rsid w:val="00C53FAB"/>
    <w:rsid w:val="00C554DF"/>
    <w:rsid w:val="00C616D1"/>
    <w:rsid w:val="00C70B82"/>
    <w:rsid w:val="00C72952"/>
    <w:rsid w:val="00C72F7A"/>
    <w:rsid w:val="00C73AC8"/>
    <w:rsid w:val="00C73F2E"/>
    <w:rsid w:val="00C86F82"/>
    <w:rsid w:val="00C91D7E"/>
    <w:rsid w:val="00C93073"/>
    <w:rsid w:val="00C94E89"/>
    <w:rsid w:val="00CA43A0"/>
    <w:rsid w:val="00CA4BC3"/>
    <w:rsid w:val="00CA6083"/>
    <w:rsid w:val="00CB4956"/>
    <w:rsid w:val="00CC0DF2"/>
    <w:rsid w:val="00CC34FC"/>
    <w:rsid w:val="00CC6750"/>
    <w:rsid w:val="00CC7947"/>
    <w:rsid w:val="00CD2E54"/>
    <w:rsid w:val="00CD7769"/>
    <w:rsid w:val="00CE372B"/>
    <w:rsid w:val="00CF2650"/>
    <w:rsid w:val="00CF4DB7"/>
    <w:rsid w:val="00CF4F89"/>
    <w:rsid w:val="00CF57C7"/>
    <w:rsid w:val="00D0046F"/>
    <w:rsid w:val="00D032EF"/>
    <w:rsid w:val="00D038BC"/>
    <w:rsid w:val="00D0401D"/>
    <w:rsid w:val="00D05B43"/>
    <w:rsid w:val="00D10162"/>
    <w:rsid w:val="00D13348"/>
    <w:rsid w:val="00D171D8"/>
    <w:rsid w:val="00D20917"/>
    <w:rsid w:val="00D24EFE"/>
    <w:rsid w:val="00D2621B"/>
    <w:rsid w:val="00D35E82"/>
    <w:rsid w:val="00D411BB"/>
    <w:rsid w:val="00D529B8"/>
    <w:rsid w:val="00D52DE9"/>
    <w:rsid w:val="00D54378"/>
    <w:rsid w:val="00D57FF0"/>
    <w:rsid w:val="00D60A59"/>
    <w:rsid w:val="00D641D8"/>
    <w:rsid w:val="00D65D8C"/>
    <w:rsid w:val="00D7033A"/>
    <w:rsid w:val="00D72068"/>
    <w:rsid w:val="00D7364E"/>
    <w:rsid w:val="00D75657"/>
    <w:rsid w:val="00D8302C"/>
    <w:rsid w:val="00D9288D"/>
    <w:rsid w:val="00D93313"/>
    <w:rsid w:val="00D94AB7"/>
    <w:rsid w:val="00D979AE"/>
    <w:rsid w:val="00DA0C45"/>
    <w:rsid w:val="00DA3B70"/>
    <w:rsid w:val="00DA6258"/>
    <w:rsid w:val="00DB2103"/>
    <w:rsid w:val="00DB7381"/>
    <w:rsid w:val="00DC1A26"/>
    <w:rsid w:val="00DC3E9A"/>
    <w:rsid w:val="00DD062C"/>
    <w:rsid w:val="00DD3C1C"/>
    <w:rsid w:val="00DD5063"/>
    <w:rsid w:val="00DD5B9E"/>
    <w:rsid w:val="00DE2529"/>
    <w:rsid w:val="00DE3092"/>
    <w:rsid w:val="00DE366B"/>
    <w:rsid w:val="00DE66E9"/>
    <w:rsid w:val="00DE6CC7"/>
    <w:rsid w:val="00DF02B9"/>
    <w:rsid w:val="00DF3D1A"/>
    <w:rsid w:val="00DF66AA"/>
    <w:rsid w:val="00E13412"/>
    <w:rsid w:val="00E173F5"/>
    <w:rsid w:val="00E26ABF"/>
    <w:rsid w:val="00E330BB"/>
    <w:rsid w:val="00E34259"/>
    <w:rsid w:val="00E34CFC"/>
    <w:rsid w:val="00E41114"/>
    <w:rsid w:val="00E42145"/>
    <w:rsid w:val="00E431E8"/>
    <w:rsid w:val="00E46F3B"/>
    <w:rsid w:val="00E50303"/>
    <w:rsid w:val="00E51095"/>
    <w:rsid w:val="00E5301A"/>
    <w:rsid w:val="00E56129"/>
    <w:rsid w:val="00E5664F"/>
    <w:rsid w:val="00E62C82"/>
    <w:rsid w:val="00E62FF5"/>
    <w:rsid w:val="00E70BDF"/>
    <w:rsid w:val="00E71B30"/>
    <w:rsid w:val="00E73866"/>
    <w:rsid w:val="00E74A31"/>
    <w:rsid w:val="00E769E3"/>
    <w:rsid w:val="00E80ECE"/>
    <w:rsid w:val="00E819D8"/>
    <w:rsid w:val="00E8576E"/>
    <w:rsid w:val="00E85D48"/>
    <w:rsid w:val="00E862E7"/>
    <w:rsid w:val="00E87CC6"/>
    <w:rsid w:val="00E95637"/>
    <w:rsid w:val="00E971F6"/>
    <w:rsid w:val="00EB3D3E"/>
    <w:rsid w:val="00EC09B7"/>
    <w:rsid w:val="00ED42B1"/>
    <w:rsid w:val="00EE16C3"/>
    <w:rsid w:val="00EE4386"/>
    <w:rsid w:val="00EE523A"/>
    <w:rsid w:val="00F00C3A"/>
    <w:rsid w:val="00F07174"/>
    <w:rsid w:val="00F173D9"/>
    <w:rsid w:val="00F21000"/>
    <w:rsid w:val="00F2405C"/>
    <w:rsid w:val="00F24A36"/>
    <w:rsid w:val="00F25018"/>
    <w:rsid w:val="00F308A4"/>
    <w:rsid w:val="00F33015"/>
    <w:rsid w:val="00F377C1"/>
    <w:rsid w:val="00F459A3"/>
    <w:rsid w:val="00F4710E"/>
    <w:rsid w:val="00F51D4C"/>
    <w:rsid w:val="00F5247D"/>
    <w:rsid w:val="00F62319"/>
    <w:rsid w:val="00F63035"/>
    <w:rsid w:val="00F72D08"/>
    <w:rsid w:val="00F733A2"/>
    <w:rsid w:val="00F74355"/>
    <w:rsid w:val="00F83B9E"/>
    <w:rsid w:val="00F87158"/>
    <w:rsid w:val="00F96671"/>
    <w:rsid w:val="00F97EC1"/>
    <w:rsid w:val="00FA1E79"/>
    <w:rsid w:val="00FA72C1"/>
    <w:rsid w:val="00FA79BD"/>
    <w:rsid w:val="00FB65A8"/>
    <w:rsid w:val="00FB65EF"/>
    <w:rsid w:val="00FC5E5E"/>
    <w:rsid w:val="00FD0810"/>
    <w:rsid w:val="00FD0FF2"/>
    <w:rsid w:val="00FE0F31"/>
    <w:rsid w:val="00FE2B3D"/>
    <w:rsid w:val="00FE5B70"/>
    <w:rsid w:val="00FF6DE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F3EAD5C"/>
  <w14:defaultImageDpi w14:val="32767"/>
  <w15:docId w15:val="{9D74CAC8-0CB3-4517-9F22-1489FCE6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1EF"/>
    <w:pPr>
      <w:spacing w:line="240" w:lineRule="auto"/>
      <w:jc w:val="both"/>
    </w:pPr>
    <w:rPr>
      <w:rFonts w:ascii="Marianne" w:eastAsia="Times New Roman" w:hAnsi="Marianne" w:cs="Times New Roman"/>
      <w:sz w:val="22"/>
      <w:szCs w:val="24"/>
      <w:lang w:eastAsia="fr-FR"/>
    </w:rPr>
  </w:style>
  <w:style w:type="paragraph" w:styleId="Heading1">
    <w:name w:val="heading 1"/>
    <w:aliases w:val="titre 3 niveau 3"/>
    <w:basedOn w:val="Normal"/>
    <w:next w:val="Textedesaisie"/>
    <w:link w:val="Heading1Char"/>
    <w:uiPriority w:val="9"/>
    <w:rsid w:val="00431E8F"/>
    <w:pPr>
      <w:keepNext/>
      <w:keepLines/>
      <w:spacing w:before="480" w:after="240" w:line="280" w:lineRule="atLeast"/>
      <w:ind w:left="567"/>
      <w:outlineLvl w:val="0"/>
    </w:pPr>
    <w:rPr>
      <w:rFonts w:asciiTheme="majorHAnsi" w:eastAsiaTheme="majorEastAsia" w:hAnsiTheme="majorHAnsi" w:cstheme="majorBidi"/>
      <w:b/>
      <w:bCs/>
      <w:sz w:val="23"/>
      <w:szCs w:val="28"/>
      <w:u w:val="single"/>
    </w:rPr>
  </w:style>
  <w:style w:type="paragraph" w:styleId="Heading2">
    <w:name w:val="heading 2"/>
    <w:basedOn w:val="Normal"/>
    <w:next w:val="Normal"/>
    <w:link w:val="Heading2Char"/>
    <w:uiPriority w:val="9"/>
    <w:semiHidden/>
    <w:rsid w:val="00FA1E79"/>
    <w:pPr>
      <w:keepNext/>
      <w:keepLines/>
      <w:spacing w:before="300" w:line="220" w:lineRule="atLeast"/>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semiHidden/>
    <w:qFormat/>
    <w:rsid w:val="00FA1E79"/>
    <w:pPr>
      <w:keepNext/>
      <w:keepLines/>
      <w:spacing w:before="160" w:after="60" w:line="220" w:lineRule="atLeast"/>
      <w:outlineLvl w:val="2"/>
    </w:pPr>
    <w:rPr>
      <w:rFonts w:asciiTheme="majorHAnsi" w:eastAsiaTheme="majorEastAsia" w:hAnsiTheme="majorHAnsi" w:cstheme="majorBidi"/>
      <w:b/>
      <w:bCs/>
      <w:sz w:val="18"/>
      <w:szCs w:val="18"/>
    </w:rPr>
  </w:style>
  <w:style w:type="paragraph" w:styleId="Heading4">
    <w:name w:val="heading 4"/>
    <w:basedOn w:val="Normal"/>
    <w:next w:val="Normal"/>
    <w:link w:val="Heading4Char"/>
    <w:uiPriority w:val="9"/>
    <w:semiHidden/>
    <w:qFormat/>
    <w:rsid w:val="00FA1E79"/>
    <w:pPr>
      <w:keepNext/>
      <w:keepLines/>
      <w:spacing w:before="160" w:after="60" w:line="260" w:lineRule="atLeast"/>
      <w:outlineLvl w:val="3"/>
    </w:pPr>
    <w:rPr>
      <w:rFonts w:asciiTheme="majorHAnsi" w:eastAsiaTheme="majorEastAsia" w:hAnsiTheme="majorHAnsi" w:cstheme="majorBidi"/>
      <w:b/>
      <w:bCs/>
      <w:iCs/>
      <w:sz w:val="18"/>
      <w:szCs w:val="18"/>
    </w:rPr>
  </w:style>
  <w:style w:type="paragraph" w:styleId="Heading5">
    <w:name w:val="heading 5"/>
    <w:basedOn w:val="Normal"/>
    <w:next w:val="Normal"/>
    <w:link w:val="Heading5Char"/>
    <w:uiPriority w:val="9"/>
    <w:semiHidden/>
    <w:qFormat/>
    <w:rsid w:val="00FA1E79"/>
    <w:pPr>
      <w:keepNext/>
      <w:keepLines/>
      <w:spacing w:before="200" w:line="260" w:lineRule="atLeast"/>
      <w:outlineLvl w:val="4"/>
    </w:pPr>
    <w:rPr>
      <w:rFonts w:asciiTheme="majorHAnsi" w:eastAsiaTheme="majorEastAsia" w:hAnsiTheme="majorHAnsi" w:cstheme="majorBidi"/>
      <w:color w:val="243F60" w:themeColor="accent1" w:themeShade="7F"/>
      <w:sz w:val="18"/>
      <w:szCs w:val="18"/>
    </w:rPr>
  </w:style>
  <w:style w:type="paragraph" w:styleId="Heading6">
    <w:name w:val="heading 6"/>
    <w:basedOn w:val="Normal"/>
    <w:next w:val="Normal"/>
    <w:link w:val="Heading6Char"/>
    <w:uiPriority w:val="9"/>
    <w:semiHidden/>
    <w:qFormat/>
    <w:rsid w:val="00FA1E79"/>
    <w:pPr>
      <w:keepNext/>
      <w:keepLines/>
      <w:spacing w:before="200" w:line="260" w:lineRule="atLeast"/>
      <w:outlineLvl w:val="5"/>
    </w:pPr>
    <w:rPr>
      <w:rFonts w:asciiTheme="majorHAnsi" w:eastAsiaTheme="majorEastAsia" w:hAnsiTheme="majorHAnsi" w:cstheme="majorBidi"/>
      <w:i/>
      <w:iCs/>
      <w:color w:val="243F60" w:themeColor="accent1" w:themeShade="7F"/>
      <w:sz w:val="18"/>
      <w:szCs w:val="18"/>
    </w:rPr>
  </w:style>
  <w:style w:type="paragraph" w:styleId="Heading7">
    <w:name w:val="heading 7"/>
    <w:basedOn w:val="Normal"/>
    <w:next w:val="Normal"/>
    <w:link w:val="Heading7Char"/>
    <w:uiPriority w:val="9"/>
    <w:semiHidden/>
    <w:qFormat/>
    <w:rsid w:val="00FA1E79"/>
    <w:pPr>
      <w:keepNext/>
      <w:keepLines/>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Heading8">
    <w:name w:val="heading 8"/>
    <w:basedOn w:val="Normal"/>
    <w:next w:val="Normal"/>
    <w:link w:val="Heading8Char"/>
    <w:uiPriority w:val="9"/>
    <w:semiHidden/>
    <w:qFormat/>
    <w:rsid w:val="00FA1E79"/>
    <w:pPr>
      <w:keepNext/>
      <w:keepLines/>
      <w:spacing w:before="200" w:line="260" w:lineRule="atLeast"/>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FA1E79"/>
    <w:pPr>
      <w:keepNext/>
      <w:keepLines/>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2019AB"/>
    <w:pPr>
      <w:spacing w:line="240" w:lineRule="exact"/>
    </w:pPr>
  </w:style>
  <w:style w:type="character" w:customStyle="1" w:styleId="HeaderChar">
    <w:name w:val="Header Char"/>
    <w:basedOn w:val="DefaultParagraphFont"/>
    <w:link w:val="Header"/>
    <w:uiPriority w:val="99"/>
    <w:rsid w:val="002019AB"/>
    <w:rPr>
      <w:sz w:val="20"/>
    </w:rPr>
  </w:style>
  <w:style w:type="paragraph" w:styleId="Footer">
    <w:name w:val="footer"/>
    <w:link w:val="FooterChar"/>
    <w:uiPriority w:val="99"/>
    <w:unhideWhenUsed/>
    <w:rsid w:val="003C7C34"/>
    <w:pPr>
      <w:spacing w:line="240" w:lineRule="exact"/>
    </w:pPr>
  </w:style>
  <w:style w:type="character" w:customStyle="1" w:styleId="FooterChar">
    <w:name w:val="Footer Char"/>
    <w:basedOn w:val="DefaultParagraphFont"/>
    <w:link w:val="Footer"/>
    <w:uiPriority w:val="99"/>
    <w:rsid w:val="003C7C34"/>
    <w:rPr>
      <w:sz w:val="20"/>
    </w:rPr>
  </w:style>
  <w:style w:type="paragraph" w:styleId="BalloonText">
    <w:name w:val="Balloon Text"/>
    <w:basedOn w:val="Normal"/>
    <w:link w:val="BalloonTextChar"/>
    <w:uiPriority w:val="99"/>
    <w:semiHidden/>
    <w:unhideWhenUsed/>
    <w:rsid w:val="006B108E"/>
    <w:rPr>
      <w:rFonts w:ascii="Tahoma" w:hAnsi="Tahoma" w:cs="Tahoma"/>
      <w:sz w:val="16"/>
      <w:szCs w:val="16"/>
    </w:rPr>
  </w:style>
  <w:style w:type="character" w:customStyle="1" w:styleId="BalloonTextChar">
    <w:name w:val="Balloon Text Char"/>
    <w:basedOn w:val="DefaultParagraphFont"/>
    <w:link w:val="BalloonText"/>
    <w:uiPriority w:val="99"/>
    <w:semiHidden/>
    <w:rsid w:val="006B108E"/>
    <w:rPr>
      <w:rFonts w:ascii="Tahoma" w:hAnsi="Tahoma" w:cs="Tahoma"/>
      <w:sz w:val="16"/>
      <w:szCs w:val="16"/>
    </w:rPr>
  </w:style>
  <w:style w:type="table" w:styleId="TableGrid">
    <w:name w:val="Table Grid"/>
    <w:basedOn w:val="TableNormal"/>
    <w:uiPriority w:val="3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aliases w:val="EC,Paragraphe de liste11,Paragraphe de liste1,Puce,Colorful List Accent 1,List Paragraph (numbered (a)),List_Paragraph,Multilevel para_II,List Paragraph1,Rec para,Dot pt,F5 List Paragraph,No Spacing1,List Paragraph Char Char Char,L,3"/>
    <w:basedOn w:val="Normal"/>
    <w:link w:val="ListParagraphChar"/>
    <w:uiPriority w:val="34"/>
    <w:qFormat/>
    <w:rsid w:val="00FA1E79"/>
    <w:pPr>
      <w:ind w:left="720"/>
      <w:contextualSpacing/>
    </w:pPr>
  </w:style>
  <w:style w:type="character" w:customStyle="1" w:styleId="Heading1Char">
    <w:name w:val="Heading 1 Char"/>
    <w:aliases w:val="titre 3 niveau 3 Char"/>
    <w:basedOn w:val="DefaultParagraphFont"/>
    <w:link w:val="Heading1"/>
    <w:uiPriority w:val="9"/>
    <w:rsid w:val="00431E8F"/>
    <w:rPr>
      <w:rFonts w:asciiTheme="majorHAnsi" w:eastAsiaTheme="majorEastAsia" w:hAnsiTheme="majorHAnsi" w:cstheme="majorBidi"/>
      <w:b/>
      <w:bCs/>
      <w:sz w:val="23"/>
      <w:szCs w:val="28"/>
      <w:u w:val="single"/>
      <w:lang w:eastAsia="fr-FR"/>
    </w:rPr>
  </w:style>
  <w:style w:type="character" w:customStyle="1" w:styleId="Heading2Char">
    <w:name w:val="Heading 2 Char"/>
    <w:basedOn w:val="DefaultParagraphFont"/>
    <w:link w:val="Heading2"/>
    <w:uiPriority w:val="9"/>
    <w:semiHidden/>
    <w:rsid w:val="00962526"/>
    <w:rPr>
      <w:rFonts w:asciiTheme="majorHAnsi" w:eastAsiaTheme="majorEastAsia" w:hAnsiTheme="majorHAnsi" w:cstheme="majorBidi"/>
      <w:b/>
      <w:bCs/>
      <w:sz w:val="22"/>
      <w:szCs w:val="24"/>
      <w:lang w:eastAsia="fr-FR"/>
    </w:rPr>
  </w:style>
  <w:style w:type="character" w:customStyle="1" w:styleId="Heading3Char">
    <w:name w:val="Heading 3 Char"/>
    <w:basedOn w:val="DefaultParagraphFont"/>
    <w:link w:val="Heading3"/>
    <w:uiPriority w:val="9"/>
    <w:semiHidden/>
    <w:rsid w:val="00962526"/>
    <w:rPr>
      <w:rFonts w:asciiTheme="majorHAnsi" w:eastAsiaTheme="majorEastAsia" w:hAnsiTheme="majorHAnsi" w:cstheme="majorBidi"/>
      <w:b/>
      <w:bCs/>
      <w:sz w:val="18"/>
      <w:szCs w:val="18"/>
      <w:lang w:eastAsia="fr-FR"/>
    </w:rPr>
  </w:style>
  <w:style w:type="character" w:customStyle="1" w:styleId="Heading4Char">
    <w:name w:val="Heading 4 Char"/>
    <w:basedOn w:val="DefaultParagraphFont"/>
    <w:link w:val="Heading4"/>
    <w:uiPriority w:val="9"/>
    <w:semiHidden/>
    <w:rsid w:val="00962526"/>
    <w:rPr>
      <w:rFonts w:asciiTheme="majorHAnsi" w:eastAsiaTheme="majorEastAsia" w:hAnsiTheme="majorHAnsi" w:cstheme="majorBidi"/>
      <w:b/>
      <w:bCs/>
      <w:iCs/>
      <w:sz w:val="18"/>
      <w:szCs w:val="18"/>
      <w:lang w:eastAsia="fr-FR"/>
    </w:rPr>
  </w:style>
  <w:style w:type="character" w:customStyle="1" w:styleId="Heading5Char">
    <w:name w:val="Heading 5 Char"/>
    <w:basedOn w:val="DefaultParagraphFont"/>
    <w:link w:val="Heading5"/>
    <w:uiPriority w:val="9"/>
    <w:semiHidden/>
    <w:rsid w:val="00FA1E79"/>
    <w:rPr>
      <w:rFonts w:asciiTheme="majorHAnsi" w:eastAsiaTheme="majorEastAsia" w:hAnsiTheme="majorHAnsi" w:cstheme="majorBidi"/>
      <w:color w:val="243F60" w:themeColor="accent1" w:themeShade="7F"/>
      <w:sz w:val="18"/>
      <w:szCs w:val="18"/>
      <w:lang w:eastAsia="fr-FR"/>
    </w:rPr>
  </w:style>
  <w:style w:type="character" w:customStyle="1" w:styleId="Heading6Char">
    <w:name w:val="Heading 6 Char"/>
    <w:basedOn w:val="DefaultParagraphFont"/>
    <w:link w:val="Heading6"/>
    <w:uiPriority w:val="9"/>
    <w:semiHidden/>
    <w:rsid w:val="00FA1E79"/>
    <w:rPr>
      <w:rFonts w:asciiTheme="majorHAnsi" w:eastAsiaTheme="majorEastAsia" w:hAnsiTheme="majorHAnsi" w:cstheme="majorBidi"/>
      <w:i/>
      <w:iCs/>
      <w:color w:val="243F60" w:themeColor="accent1" w:themeShade="7F"/>
      <w:sz w:val="18"/>
      <w:szCs w:val="18"/>
      <w:lang w:eastAsia="fr-FR"/>
    </w:rPr>
  </w:style>
  <w:style w:type="character" w:customStyle="1" w:styleId="Heading7Char">
    <w:name w:val="Heading 7 Char"/>
    <w:basedOn w:val="DefaultParagraphFont"/>
    <w:link w:val="Heading7"/>
    <w:uiPriority w:val="9"/>
    <w:semiHidden/>
    <w:rsid w:val="00FA1E79"/>
    <w:rPr>
      <w:rFonts w:asciiTheme="majorHAnsi" w:eastAsiaTheme="majorEastAsia" w:hAnsiTheme="majorHAnsi" w:cstheme="majorBidi"/>
      <w:i/>
      <w:iCs/>
      <w:color w:val="404040" w:themeColor="text1" w:themeTint="BF"/>
      <w:sz w:val="18"/>
      <w:szCs w:val="18"/>
      <w:lang w:eastAsia="fr-FR"/>
    </w:rPr>
  </w:style>
  <w:style w:type="character" w:customStyle="1" w:styleId="Heading8Char">
    <w:name w:val="Heading 8 Char"/>
    <w:basedOn w:val="DefaultParagraphFont"/>
    <w:link w:val="Heading8"/>
    <w:uiPriority w:val="9"/>
    <w:semiHidden/>
    <w:rsid w:val="00FA1E79"/>
    <w:rPr>
      <w:rFonts w:asciiTheme="majorHAnsi" w:eastAsiaTheme="majorEastAsia" w:hAnsiTheme="majorHAnsi" w:cstheme="majorBidi"/>
      <w:color w:val="404040" w:themeColor="text1" w:themeTint="BF"/>
      <w:sz w:val="21"/>
      <w:szCs w:val="24"/>
      <w:lang w:eastAsia="fr-FR"/>
    </w:rPr>
  </w:style>
  <w:style w:type="character" w:customStyle="1" w:styleId="Heading9Char">
    <w:name w:val="Heading 9 Char"/>
    <w:basedOn w:val="DefaultParagraphFont"/>
    <w:link w:val="Heading9"/>
    <w:uiPriority w:val="9"/>
    <w:semiHidden/>
    <w:rsid w:val="00FA1E79"/>
    <w:rPr>
      <w:rFonts w:asciiTheme="majorHAnsi" w:eastAsiaTheme="majorEastAsia" w:hAnsiTheme="majorHAnsi" w:cstheme="majorBidi"/>
      <w:i/>
      <w:iCs/>
      <w:color w:val="404040" w:themeColor="text1" w:themeTint="BF"/>
      <w:sz w:val="21"/>
      <w:szCs w:val="24"/>
      <w:lang w:eastAsia="fr-FR"/>
    </w:rPr>
  </w:style>
  <w:style w:type="paragraph" w:customStyle="1" w:styleId="Textepuce1">
    <w:name w:val="Texte puce 1"/>
    <w:basedOn w:val="ListParagraph"/>
    <w:rsid w:val="00224DF6"/>
    <w:pPr>
      <w:numPr>
        <w:numId w:val="1"/>
      </w:numPr>
      <w:adjustRightInd w:val="0"/>
      <w:snapToGrid w:val="0"/>
      <w:spacing w:before="120" w:after="120" w:line="240" w:lineRule="atLeast"/>
      <w:ind w:left="924" w:hanging="357"/>
      <w:contextualSpacing w:val="0"/>
    </w:pPr>
    <w:rPr>
      <w:sz w:val="19"/>
      <w:szCs w:val="18"/>
    </w:rPr>
  </w:style>
  <w:style w:type="paragraph" w:customStyle="1" w:styleId="Textedesaisie">
    <w:name w:val="Texte de saisie"/>
    <w:basedOn w:val="Normal"/>
    <w:qFormat/>
    <w:rsid w:val="00224DF6"/>
    <w:pPr>
      <w:snapToGrid w:val="0"/>
      <w:spacing w:after="120" w:line="240" w:lineRule="atLeast"/>
      <w:ind w:left="567" w:right="567"/>
    </w:pPr>
    <w:rPr>
      <w:rFonts w:asciiTheme="minorHAnsi" w:hAnsiTheme="minorHAnsi"/>
      <w:sz w:val="19"/>
    </w:rPr>
  </w:style>
  <w:style w:type="paragraph" w:styleId="Title">
    <w:name w:val="Title"/>
    <w:basedOn w:val="Normal"/>
    <w:next w:val="Normal"/>
    <w:link w:val="TitleChar"/>
    <w:uiPriority w:val="10"/>
    <w:rsid w:val="00051E06"/>
    <w:pPr>
      <w:contextualSpacing/>
    </w:pPr>
    <w:rPr>
      <w:rFonts w:asciiTheme="majorHAnsi" w:eastAsiaTheme="majorEastAsia" w:hAnsiTheme="majorHAnsi" w:cstheme="majorBidi"/>
      <w:spacing w:val="-10"/>
      <w:kern w:val="28"/>
      <w:sz w:val="56"/>
      <w:szCs w:val="56"/>
    </w:rPr>
  </w:style>
  <w:style w:type="paragraph" w:customStyle="1" w:styleId="Titre4niveau4">
    <w:name w:val="Titre 4 niveau 4"/>
    <w:basedOn w:val="Heading4"/>
    <w:autoRedefine/>
    <w:qFormat/>
    <w:rsid w:val="00B04A7C"/>
    <w:pPr>
      <w:numPr>
        <w:ilvl w:val="2"/>
        <w:numId w:val="34"/>
      </w:numPr>
    </w:pPr>
    <w:rPr>
      <w:sz w:val="21"/>
    </w:rPr>
  </w:style>
  <w:style w:type="paragraph" w:customStyle="1" w:styleId="Titre3Niveau3">
    <w:name w:val="Titre 3 Niveau 3"/>
    <w:basedOn w:val="Heading3"/>
    <w:next w:val="Normal"/>
    <w:autoRedefine/>
    <w:qFormat/>
    <w:rsid w:val="00B04A7C"/>
    <w:pPr>
      <w:numPr>
        <w:ilvl w:val="1"/>
        <w:numId w:val="13"/>
      </w:numPr>
    </w:pPr>
    <w:rPr>
      <w:sz w:val="24"/>
    </w:rPr>
  </w:style>
  <w:style w:type="paragraph" w:customStyle="1" w:styleId="Texte-Adresseligne1">
    <w:name w:val="Texte - Adresse ligne 1"/>
    <w:basedOn w:val="Date"/>
    <w:rsid w:val="003F14FD"/>
    <w:pPr>
      <w:framePr w:w="9979" w:h="936" w:wrap="notBeside" w:vAnchor="page" w:hAnchor="page" w:xAlign="center" w:yAlign="bottom" w:anchorLock="1"/>
    </w:pPr>
  </w:style>
  <w:style w:type="character" w:customStyle="1" w:styleId="TitleChar">
    <w:name w:val="Title Char"/>
    <w:basedOn w:val="DefaultParagraphFont"/>
    <w:link w:val="Title"/>
    <w:uiPriority w:val="10"/>
    <w:rsid w:val="00051E06"/>
    <w:rPr>
      <w:rFonts w:asciiTheme="majorHAnsi" w:eastAsiaTheme="majorEastAsia" w:hAnsiTheme="majorHAnsi" w:cstheme="majorBidi"/>
      <w:spacing w:val="-10"/>
      <w:kern w:val="28"/>
      <w:sz w:val="56"/>
      <w:szCs w:val="56"/>
      <w:lang w:eastAsia="fr-FR"/>
    </w:rPr>
  </w:style>
  <w:style w:type="paragraph" w:customStyle="1" w:styleId="Titre2Niveau2">
    <w:name w:val="Titre 2 Niveau 2"/>
    <w:basedOn w:val="Heading2"/>
    <w:next w:val="Normal"/>
    <w:qFormat/>
    <w:rsid w:val="00C246BC"/>
    <w:pPr>
      <w:numPr>
        <w:numId w:val="34"/>
      </w:numPr>
      <w:snapToGrid w:val="0"/>
      <w:spacing w:before="720" w:after="360"/>
      <w:ind w:right="28"/>
    </w:pPr>
    <w:rPr>
      <w:rFonts w:ascii="Marianne Light" w:eastAsiaTheme="minorEastAsia" w:hAnsi="Marianne Light" w:cs="Times New Roman"/>
      <w:b w:val="0"/>
      <w:spacing w:val="15"/>
      <w:sz w:val="32"/>
      <w:szCs w:val="22"/>
    </w:rPr>
  </w:style>
  <w:style w:type="paragraph" w:styleId="Subtitle">
    <w:name w:val="Subtitle"/>
    <w:basedOn w:val="Normal"/>
    <w:next w:val="Normal"/>
    <w:link w:val="SubtitleChar"/>
    <w:uiPriority w:val="11"/>
    <w:rsid w:val="00051E06"/>
    <w:pPr>
      <w:numPr>
        <w:ilvl w:val="1"/>
      </w:numPr>
      <w:spacing w:after="160"/>
    </w:pPr>
    <w:rPr>
      <w:rFonts w:asciiTheme="minorHAnsi" w:eastAsiaTheme="minorEastAsia" w:hAnsiTheme="minorHAnsi" w:cstheme="minorBidi"/>
      <w:color w:val="5A5A5A" w:themeColor="text1" w:themeTint="A5"/>
      <w:spacing w:val="15"/>
      <w:szCs w:val="22"/>
    </w:rPr>
  </w:style>
  <w:style w:type="paragraph" w:customStyle="1" w:styleId="Texte-Pieddepage">
    <w:name w:val="Texte - Pied de page"/>
    <w:basedOn w:val="Normal"/>
    <w:qFormat/>
    <w:rsid w:val="003F14FD"/>
    <w:pPr>
      <w:framePr w:w="9979" w:h="964" w:wrap="notBeside" w:vAnchor="page" w:hAnchor="page" w:xAlign="center" w:yAlign="bottom" w:anchorLock="1"/>
      <w:spacing w:line="192" w:lineRule="atLeast"/>
    </w:pPr>
    <w:rPr>
      <w:sz w:val="16"/>
      <w:lang w:val="en-US"/>
    </w:rPr>
  </w:style>
  <w:style w:type="paragraph" w:customStyle="1" w:styleId="Pagination">
    <w:name w:val="Pagination"/>
    <w:basedOn w:val="Normal"/>
    <w:qFormat/>
    <w:rsid w:val="001A5DDF"/>
    <w:pPr>
      <w:framePr w:w="9979" w:h="964" w:wrap="notBeside" w:vAnchor="page" w:hAnchor="page" w:xAlign="center" w:yAlign="bottom" w:anchorLock="1"/>
      <w:spacing w:line="192" w:lineRule="atLeast"/>
      <w:jc w:val="center"/>
    </w:pPr>
    <w:rPr>
      <w:sz w:val="16"/>
      <w:lang w:val="en-US"/>
    </w:rPr>
  </w:style>
  <w:style w:type="paragraph" w:styleId="Date">
    <w:name w:val="Date"/>
    <w:basedOn w:val="Normal"/>
    <w:next w:val="Normal"/>
    <w:link w:val="DateChar"/>
    <w:uiPriority w:val="99"/>
    <w:rsid w:val="00836655"/>
    <w:pPr>
      <w:spacing w:line="192" w:lineRule="atLeast"/>
      <w:jc w:val="right"/>
    </w:pPr>
    <w:rPr>
      <w:sz w:val="16"/>
    </w:rPr>
  </w:style>
  <w:style w:type="character" w:customStyle="1" w:styleId="DateChar">
    <w:name w:val="Date Char"/>
    <w:basedOn w:val="DefaultParagraphFont"/>
    <w:link w:val="Date"/>
    <w:uiPriority w:val="99"/>
    <w:rsid w:val="00836655"/>
    <w:rPr>
      <w:sz w:val="16"/>
    </w:rPr>
  </w:style>
  <w:style w:type="paragraph" w:customStyle="1" w:styleId="Texte-Pieddepageintitul">
    <w:name w:val="Texte - Pied de page intitulé"/>
    <w:basedOn w:val="Texte-Pieddepage"/>
    <w:qFormat/>
    <w:rsid w:val="00217EF0"/>
    <w:pPr>
      <w:framePr w:w="0" w:hRule="auto" w:wrap="around" w:anchorLock="0"/>
      <w:spacing w:after="85"/>
    </w:pPr>
    <w:rPr>
      <w:b/>
    </w:rPr>
  </w:style>
  <w:style w:type="paragraph" w:customStyle="1" w:styleId="Titre1Niveau1">
    <w:name w:val="Titre 1 Niveau 1"/>
    <w:basedOn w:val="Heading1"/>
    <w:next w:val="Normal"/>
    <w:link w:val="Titre1Niveau1Car"/>
    <w:autoRedefine/>
    <w:qFormat/>
    <w:rsid w:val="007C589E"/>
    <w:pPr>
      <w:spacing w:after="360" w:line="260" w:lineRule="atLeast"/>
      <w:ind w:left="289" w:right="28"/>
      <w:jc w:val="center"/>
    </w:pPr>
    <w:rPr>
      <w:rFonts w:ascii="Marianne" w:hAnsi="Marianne"/>
      <w:b w:val="0"/>
      <w:spacing w:val="-10"/>
      <w:kern w:val="28"/>
      <w:sz w:val="48"/>
      <w:szCs w:val="56"/>
      <w:u w:val="none"/>
    </w:rPr>
  </w:style>
  <w:style w:type="paragraph" w:styleId="HTMLPreformatted">
    <w:name w:val="HTML Preformatted"/>
    <w:basedOn w:val="Normal"/>
    <w:link w:val="HTMLPreformattedChar"/>
    <w:uiPriority w:val="99"/>
    <w:semiHidden/>
    <w:unhideWhenUsed/>
    <w:rsid w:val="00DE2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DE2529"/>
    <w:rPr>
      <w:rFonts w:ascii="Courier New" w:eastAsia="Times New Roman" w:hAnsi="Courier New" w:cs="Courier New"/>
      <w:lang w:eastAsia="fr-FR"/>
    </w:rPr>
  </w:style>
  <w:style w:type="paragraph" w:customStyle="1" w:styleId="Titrerapport">
    <w:name w:val="Titre rapport"/>
    <w:basedOn w:val="Normal"/>
    <w:rsid w:val="004B4E41"/>
    <w:pPr>
      <w:spacing w:line="264" w:lineRule="auto"/>
    </w:pPr>
    <w:rPr>
      <w:rFonts w:cs="Arial"/>
      <w:b/>
      <w:sz w:val="80"/>
      <w:szCs w:val="60"/>
    </w:rPr>
  </w:style>
  <w:style w:type="paragraph" w:customStyle="1" w:styleId="Sommaire">
    <w:name w:val="Sommaire"/>
    <w:basedOn w:val="Normal"/>
    <w:rsid w:val="00B104C3"/>
    <w:pPr>
      <w:spacing w:before="1800" w:after="240" w:line="288" w:lineRule="auto"/>
      <w:ind w:left="1418" w:right="1418"/>
    </w:pPr>
    <w:rPr>
      <w:b/>
      <w:caps/>
      <w:sz w:val="36"/>
      <w:szCs w:val="22"/>
    </w:rPr>
  </w:style>
  <w:style w:type="character" w:customStyle="1" w:styleId="SubtitleChar">
    <w:name w:val="Subtitle Char"/>
    <w:basedOn w:val="DefaultParagraphFont"/>
    <w:link w:val="Subtitle"/>
    <w:uiPriority w:val="11"/>
    <w:rsid w:val="00051E06"/>
    <w:rPr>
      <w:rFonts w:eastAsiaTheme="minorEastAsia"/>
      <w:color w:val="5A5A5A" w:themeColor="text1" w:themeTint="A5"/>
      <w:spacing w:val="15"/>
      <w:sz w:val="22"/>
      <w:szCs w:val="22"/>
      <w:lang w:eastAsia="fr-FR"/>
    </w:rPr>
  </w:style>
  <w:style w:type="numbering" w:customStyle="1" w:styleId="Numbering1">
    <w:name w:val="Numbering 1"/>
    <w:basedOn w:val="NoList"/>
    <w:rsid w:val="006D2D4D"/>
    <w:pPr>
      <w:numPr>
        <w:numId w:val="3"/>
      </w:numPr>
    </w:pPr>
  </w:style>
  <w:style w:type="numbering" w:customStyle="1" w:styleId="List1">
    <w:name w:val="List 1"/>
    <w:basedOn w:val="NoList"/>
    <w:rsid w:val="006D2D4D"/>
    <w:pPr>
      <w:numPr>
        <w:numId w:val="4"/>
      </w:numPr>
    </w:pPr>
  </w:style>
  <w:style w:type="paragraph" w:customStyle="1" w:styleId="Documenttextecot">
    <w:name w:val="Document texte coté"/>
    <w:basedOn w:val="Normal"/>
    <w:rsid w:val="00344B87"/>
    <w:pPr>
      <w:spacing w:line="264" w:lineRule="auto"/>
    </w:pPr>
    <w:rPr>
      <w:rFonts w:cs="Arial"/>
      <w:b/>
      <w:color w:val="595959" w:themeColor="text1" w:themeTint="A6"/>
      <w:szCs w:val="22"/>
    </w:rPr>
  </w:style>
  <w:style w:type="paragraph" w:customStyle="1" w:styleId="Prambule">
    <w:name w:val="Préambule"/>
    <w:basedOn w:val="Normal"/>
    <w:rsid w:val="00B00D18"/>
    <w:pPr>
      <w:spacing w:after="120" w:line="264" w:lineRule="auto"/>
      <w:ind w:left="1418" w:right="1134"/>
    </w:pPr>
    <w:rPr>
      <w:rFonts w:asciiTheme="minorHAnsi" w:hAnsiTheme="minorHAnsi"/>
      <w:b/>
      <w:i/>
      <w:szCs w:val="22"/>
    </w:rPr>
  </w:style>
  <w:style w:type="character" w:styleId="SubtleEmphasis">
    <w:name w:val="Subtle Emphasis"/>
    <w:basedOn w:val="DefaultParagraphFont"/>
    <w:uiPriority w:val="19"/>
    <w:rsid w:val="00051E06"/>
    <w:rPr>
      <w:i/>
      <w:iCs/>
      <w:color w:val="404040" w:themeColor="text1" w:themeTint="BF"/>
    </w:rPr>
  </w:style>
  <w:style w:type="paragraph" w:styleId="NormalWeb">
    <w:name w:val="Normal (Web)"/>
    <w:basedOn w:val="Normal"/>
    <w:uiPriority w:val="99"/>
    <w:unhideWhenUsed/>
    <w:rsid w:val="005B6CB5"/>
    <w:pPr>
      <w:spacing w:before="100" w:beforeAutospacing="1" w:after="100" w:afterAutospacing="1"/>
    </w:pPr>
    <w:rPr>
      <w:rFonts w:ascii="Times New Roman" w:hAnsi="Times New Roman"/>
    </w:rPr>
  </w:style>
  <w:style w:type="paragraph" w:customStyle="1" w:styleId="Sommaire-texteniveau1">
    <w:name w:val="Sommaire -texte niveau 1"/>
    <w:basedOn w:val="Textedesaisie"/>
    <w:qFormat/>
    <w:rsid w:val="00D0401D"/>
    <w:pPr>
      <w:tabs>
        <w:tab w:val="right" w:pos="709"/>
      </w:tabs>
      <w:spacing w:after="240"/>
      <w:ind w:left="1701" w:right="1134"/>
    </w:pPr>
    <w:rPr>
      <w:caps/>
    </w:rPr>
  </w:style>
  <w:style w:type="paragraph" w:customStyle="1" w:styleId="sommainetexteniveau2">
    <w:name w:val="sommaine texte niveau 2"/>
    <w:basedOn w:val="Normal"/>
    <w:qFormat/>
    <w:rsid w:val="00D0401D"/>
    <w:pPr>
      <w:spacing w:after="120"/>
      <w:ind w:left="1814" w:right="1134"/>
    </w:pPr>
    <w:rPr>
      <w:b/>
    </w:rPr>
  </w:style>
  <w:style w:type="paragraph" w:customStyle="1" w:styleId="textepuce2">
    <w:name w:val="texte puce 2"/>
    <w:basedOn w:val="Textepuce1"/>
    <w:qFormat/>
    <w:rsid w:val="005D07B9"/>
    <w:pPr>
      <w:numPr>
        <w:numId w:val="2"/>
      </w:numPr>
      <w:tabs>
        <w:tab w:val="left" w:pos="567"/>
      </w:tabs>
    </w:pPr>
  </w:style>
  <w:style w:type="paragraph" w:customStyle="1" w:styleId="Sommairetexteniveau3">
    <w:name w:val="Sommaire texte niveau 3"/>
    <w:basedOn w:val="Normal"/>
    <w:qFormat/>
    <w:rsid w:val="00D0401D"/>
    <w:pPr>
      <w:spacing w:after="120"/>
      <w:ind w:left="1985" w:right="1134"/>
    </w:pPr>
  </w:style>
  <w:style w:type="paragraph" w:styleId="TOC1">
    <w:name w:val="toc 1"/>
    <w:basedOn w:val="Normal"/>
    <w:next w:val="Normal"/>
    <w:autoRedefine/>
    <w:uiPriority w:val="39"/>
    <w:unhideWhenUsed/>
    <w:rsid w:val="00811B0F"/>
    <w:pPr>
      <w:tabs>
        <w:tab w:val="right" w:leader="dot" w:pos="9854"/>
      </w:tabs>
      <w:spacing w:before="120" w:after="120"/>
    </w:pPr>
    <w:rPr>
      <w:rFonts w:asciiTheme="minorHAnsi" w:hAnsiTheme="minorHAnsi"/>
      <w:b/>
      <w:bCs/>
      <w:caps/>
      <w:szCs w:val="20"/>
    </w:rPr>
  </w:style>
  <w:style w:type="paragraph" w:styleId="TOC2">
    <w:name w:val="toc 2"/>
    <w:basedOn w:val="Normal"/>
    <w:next w:val="Normal"/>
    <w:autoRedefine/>
    <w:uiPriority w:val="39"/>
    <w:unhideWhenUsed/>
    <w:rsid w:val="00837EFF"/>
    <w:pPr>
      <w:ind w:left="200"/>
    </w:pPr>
    <w:rPr>
      <w:rFonts w:asciiTheme="minorHAnsi" w:hAnsiTheme="minorHAnsi"/>
      <w:smallCaps/>
      <w:szCs w:val="20"/>
    </w:rPr>
  </w:style>
  <w:style w:type="paragraph" w:styleId="TOC3">
    <w:name w:val="toc 3"/>
    <w:basedOn w:val="Normal"/>
    <w:next w:val="Normal"/>
    <w:autoRedefine/>
    <w:uiPriority w:val="39"/>
    <w:unhideWhenUsed/>
    <w:rsid w:val="00837EFF"/>
    <w:pPr>
      <w:ind w:left="400"/>
    </w:pPr>
    <w:rPr>
      <w:rFonts w:asciiTheme="minorHAnsi" w:hAnsiTheme="minorHAnsi"/>
      <w:i/>
      <w:iCs/>
      <w:szCs w:val="20"/>
    </w:rPr>
  </w:style>
  <w:style w:type="paragraph" w:customStyle="1" w:styleId="Soustitrerapport">
    <w:name w:val="Sous titre rapport"/>
    <w:basedOn w:val="NormalWeb"/>
    <w:qFormat/>
    <w:rsid w:val="00BE6408"/>
    <w:rPr>
      <w:rFonts w:ascii="Marianne" w:hAnsi="Marianne"/>
      <w:b/>
      <w:bCs/>
      <w:i/>
      <w:iCs/>
      <w:color w:val="000000" w:themeColor="text1"/>
      <w:sz w:val="44"/>
      <w:szCs w:val="44"/>
    </w:rPr>
  </w:style>
  <w:style w:type="paragraph" w:styleId="TOC4">
    <w:name w:val="toc 4"/>
    <w:basedOn w:val="Normal"/>
    <w:next w:val="Normal"/>
    <w:autoRedefine/>
    <w:uiPriority w:val="39"/>
    <w:unhideWhenUsed/>
    <w:rsid w:val="00837EFF"/>
    <w:pPr>
      <w:ind w:left="600"/>
    </w:pPr>
    <w:rPr>
      <w:rFonts w:asciiTheme="minorHAnsi" w:hAnsiTheme="minorHAnsi"/>
      <w:sz w:val="18"/>
      <w:szCs w:val="18"/>
    </w:rPr>
  </w:style>
  <w:style w:type="paragraph" w:styleId="TOC5">
    <w:name w:val="toc 5"/>
    <w:basedOn w:val="Normal"/>
    <w:next w:val="Normal"/>
    <w:autoRedefine/>
    <w:uiPriority w:val="39"/>
    <w:unhideWhenUsed/>
    <w:rsid w:val="00837EFF"/>
    <w:pPr>
      <w:ind w:left="800"/>
    </w:pPr>
    <w:rPr>
      <w:rFonts w:asciiTheme="minorHAnsi" w:hAnsiTheme="minorHAnsi"/>
      <w:sz w:val="18"/>
      <w:szCs w:val="18"/>
    </w:rPr>
  </w:style>
  <w:style w:type="paragraph" w:styleId="TOC6">
    <w:name w:val="toc 6"/>
    <w:basedOn w:val="Normal"/>
    <w:next w:val="Normal"/>
    <w:autoRedefine/>
    <w:uiPriority w:val="39"/>
    <w:unhideWhenUsed/>
    <w:rsid w:val="00837EFF"/>
    <w:pPr>
      <w:ind w:left="1000"/>
    </w:pPr>
    <w:rPr>
      <w:rFonts w:asciiTheme="minorHAnsi" w:hAnsiTheme="minorHAnsi"/>
      <w:sz w:val="18"/>
      <w:szCs w:val="18"/>
    </w:rPr>
  </w:style>
  <w:style w:type="paragraph" w:styleId="TOC7">
    <w:name w:val="toc 7"/>
    <w:basedOn w:val="Normal"/>
    <w:next w:val="Normal"/>
    <w:autoRedefine/>
    <w:uiPriority w:val="39"/>
    <w:unhideWhenUsed/>
    <w:rsid w:val="00837EFF"/>
    <w:pPr>
      <w:ind w:left="1200"/>
    </w:pPr>
    <w:rPr>
      <w:rFonts w:asciiTheme="minorHAnsi" w:hAnsiTheme="minorHAnsi"/>
      <w:sz w:val="18"/>
      <w:szCs w:val="18"/>
    </w:rPr>
  </w:style>
  <w:style w:type="paragraph" w:styleId="TOC8">
    <w:name w:val="toc 8"/>
    <w:basedOn w:val="Normal"/>
    <w:next w:val="Normal"/>
    <w:autoRedefine/>
    <w:uiPriority w:val="39"/>
    <w:unhideWhenUsed/>
    <w:rsid w:val="00837EFF"/>
    <w:pPr>
      <w:ind w:left="1400"/>
    </w:pPr>
    <w:rPr>
      <w:rFonts w:asciiTheme="minorHAnsi" w:hAnsiTheme="minorHAnsi"/>
      <w:sz w:val="18"/>
      <w:szCs w:val="18"/>
    </w:rPr>
  </w:style>
  <w:style w:type="paragraph" w:styleId="TOC9">
    <w:name w:val="toc 9"/>
    <w:basedOn w:val="Normal"/>
    <w:next w:val="Normal"/>
    <w:autoRedefine/>
    <w:uiPriority w:val="39"/>
    <w:unhideWhenUsed/>
    <w:rsid w:val="00837EFF"/>
    <w:pPr>
      <w:ind w:left="1600"/>
    </w:pPr>
    <w:rPr>
      <w:rFonts w:asciiTheme="minorHAnsi" w:hAnsiTheme="minorHAnsi"/>
      <w:sz w:val="18"/>
      <w:szCs w:val="18"/>
    </w:rPr>
  </w:style>
  <w:style w:type="paragraph" w:customStyle="1" w:styleId="titreencadre">
    <w:name w:val="titre encadre"/>
    <w:basedOn w:val="texteencadr"/>
    <w:next w:val="Normal"/>
    <w:qFormat/>
    <w:rsid w:val="00C246BC"/>
    <w:pPr>
      <w:numPr>
        <w:ilvl w:val="3"/>
        <w:numId w:val="34"/>
      </w:numPr>
      <w:jc w:val="both"/>
    </w:pPr>
    <w:rPr>
      <w:b/>
      <w:sz w:val="21"/>
    </w:rPr>
  </w:style>
  <w:style w:type="paragraph" w:customStyle="1" w:styleId="texteintro">
    <w:name w:val="texte intro"/>
    <w:basedOn w:val="Textedesaisie"/>
    <w:qFormat/>
    <w:rsid w:val="00224DF6"/>
    <w:pPr>
      <w:jc w:val="center"/>
    </w:pPr>
    <w:rPr>
      <w:rFonts w:ascii="Marianne Medium" w:hAnsi="Marianne Medium"/>
      <w:i/>
    </w:rPr>
  </w:style>
  <w:style w:type="paragraph" w:customStyle="1" w:styleId="texteencadr">
    <w:name w:val="texte encadré"/>
    <w:basedOn w:val="Textedesaisie"/>
    <w:qFormat/>
    <w:rsid w:val="00B02709"/>
    <w:pPr>
      <w:ind w:left="0" w:right="0"/>
      <w:jc w:val="left"/>
    </w:pPr>
    <w:rPr>
      <w:rFonts w:ascii="Marianne" w:hAnsi="Marianne"/>
      <w:i/>
    </w:rPr>
  </w:style>
  <w:style w:type="paragraph" w:styleId="TOCHeading">
    <w:name w:val="TOC Heading"/>
    <w:basedOn w:val="Heading1"/>
    <w:next w:val="Normal"/>
    <w:uiPriority w:val="39"/>
    <w:unhideWhenUsed/>
    <w:qFormat/>
    <w:rsid w:val="005D5AA6"/>
    <w:pPr>
      <w:spacing w:before="240" w:after="0" w:line="259" w:lineRule="auto"/>
      <w:ind w:left="0"/>
      <w:outlineLvl w:val="9"/>
    </w:pPr>
    <w:rPr>
      <w:b w:val="0"/>
      <w:bCs w:val="0"/>
      <w:color w:val="365F91" w:themeColor="accent1" w:themeShade="BF"/>
      <w:sz w:val="32"/>
      <w:szCs w:val="32"/>
      <w:u w:val="none"/>
    </w:rPr>
  </w:style>
  <w:style w:type="character" w:styleId="CommentReference">
    <w:name w:val="annotation reference"/>
    <w:basedOn w:val="DefaultParagraphFont"/>
    <w:uiPriority w:val="99"/>
    <w:unhideWhenUsed/>
    <w:qFormat/>
    <w:rsid w:val="00BB5CA4"/>
    <w:rPr>
      <w:sz w:val="16"/>
      <w:szCs w:val="16"/>
    </w:rPr>
  </w:style>
  <w:style w:type="paragraph" w:styleId="CommentText">
    <w:name w:val="annotation text"/>
    <w:basedOn w:val="Normal"/>
    <w:link w:val="CommentTextChar"/>
    <w:uiPriority w:val="99"/>
    <w:unhideWhenUsed/>
    <w:rsid w:val="00BB5CA4"/>
    <w:rPr>
      <w:sz w:val="20"/>
      <w:szCs w:val="20"/>
    </w:rPr>
  </w:style>
  <w:style w:type="character" w:customStyle="1" w:styleId="CommentTextChar">
    <w:name w:val="Comment Text Char"/>
    <w:basedOn w:val="DefaultParagraphFont"/>
    <w:link w:val="CommentText"/>
    <w:uiPriority w:val="99"/>
    <w:rsid w:val="00BB5CA4"/>
    <w:rPr>
      <w:rFonts w:ascii="Marianne" w:eastAsia="Times New Roman" w:hAnsi="Marianne" w:cs="Times New Roman"/>
      <w:lang w:eastAsia="fr-FR"/>
    </w:rPr>
  </w:style>
  <w:style w:type="paragraph" w:styleId="CommentSubject">
    <w:name w:val="annotation subject"/>
    <w:basedOn w:val="CommentText"/>
    <w:next w:val="CommentText"/>
    <w:link w:val="CommentSubjectChar"/>
    <w:uiPriority w:val="99"/>
    <w:semiHidden/>
    <w:unhideWhenUsed/>
    <w:rsid w:val="00BB5CA4"/>
    <w:rPr>
      <w:b/>
      <w:bCs/>
    </w:rPr>
  </w:style>
  <w:style w:type="character" w:customStyle="1" w:styleId="CommentSubjectChar">
    <w:name w:val="Comment Subject Char"/>
    <w:basedOn w:val="CommentTextChar"/>
    <w:link w:val="CommentSubject"/>
    <w:uiPriority w:val="99"/>
    <w:semiHidden/>
    <w:rsid w:val="00BB5CA4"/>
    <w:rPr>
      <w:rFonts w:ascii="Marianne" w:eastAsia="Times New Roman" w:hAnsi="Marianne" w:cs="Times New Roman"/>
      <w:b/>
      <w:bCs/>
      <w:lang w:eastAsia="fr-FR"/>
    </w:rPr>
  </w:style>
  <w:style w:type="paragraph" w:customStyle="1" w:styleId="Titre1">
    <w:name w:val="Titre1"/>
    <w:basedOn w:val="Heading1"/>
    <w:link w:val="Titre1Car"/>
    <w:qFormat/>
    <w:rsid w:val="00D20917"/>
    <w:pPr>
      <w:ind w:left="288"/>
    </w:pPr>
  </w:style>
  <w:style w:type="character" w:styleId="Hyperlink">
    <w:name w:val="Hyperlink"/>
    <w:basedOn w:val="DefaultParagraphFont"/>
    <w:uiPriority w:val="99"/>
    <w:unhideWhenUsed/>
    <w:rsid w:val="00C73F2E"/>
    <w:rPr>
      <w:color w:val="0000FF" w:themeColor="hyperlink"/>
      <w:u w:val="single"/>
    </w:rPr>
  </w:style>
  <w:style w:type="character" w:customStyle="1" w:styleId="Titre1Niveau1Car">
    <w:name w:val="Titre 1 Niveau 1 Car"/>
    <w:basedOn w:val="DefaultParagraphFont"/>
    <w:link w:val="Titre1Niveau1"/>
    <w:rsid w:val="007C589E"/>
    <w:rPr>
      <w:rFonts w:ascii="Marianne" w:eastAsiaTheme="majorEastAsia" w:hAnsi="Marianne" w:cstheme="majorBidi"/>
      <w:bCs/>
      <w:spacing w:val="-10"/>
      <w:kern w:val="28"/>
      <w:sz w:val="48"/>
      <w:szCs w:val="56"/>
      <w:lang w:eastAsia="fr-FR"/>
    </w:rPr>
  </w:style>
  <w:style w:type="character" w:customStyle="1" w:styleId="Titre1Car">
    <w:name w:val="Titre1 Car"/>
    <w:basedOn w:val="Titre1Niveau1Car"/>
    <w:link w:val="Titre1"/>
    <w:rsid w:val="00D20917"/>
    <w:rPr>
      <w:rFonts w:asciiTheme="majorHAnsi" w:eastAsiaTheme="majorEastAsia" w:hAnsiTheme="majorHAnsi" w:cstheme="majorBidi"/>
      <w:b/>
      <w:bCs w:val="0"/>
      <w:spacing w:val="-10"/>
      <w:kern w:val="28"/>
      <w:sz w:val="23"/>
      <w:szCs w:val="28"/>
      <w:u w:val="single"/>
      <w:lang w:eastAsia="fr-FR"/>
    </w:rPr>
  </w:style>
  <w:style w:type="paragraph" w:styleId="Caption">
    <w:name w:val="caption"/>
    <w:aliases w:val="Legende,Car16,Car Car Car Car,Car Car Car Car Car Car Car,Car Car Car Car Car,Car Car Car Car Car Car Car Car Car Car Car Car,Car3,FigureCaptionMEPS,Légende figure,Legende1,Car161,Car Car Car Car1,Car Car Car Car Car Car Car1"/>
    <w:basedOn w:val="Normal"/>
    <w:next w:val="Normal"/>
    <w:link w:val="CaptionChar"/>
    <w:uiPriority w:val="35"/>
    <w:unhideWhenUsed/>
    <w:qFormat/>
    <w:rsid w:val="00E80ECE"/>
    <w:rPr>
      <w:i/>
      <w:iCs/>
      <w:color w:val="1F497D" w:themeColor="text2"/>
      <w:sz w:val="18"/>
      <w:szCs w:val="18"/>
    </w:r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FootnoteTextChar"/>
    <w:unhideWhenUsed/>
    <w:qFormat/>
    <w:rsid w:val="00AA5DD8"/>
    <w:rPr>
      <w:sz w:val="20"/>
      <w:szCs w:val="20"/>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basedOn w:val="DefaultParagraphFont"/>
    <w:link w:val="FootnoteText"/>
    <w:uiPriority w:val="99"/>
    <w:qFormat/>
    <w:rsid w:val="00AA5DD8"/>
    <w:rPr>
      <w:rFonts w:ascii="Marianne" w:eastAsia="Times New Roman" w:hAnsi="Marianne" w:cs="Times New Roman"/>
      <w:lang w:eastAsia="fr-FR"/>
    </w:rPr>
  </w:style>
  <w:style w:type="character" w:styleId="FootnoteReference">
    <w:name w:val="footnote reference"/>
    <w:aliases w:val="SUPERS,Appel note de bas de page,Footnote symbol,Footnote s,Times 10 Point, Exposant 3 Point,Exposant 3 ,Exposant 3 Point,Expos,Exposant 3,Appel note de bas de p,Texte Appel note de bas de p.,Appel note,-E Fußnotenzeichen,number"/>
    <w:basedOn w:val="DefaultParagraphFont"/>
    <w:uiPriority w:val="99"/>
    <w:unhideWhenUsed/>
    <w:qFormat/>
    <w:rsid w:val="00AA5DD8"/>
    <w:rPr>
      <w:vertAlign w:val="superscript"/>
    </w:rPr>
  </w:style>
  <w:style w:type="paragraph" w:customStyle="1" w:styleId="Default">
    <w:name w:val="Default"/>
    <w:qFormat/>
    <w:rsid w:val="00002707"/>
    <w:pPr>
      <w:autoSpaceDE w:val="0"/>
      <w:autoSpaceDN w:val="0"/>
      <w:adjustRightInd w:val="0"/>
      <w:spacing w:line="240" w:lineRule="auto"/>
    </w:pPr>
    <w:rPr>
      <w:rFonts w:ascii="Arial" w:hAnsi="Arial" w:cs="Arial"/>
      <w:color w:val="000000"/>
      <w:sz w:val="24"/>
      <w:szCs w:val="24"/>
    </w:rPr>
  </w:style>
  <w:style w:type="paragraph" w:styleId="BodyText">
    <w:name w:val="Body Text"/>
    <w:basedOn w:val="Normal"/>
    <w:link w:val="BodyTextChar"/>
    <w:unhideWhenUsed/>
    <w:qFormat/>
    <w:rsid w:val="00592A85"/>
    <w:pPr>
      <w:spacing w:after="120" w:line="276" w:lineRule="auto"/>
    </w:pPr>
    <w:rPr>
      <w:rFonts w:ascii="Trebuchet MS" w:eastAsiaTheme="minorHAnsi" w:hAnsi="Trebuchet MS" w:cstheme="minorBidi"/>
      <w:sz w:val="20"/>
      <w:szCs w:val="22"/>
      <w:lang w:eastAsia="en-US"/>
    </w:rPr>
  </w:style>
  <w:style w:type="character" w:customStyle="1" w:styleId="BodyTextChar">
    <w:name w:val="Body Text Char"/>
    <w:basedOn w:val="DefaultParagraphFont"/>
    <w:link w:val="BodyText"/>
    <w:qFormat/>
    <w:rsid w:val="00592A85"/>
    <w:rPr>
      <w:rFonts w:ascii="Trebuchet MS" w:hAnsi="Trebuchet MS"/>
      <w:szCs w:val="22"/>
    </w:rPr>
  </w:style>
  <w:style w:type="paragraph" w:customStyle="1" w:styleId="Sous-titre1">
    <w:name w:val="Sous-titre 1"/>
    <w:basedOn w:val="Heading6"/>
    <w:link w:val="Sous-titre1Car"/>
    <w:qFormat/>
    <w:rsid w:val="00592A85"/>
    <w:pPr>
      <w:spacing w:before="400" w:after="120" w:line="240" w:lineRule="auto"/>
    </w:pPr>
    <w:rPr>
      <w:rFonts w:ascii="Trebuchet MS" w:hAnsi="Trebuchet MS"/>
      <w:b/>
      <w:i w:val="0"/>
      <w:color w:val="auto"/>
      <w:sz w:val="20"/>
      <w:szCs w:val="22"/>
      <w:lang w:eastAsia="en-US"/>
    </w:rPr>
  </w:style>
  <w:style w:type="character" w:customStyle="1" w:styleId="Sous-titre1Car">
    <w:name w:val="Sous-titre 1 Car"/>
    <w:basedOn w:val="DefaultParagraphFont"/>
    <w:link w:val="Sous-titre1"/>
    <w:rsid w:val="00592A85"/>
    <w:rPr>
      <w:rFonts w:ascii="Trebuchet MS" w:eastAsiaTheme="majorEastAsia" w:hAnsi="Trebuchet MS" w:cstheme="majorBidi"/>
      <w:b/>
      <w:iCs/>
      <w:szCs w:val="22"/>
    </w:rPr>
  </w:style>
  <w:style w:type="character" w:customStyle="1" w:styleId="CaptionChar">
    <w:name w:val="Caption Char"/>
    <w:aliases w:val="Legende Char,Car16 Char,Car Car Car Car Char,Car Car Car Car Car Car Car Char,Car Car Car Car Car Char,Car Car Car Car Car Car Car Car Car Car Car Car Char,Car3 Char,FigureCaptionMEPS Char,Légende figure Char,Legende1 Char,Car161 Char"/>
    <w:basedOn w:val="DefaultParagraphFont"/>
    <w:link w:val="Caption"/>
    <w:qFormat/>
    <w:locked/>
    <w:rsid w:val="00E80ECE"/>
    <w:rPr>
      <w:rFonts w:ascii="Marianne" w:eastAsia="Times New Roman" w:hAnsi="Marianne" w:cs="Times New Roman"/>
      <w:i/>
      <w:iCs/>
      <w:color w:val="1F497D" w:themeColor="text2"/>
      <w:sz w:val="18"/>
      <w:szCs w:val="18"/>
      <w:lang w:eastAsia="fr-FR"/>
    </w:rPr>
  </w:style>
  <w:style w:type="numbering" w:customStyle="1" w:styleId="Style1">
    <w:name w:val="Style1"/>
    <w:uiPriority w:val="99"/>
    <w:rsid w:val="00B53473"/>
    <w:pPr>
      <w:numPr>
        <w:numId w:val="7"/>
      </w:numPr>
    </w:pPr>
  </w:style>
  <w:style w:type="character" w:customStyle="1" w:styleId="hps">
    <w:name w:val="hps"/>
    <w:uiPriority w:val="99"/>
    <w:qFormat/>
    <w:rsid w:val="005D35AC"/>
  </w:style>
  <w:style w:type="paragraph" w:customStyle="1" w:styleId="Bullet0">
    <w:name w:val="Bullet 0"/>
    <w:basedOn w:val="Normal"/>
    <w:uiPriority w:val="99"/>
    <w:qFormat/>
    <w:rsid w:val="005D35AC"/>
    <w:pPr>
      <w:spacing w:before="120" w:after="120"/>
    </w:pPr>
    <w:rPr>
      <w:rFonts w:ascii="Times New Roman" w:hAnsi="Times New Roman"/>
      <w:color w:val="00000A"/>
      <w:sz w:val="24"/>
      <w:lang w:val="en-GB" w:eastAsia="en-US"/>
    </w:rPr>
  </w:style>
  <w:style w:type="paragraph" w:customStyle="1" w:styleId="Standard">
    <w:name w:val="Standard"/>
    <w:qFormat/>
    <w:rsid w:val="00C26427"/>
    <w:pPr>
      <w:widowControl w:val="0"/>
      <w:suppressAutoHyphens/>
      <w:autoSpaceDN w:val="0"/>
      <w:spacing w:line="240" w:lineRule="auto"/>
      <w:textAlignment w:val="baseline"/>
    </w:pPr>
    <w:rPr>
      <w:rFonts w:ascii="Liberation Serif" w:eastAsia="SimSun" w:hAnsi="Liberation Serif" w:cs="Mangal"/>
      <w:kern w:val="3"/>
      <w:sz w:val="24"/>
      <w:szCs w:val="24"/>
      <w:lang w:eastAsia="zh-CN" w:bidi="hi-IN"/>
    </w:rPr>
  </w:style>
  <w:style w:type="paragraph" w:customStyle="1" w:styleId="Footnote">
    <w:name w:val="Footnote"/>
    <w:basedOn w:val="Standard"/>
    <w:rsid w:val="00C26427"/>
    <w:rPr>
      <w:sz w:val="20"/>
      <w:szCs w:val="20"/>
    </w:rPr>
  </w:style>
  <w:style w:type="character" w:customStyle="1" w:styleId="Ancredenotedebasdepage">
    <w:name w:val="Ancre de note de bas de page"/>
    <w:rsid w:val="00401567"/>
    <w:rPr>
      <w:vertAlign w:val="superscript"/>
    </w:rPr>
  </w:style>
  <w:style w:type="paragraph" w:customStyle="1" w:styleId="Textebrut1">
    <w:name w:val="Texte brut1"/>
    <w:qFormat/>
    <w:rsid w:val="00401567"/>
    <w:pPr>
      <w:suppressAutoHyphens/>
      <w:spacing w:line="240" w:lineRule="auto"/>
    </w:pPr>
    <w:rPr>
      <w:rFonts w:ascii="Calibri" w:eastAsia="Calibri" w:hAnsi="Calibri" w:cs="Calibri"/>
      <w:color w:val="000000"/>
      <w:u w:color="000000"/>
      <w:lang w:eastAsia="fr-FR"/>
    </w:rPr>
  </w:style>
  <w:style w:type="character" w:customStyle="1" w:styleId="ListParagraphChar">
    <w:name w:val="List Paragraph Char"/>
    <w:aliases w:val="EC Char,Paragraphe de liste11 Char,Paragraphe de liste1 Char,Puce Char,Colorful List Accent 1 Char,List Paragraph (numbered (a)) Char,List_Paragraph Char,Multilevel para_II Char,List Paragraph1 Char,Rec para Char,Dot pt Char,L Char"/>
    <w:link w:val="ListParagraph"/>
    <w:uiPriority w:val="34"/>
    <w:qFormat/>
    <w:locked/>
    <w:rsid w:val="000863E6"/>
    <w:rPr>
      <w:rFonts w:ascii="Marianne" w:eastAsia="Times New Roman" w:hAnsi="Marianne" w:cs="Times New Roman"/>
      <w:sz w:val="21"/>
      <w:szCs w:val="24"/>
      <w:lang w:eastAsia="fr-FR"/>
    </w:rPr>
  </w:style>
  <w:style w:type="table" w:styleId="GridTable5Dark-Accent4">
    <w:name w:val="Grid Table 5 Dark Accent 4"/>
    <w:basedOn w:val="TableNormal"/>
    <w:uiPriority w:val="50"/>
    <w:rsid w:val="000863E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Strong">
    <w:name w:val="Strong"/>
    <w:basedOn w:val="DefaultParagraphFont"/>
    <w:uiPriority w:val="22"/>
    <w:qFormat/>
    <w:rsid w:val="000863E6"/>
    <w:rPr>
      <w:b/>
      <w:bCs/>
    </w:rPr>
  </w:style>
  <w:style w:type="table" w:customStyle="1" w:styleId="TableGrid0">
    <w:name w:val="TableGrid"/>
    <w:rsid w:val="00F24A36"/>
    <w:pPr>
      <w:spacing w:line="240" w:lineRule="auto"/>
    </w:pPr>
    <w:rPr>
      <w:rFonts w:eastAsiaTheme="minorEastAsia"/>
      <w:sz w:val="22"/>
      <w:szCs w:val="22"/>
      <w:lang w:eastAsia="fr-FR"/>
    </w:rPr>
    <w:tblPr>
      <w:tblCellMar>
        <w:top w:w="0" w:type="dxa"/>
        <w:left w:w="0" w:type="dxa"/>
        <w:bottom w:w="0" w:type="dxa"/>
        <w:right w:w="0" w:type="dxa"/>
      </w:tblCellMar>
    </w:tblPr>
  </w:style>
  <w:style w:type="table" w:customStyle="1" w:styleId="TableGrid1">
    <w:name w:val="TableGrid1"/>
    <w:rsid w:val="00F24A36"/>
    <w:pPr>
      <w:spacing w:line="240" w:lineRule="auto"/>
    </w:pPr>
    <w:rPr>
      <w:rFonts w:eastAsiaTheme="minorEastAsia"/>
      <w:sz w:val="22"/>
      <w:szCs w:val="22"/>
      <w:lang w:eastAsia="fr-FR"/>
    </w:rPr>
    <w:tblPr>
      <w:tblCellMar>
        <w:top w:w="0" w:type="dxa"/>
        <w:left w:w="0" w:type="dxa"/>
        <w:bottom w:w="0" w:type="dxa"/>
        <w:right w:w="0" w:type="dxa"/>
      </w:tblCellMar>
    </w:tblPr>
  </w:style>
  <w:style w:type="table" w:styleId="ListTable4-Accent4">
    <w:name w:val="List Table 4 Accent 4"/>
    <w:basedOn w:val="TableNormal"/>
    <w:uiPriority w:val="49"/>
    <w:rsid w:val="006C000D"/>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6C000D"/>
    <w:pPr>
      <w:spacing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6C000D"/>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GridLight">
    <w:name w:val="Grid Table Light"/>
    <w:basedOn w:val="TableNormal"/>
    <w:uiPriority w:val="40"/>
    <w:rsid w:val="006C000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l-2">
    <w:name w:val="ml-2"/>
    <w:basedOn w:val="DefaultParagraphFont"/>
    <w:rsid w:val="006C000D"/>
  </w:style>
  <w:style w:type="paragraph" w:customStyle="1" w:styleId="Style3">
    <w:name w:val="Style3"/>
    <w:basedOn w:val="Heading2"/>
    <w:link w:val="Style3Car"/>
    <w:autoRedefine/>
    <w:qFormat/>
    <w:rsid w:val="006C000D"/>
    <w:pPr>
      <w:spacing w:before="0" w:line="240" w:lineRule="auto"/>
      <w:contextualSpacing/>
      <w:jc w:val="left"/>
      <w:outlineLvl w:val="9"/>
    </w:pPr>
    <w:rPr>
      <w:rFonts w:eastAsia="Liberation Sans;Arial" w:cstheme="minorHAnsi"/>
      <w:color w:val="68B97E"/>
      <w:sz w:val="24"/>
      <w:szCs w:val="22"/>
    </w:rPr>
  </w:style>
  <w:style w:type="character" w:customStyle="1" w:styleId="Style3Car">
    <w:name w:val="Style3 Car"/>
    <w:basedOn w:val="Heading2Char"/>
    <w:link w:val="Style3"/>
    <w:rsid w:val="006C000D"/>
    <w:rPr>
      <w:rFonts w:asciiTheme="majorHAnsi" w:eastAsia="Liberation Sans;Arial" w:hAnsiTheme="majorHAnsi" w:cstheme="minorHAnsi"/>
      <w:b/>
      <w:bCs/>
      <w:color w:val="68B97E"/>
      <w:sz w:val="24"/>
      <w:szCs w:val="22"/>
      <w:lang w:eastAsia="fr-FR"/>
    </w:rPr>
  </w:style>
  <w:style w:type="paragraph" w:customStyle="1" w:styleId="Style2">
    <w:name w:val="Style2"/>
    <w:basedOn w:val="Normal"/>
    <w:link w:val="Style2Car"/>
    <w:qFormat/>
    <w:rsid w:val="006C000D"/>
    <w:pPr>
      <w:keepNext/>
      <w:keepLines/>
      <w:contextualSpacing/>
      <w:jc w:val="center"/>
    </w:pPr>
    <w:rPr>
      <w:rFonts w:asciiTheme="minorHAnsi" w:eastAsia="Liberation Sans;Arial" w:hAnsiTheme="minorHAnsi" w:cstheme="minorHAnsi"/>
      <w:b/>
      <w:bCs/>
      <w:color w:val="7030A0"/>
      <w:sz w:val="28"/>
      <w:szCs w:val="22"/>
    </w:rPr>
  </w:style>
  <w:style w:type="character" w:customStyle="1" w:styleId="Style2Car">
    <w:name w:val="Style2 Car"/>
    <w:basedOn w:val="DefaultParagraphFont"/>
    <w:link w:val="Style2"/>
    <w:rsid w:val="006C000D"/>
    <w:rPr>
      <w:rFonts w:eastAsia="Liberation Sans;Arial" w:cstheme="minorHAnsi"/>
      <w:b/>
      <w:bCs/>
      <w:color w:val="7030A0"/>
      <w:sz w:val="28"/>
      <w:szCs w:val="22"/>
      <w:lang w:eastAsia="fr-FR"/>
    </w:rPr>
  </w:style>
  <w:style w:type="paragraph" w:styleId="Revision">
    <w:name w:val="Revision"/>
    <w:hidden/>
    <w:uiPriority w:val="99"/>
    <w:semiHidden/>
    <w:rsid w:val="006C000D"/>
    <w:pPr>
      <w:spacing w:line="240" w:lineRule="auto"/>
    </w:pPr>
    <w:rPr>
      <w:rFonts w:ascii="Marianne" w:eastAsia="Times New Roman" w:hAnsi="Marianne" w:cs="Times New Roman"/>
      <w:sz w:val="21"/>
      <w:szCs w:val="24"/>
      <w:lang w:eastAsia="fr-FR"/>
    </w:rPr>
  </w:style>
  <w:style w:type="paragraph" w:customStyle="1" w:styleId="western">
    <w:name w:val="western"/>
    <w:basedOn w:val="Normal"/>
    <w:rsid w:val="006C000D"/>
    <w:pPr>
      <w:spacing w:before="100" w:beforeAutospacing="1" w:after="142" w:line="288" w:lineRule="auto"/>
      <w:jc w:val="left"/>
    </w:pPr>
    <w:rPr>
      <w:rFonts w:ascii="Times New Roman" w:hAnsi="Times New Roman"/>
      <w:color w:val="00000A"/>
      <w:sz w:val="24"/>
    </w:rPr>
  </w:style>
  <w:style w:type="character" w:styleId="FollowedHyperlink">
    <w:name w:val="FollowedHyperlink"/>
    <w:basedOn w:val="DefaultParagraphFont"/>
    <w:uiPriority w:val="99"/>
    <w:semiHidden/>
    <w:unhideWhenUsed/>
    <w:rsid w:val="006C000D"/>
    <w:rPr>
      <w:color w:val="800080" w:themeColor="followedHyperlink"/>
      <w:u w:val="single"/>
    </w:rPr>
  </w:style>
  <w:style w:type="paragraph" w:customStyle="1" w:styleId="Standarduser">
    <w:name w:val="Standard (user)"/>
    <w:rsid w:val="006C000D"/>
    <w:pPr>
      <w:suppressAutoHyphens/>
      <w:autoSpaceDN w:val="0"/>
      <w:spacing w:line="240" w:lineRule="auto"/>
      <w:textAlignment w:val="baseline"/>
    </w:pPr>
    <w:rPr>
      <w:rFonts w:ascii="Times New Roman" w:eastAsia="Times New Roman" w:hAnsi="Times New Roman" w:cs="Times New Roman"/>
      <w:kern w:val="3"/>
      <w:sz w:val="24"/>
      <w:szCs w:val="24"/>
      <w:lang w:eastAsia="zh-CN"/>
    </w:rPr>
  </w:style>
  <w:style w:type="character" w:customStyle="1" w:styleId="rynqvb">
    <w:name w:val="rynqvb"/>
    <w:basedOn w:val="DefaultParagraphFont"/>
    <w:rsid w:val="006C000D"/>
  </w:style>
  <w:style w:type="character" w:styleId="Emphasis">
    <w:name w:val="Emphasis"/>
    <w:basedOn w:val="DefaultParagraphFont"/>
    <w:uiPriority w:val="20"/>
    <w:qFormat/>
    <w:rsid w:val="006C000D"/>
    <w:rPr>
      <w:i/>
      <w:iCs/>
    </w:rPr>
  </w:style>
  <w:style w:type="paragraph" w:styleId="TableofFigures">
    <w:name w:val="table of figures"/>
    <w:basedOn w:val="Normal"/>
    <w:next w:val="Normal"/>
    <w:uiPriority w:val="99"/>
    <w:unhideWhenUsed/>
    <w:rsid w:val="006C000D"/>
    <w:pPr>
      <w:jc w:val="left"/>
    </w:pPr>
    <w:rPr>
      <w:rFonts w:asciiTheme="minorHAnsi" w:hAnsiTheme="minorHAnsi"/>
      <w:i/>
      <w:iCs/>
      <w:sz w:val="20"/>
      <w:szCs w:val="20"/>
    </w:rPr>
  </w:style>
  <w:style w:type="numbering" w:customStyle="1" w:styleId="Style4">
    <w:name w:val="Style4"/>
    <w:uiPriority w:val="99"/>
    <w:rsid w:val="006C000D"/>
    <w:pPr>
      <w:numPr>
        <w:numId w:val="44"/>
      </w:numPr>
    </w:pPr>
  </w:style>
  <w:style w:type="table" w:styleId="ListTable4-Accent2">
    <w:name w:val="List Table 4 Accent 2"/>
    <w:basedOn w:val="TableNormal"/>
    <w:uiPriority w:val="49"/>
    <w:rsid w:val="006C000D"/>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6C000D"/>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sonormal0">
    <w:name w:val="msonormal"/>
    <w:basedOn w:val="Normal"/>
    <w:rsid w:val="006C000D"/>
    <w:pPr>
      <w:spacing w:before="100" w:beforeAutospacing="1" w:after="100" w:afterAutospacing="1"/>
      <w:jc w:val="left"/>
    </w:pPr>
    <w:rPr>
      <w:rFonts w:ascii="Times New Roman" w:hAnsi="Times New Roman"/>
      <w:sz w:val="24"/>
    </w:rPr>
  </w:style>
  <w:style w:type="paragraph" w:customStyle="1" w:styleId="font0">
    <w:name w:val="font0"/>
    <w:basedOn w:val="Normal"/>
    <w:rsid w:val="006C000D"/>
    <w:pPr>
      <w:spacing w:before="100" w:beforeAutospacing="1" w:after="100" w:afterAutospacing="1"/>
      <w:jc w:val="left"/>
    </w:pPr>
    <w:rPr>
      <w:rFonts w:ascii="Calibri" w:hAnsi="Calibri" w:cs="Calibri"/>
      <w:color w:val="000000"/>
      <w:szCs w:val="22"/>
    </w:rPr>
  </w:style>
  <w:style w:type="paragraph" w:customStyle="1" w:styleId="font5">
    <w:name w:val="font5"/>
    <w:basedOn w:val="Normal"/>
    <w:rsid w:val="006C000D"/>
    <w:pPr>
      <w:spacing w:before="100" w:beforeAutospacing="1" w:after="100" w:afterAutospacing="1"/>
      <w:jc w:val="left"/>
    </w:pPr>
    <w:rPr>
      <w:rFonts w:ascii="Times New Roman" w:hAnsi="Times New Roman"/>
      <w:b/>
      <w:bCs/>
      <w:sz w:val="18"/>
      <w:szCs w:val="18"/>
    </w:rPr>
  </w:style>
  <w:style w:type="paragraph" w:customStyle="1" w:styleId="font6">
    <w:name w:val="font6"/>
    <w:basedOn w:val="Normal"/>
    <w:rsid w:val="006C000D"/>
    <w:pPr>
      <w:spacing w:before="100" w:beforeAutospacing="1" w:after="100" w:afterAutospacing="1"/>
      <w:jc w:val="left"/>
    </w:pPr>
    <w:rPr>
      <w:rFonts w:ascii="Times New Roman" w:hAnsi="Times New Roman"/>
      <w:b/>
      <w:bCs/>
      <w:sz w:val="18"/>
      <w:szCs w:val="18"/>
    </w:rPr>
  </w:style>
  <w:style w:type="paragraph" w:customStyle="1" w:styleId="font7">
    <w:name w:val="font7"/>
    <w:basedOn w:val="Normal"/>
    <w:rsid w:val="006C000D"/>
    <w:pPr>
      <w:spacing w:before="100" w:beforeAutospacing="1" w:after="100" w:afterAutospacing="1"/>
      <w:jc w:val="left"/>
    </w:pPr>
    <w:rPr>
      <w:rFonts w:ascii="Times New Roman" w:hAnsi="Times New Roman"/>
      <w:sz w:val="18"/>
      <w:szCs w:val="18"/>
    </w:rPr>
  </w:style>
  <w:style w:type="paragraph" w:customStyle="1" w:styleId="font8">
    <w:name w:val="font8"/>
    <w:basedOn w:val="Normal"/>
    <w:rsid w:val="006C000D"/>
    <w:pPr>
      <w:spacing w:before="100" w:beforeAutospacing="1" w:after="100" w:afterAutospacing="1"/>
      <w:jc w:val="left"/>
    </w:pPr>
    <w:rPr>
      <w:rFonts w:ascii="Times New Roman" w:hAnsi="Times New Roman"/>
      <w:i/>
      <w:iCs/>
      <w:sz w:val="18"/>
      <w:szCs w:val="18"/>
    </w:rPr>
  </w:style>
  <w:style w:type="paragraph" w:customStyle="1" w:styleId="font9">
    <w:name w:val="font9"/>
    <w:basedOn w:val="Normal"/>
    <w:rsid w:val="006C000D"/>
    <w:pPr>
      <w:spacing w:before="100" w:beforeAutospacing="1" w:after="100" w:afterAutospacing="1"/>
      <w:jc w:val="left"/>
    </w:pPr>
    <w:rPr>
      <w:rFonts w:ascii="Times New Roman" w:hAnsi="Times New Roman"/>
      <w:sz w:val="18"/>
      <w:szCs w:val="18"/>
    </w:rPr>
  </w:style>
  <w:style w:type="paragraph" w:customStyle="1" w:styleId="font10">
    <w:name w:val="font10"/>
    <w:basedOn w:val="Normal"/>
    <w:rsid w:val="006C000D"/>
    <w:pPr>
      <w:spacing w:before="100" w:beforeAutospacing="1" w:after="100" w:afterAutospacing="1"/>
      <w:jc w:val="left"/>
    </w:pPr>
    <w:rPr>
      <w:rFonts w:ascii="Times New Roman" w:hAnsi="Times New Roman"/>
      <w:b/>
      <w:bCs/>
      <w:sz w:val="18"/>
      <w:szCs w:val="18"/>
    </w:rPr>
  </w:style>
  <w:style w:type="paragraph" w:customStyle="1" w:styleId="font11">
    <w:name w:val="font11"/>
    <w:basedOn w:val="Normal"/>
    <w:rsid w:val="006C000D"/>
    <w:pPr>
      <w:spacing w:before="100" w:beforeAutospacing="1" w:after="100" w:afterAutospacing="1"/>
      <w:jc w:val="left"/>
    </w:pPr>
    <w:rPr>
      <w:rFonts w:ascii="Times New Roman" w:hAnsi="Times New Roman"/>
      <w:b/>
      <w:bCs/>
      <w:i/>
      <w:iCs/>
      <w:sz w:val="18"/>
      <w:szCs w:val="18"/>
    </w:rPr>
  </w:style>
  <w:style w:type="paragraph" w:customStyle="1" w:styleId="font12">
    <w:name w:val="font12"/>
    <w:basedOn w:val="Normal"/>
    <w:rsid w:val="006C000D"/>
    <w:pPr>
      <w:spacing w:before="100" w:beforeAutospacing="1" w:after="100" w:afterAutospacing="1"/>
      <w:jc w:val="left"/>
    </w:pPr>
    <w:rPr>
      <w:rFonts w:ascii="Times New Roman" w:hAnsi="Times New Roman"/>
      <w:color w:val="000000"/>
      <w:sz w:val="18"/>
      <w:szCs w:val="18"/>
    </w:rPr>
  </w:style>
  <w:style w:type="paragraph" w:customStyle="1" w:styleId="xl967">
    <w:name w:val="xl967"/>
    <w:basedOn w:val="Normal"/>
    <w:rsid w:val="006C000D"/>
    <w:pPr>
      <w:spacing w:before="100" w:beforeAutospacing="1" w:after="100" w:afterAutospacing="1"/>
      <w:jc w:val="left"/>
    </w:pPr>
    <w:rPr>
      <w:rFonts w:ascii="Times New Roman" w:hAnsi="Times New Roman"/>
      <w:sz w:val="18"/>
      <w:szCs w:val="18"/>
    </w:rPr>
  </w:style>
  <w:style w:type="paragraph" w:customStyle="1" w:styleId="xl968">
    <w:name w:val="xl968"/>
    <w:basedOn w:val="Normal"/>
    <w:rsid w:val="006C000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jc w:val="left"/>
      <w:textAlignment w:val="center"/>
    </w:pPr>
    <w:rPr>
      <w:rFonts w:ascii="Times New Roman" w:hAnsi="Times New Roman"/>
      <w:sz w:val="18"/>
      <w:szCs w:val="18"/>
    </w:rPr>
  </w:style>
  <w:style w:type="paragraph" w:customStyle="1" w:styleId="xl969">
    <w:name w:val="xl969"/>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0">
    <w:name w:val="xl970"/>
    <w:basedOn w:val="Normal"/>
    <w:rsid w:val="006C000D"/>
    <w:pPr>
      <w:pBdr>
        <w:top w:val="single" w:sz="4" w:space="0" w:color="auto"/>
        <w:left w:val="single" w:sz="4" w:space="31" w:color="auto"/>
        <w:bottom w:val="single" w:sz="4" w:space="0" w:color="auto"/>
        <w:right w:val="single" w:sz="4" w:space="0" w:color="auto"/>
      </w:pBdr>
      <w:shd w:val="clear" w:color="000000" w:fill="CCFFFF"/>
      <w:spacing w:before="100" w:beforeAutospacing="1" w:after="100" w:afterAutospacing="1"/>
      <w:ind w:firstLineChars="500" w:firstLine="500"/>
      <w:jc w:val="left"/>
      <w:textAlignment w:val="center"/>
    </w:pPr>
    <w:rPr>
      <w:rFonts w:ascii="Times New Roman" w:hAnsi="Times New Roman"/>
      <w:sz w:val="18"/>
      <w:szCs w:val="18"/>
    </w:rPr>
  </w:style>
  <w:style w:type="paragraph" w:customStyle="1" w:styleId="xl971">
    <w:name w:val="xl971"/>
    <w:basedOn w:val="Normal"/>
    <w:rsid w:val="006C000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jc w:val="left"/>
      <w:textAlignment w:val="center"/>
    </w:pPr>
    <w:rPr>
      <w:rFonts w:ascii="Times New Roman" w:hAnsi="Times New Roman"/>
      <w:sz w:val="18"/>
      <w:szCs w:val="18"/>
    </w:rPr>
  </w:style>
  <w:style w:type="paragraph" w:customStyle="1" w:styleId="xl972">
    <w:name w:val="xl972"/>
    <w:basedOn w:val="Normal"/>
    <w:rsid w:val="006C000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jc w:val="left"/>
      <w:textAlignment w:val="center"/>
    </w:pPr>
    <w:rPr>
      <w:rFonts w:ascii="Times New Roman" w:hAnsi="Times New Roman"/>
      <w:sz w:val="18"/>
      <w:szCs w:val="18"/>
    </w:rPr>
  </w:style>
  <w:style w:type="paragraph" w:customStyle="1" w:styleId="xl973">
    <w:name w:val="xl973"/>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4">
    <w:name w:val="xl974"/>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hAnsi="Times New Roman"/>
      <w:b/>
      <w:bCs/>
      <w:sz w:val="18"/>
      <w:szCs w:val="18"/>
    </w:rPr>
  </w:style>
  <w:style w:type="paragraph" w:customStyle="1" w:styleId="xl975">
    <w:name w:val="xl975"/>
    <w:basedOn w:val="Normal"/>
    <w:rsid w:val="006C000D"/>
    <w:pPr>
      <w:pBdr>
        <w:top w:val="single" w:sz="4" w:space="0" w:color="auto"/>
        <w:left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6">
    <w:name w:val="xl976"/>
    <w:basedOn w:val="Normal"/>
    <w:rsid w:val="006C000D"/>
    <w:pPr>
      <w:pBdr>
        <w:left w:val="single" w:sz="4" w:space="0" w:color="auto"/>
        <w:bottom w:val="double" w:sz="6"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7">
    <w:name w:val="xl977"/>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sz w:val="18"/>
      <w:szCs w:val="18"/>
    </w:rPr>
  </w:style>
  <w:style w:type="paragraph" w:customStyle="1" w:styleId="xl978">
    <w:name w:val="xl978"/>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79">
    <w:name w:val="xl979"/>
    <w:basedOn w:val="Normal"/>
    <w:rsid w:val="006C000D"/>
    <w:pPr>
      <w:pBdr>
        <w:left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80">
    <w:name w:val="xl980"/>
    <w:basedOn w:val="Normal"/>
    <w:rsid w:val="006C0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sz w:val="18"/>
      <w:szCs w:val="18"/>
    </w:rPr>
  </w:style>
  <w:style w:type="paragraph" w:customStyle="1" w:styleId="xl981">
    <w:name w:val="xl981"/>
    <w:basedOn w:val="Normal"/>
    <w:rsid w:val="006C0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sz w:val="18"/>
      <w:szCs w:val="18"/>
    </w:rPr>
  </w:style>
  <w:style w:type="paragraph" w:customStyle="1" w:styleId="xl982">
    <w:name w:val="xl982"/>
    <w:basedOn w:val="Normal"/>
    <w:rsid w:val="006C000D"/>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right"/>
    </w:pPr>
    <w:rPr>
      <w:rFonts w:ascii="Times New Roman" w:hAnsi="Times New Roman"/>
      <w:sz w:val="18"/>
      <w:szCs w:val="18"/>
    </w:rPr>
  </w:style>
  <w:style w:type="paragraph" w:customStyle="1" w:styleId="xl983">
    <w:name w:val="xl983"/>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hAnsi="Times New Roman"/>
      <w:sz w:val="18"/>
      <w:szCs w:val="18"/>
    </w:rPr>
  </w:style>
  <w:style w:type="paragraph" w:customStyle="1" w:styleId="xl984">
    <w:name w:val="xl984"/>
    <w:basedOn w:val="Normal"/>
    <w:rsid w:val="006C000D"/>
    <w:pPr>
      <w:pBdr>
        <w:top w:val="single" w:sz="4" w:space="0" w:color="auto"/>
        <w:left w:val="single" w:sz="4" w:space="0" w:color="auto"/>
        <w:bottom w:val="double" w:sz="6"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85">
    <w:name w:val="xl985"/>
    <w:basedOn w:val="Normal"/>
    <w:rsid w:val="006C000D"/>
    <w:pPr>
      <w:pBdr>
        <w:top w:val="single" w:sz="4" w:space="0" w:color="auto"/>
        <w:bottom w:val="double" w:sz="6"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86">
    <w:name w:val="xl986"/>
    <w:basedOn w:val="Normal"/>
    <w:rsid w:val="006C000D"/>
    <w:pPr>
      <w:pBdr>
        <w:top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character" w:customStyle="1" w:styleId="Caractresdenotedebasdepage">
    <w:name w:val="Caractères de note de bas de page"/>
    <w:rsid w:val="006C000D"/>
    <w:rPr>
      <w:vertAlign w:val="superscript"/>
    </w:rPr>
  </w:style>
  <w:style w:type="paragraph" w:customStyle="1" w:styleId="Contenuducadre">
    <w:name w:val="Contenu du cadre"/>
    <w:basedOn w:val="BodyText"/>
    <w:rsid w:val="006C000D"/>
    <w:pPr>
      <w:widowControl w:val="0"/>
      <w:suppressAutoHyphens/>
      <w:spacing w:before="120" w:after="0" w:line="240" w:lineRule="auto"/>
    </w:pPr>
    <w:rPr>
      <w:rFonts w:ascii="Arial" w:eastAsia="Times New Roman" w:hAnsi="Arial" w:cs="Arial"/>
      <w:sz w:val="22"/>
      <w:lang w:eastAsia="zh-CN"/>
    </w:rPr>
  </w:style>
  <w:style w:type="paragraph" w:customStyle="1" w:styleId="xl987">
    <w:name w:val="xl987"/>
    <w:basedOn w:val="Normal"/>
    <w:rsid w:val="006C000D"/>
    <w:pPr>
      <w:pBdr>
        <w:top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88">
    <w:name w:val="xl988"/>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89">
    <w:name w:val="xl989"/>
    <w:basedOn w:val="Normal"/>
    <w:rsid w:val="006C000D"/>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90">
    <w:name w:val="xl990"/>
    <w:basedOn w:val="Normal"/>
    <w:rsid w:val="006C000D"/>
    <w:pPr>
      <w:pBdr>
        <w:top w:val="single" w:sz="4" w:space="0" w:color="auto"/>
        <w:bottom w:val="double" w:sz="6"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91">
    <w:name w:val="xl991"/>
    <w:basedOn w:val="Normal"/>
    <w:rsid w:val="006C000D"/>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48159">
    <w:name w:val="xl48159"/>
    <w:basedOn w:val="Normal"/>
    <w:rsid w:val="006C000D"/>
    <w:pPr>
      <w:spacing w:before="100" w:beforeAutospacing="1" w:after="100" w:afterAutospacing="1"/>
      <w:jc w:val="left"/>
    </w:pPr>
    <w:rPr>
      <w:rFonts w:ascii="Trebuchet MS" w:hAnsi="Trebuchet MS"/>
      <w:sz w:val="24"/>
    </w:rPr>
  </w:style>
  <w:style w:type="paragraph" w:customStyle="1" w:styleId="xl48160">
    <w:name w:val="xl48160"/>
    <w:basedOn w:val="Normal"/>
    <w:rsid w:val="006C000D"/>
    <w:pPr>
      <w:spacing w:before="100" w:beforeAutospacing="1" w:after="100" w:afterAutospacing="1"/>
      <w:jc w:val="left"/>
      <w:textAlignment w:val="center"/>
    </w:pPr>
    <w:rPr>
      <w:rFonts w:ascii="Trebuchet MS" w:hAnsi="Trebuchet MS"/>
      <w:sz w:val="24"/>
    </w:rPr>
  </w:style>
  <w:style w:type="paragraph" w:customStyle="1" w:styleId="xl48161">
    <w:name w:val="xl48161"/>
    <w:basedOn w:val="Normal"/>
    <w:rsid w:val="006C000D"/>
    <w:pPr>
      <w:shd w:val="clear" w:color="000000" w:fill="FFFFFF"/>
      <w:spacing w:before="100" w:beforeAutospacing="1" w:after="100" w:afterAutospacing="1"/>
      <w:jc w:val="left"/>
    </w:pPr>
    <w:rPr>
      <w:rFonts w:ascii="Trebuchet MS" w:hAnsi="Trebuchet MS"/>
      <w:color w:val="000000"/>
      <w:szCs w:val="22"/>
    </w:rPr>
  </w:style>
  <w:style w:type="paragraph" w:customStyle="1" w:styleId="xl48162">
    <w:name w:val="xl48162"/>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b/>
      <w:bCs/>
      <w:sz w:val="18"/>
      <w:szCs w:val="18"/>
    </w:rPr>
  </w:style>
  <w:style w:type="paragraph" w:customStyle="1" w:styleId="xl48163">
    <w:name w:val="xl48163"/>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b/>
      <w:bCs/>
      <w:sz w:val="18"/>
      <w:szCs w:val="18"/>
    </w:rPr>
  </w:style>
  <w:style w:type="paragraph" w:customStyle="1" w:styleId="xl48164">
    <w:name w:val="xl48164"/>
    <w:basedOn w:val="Normal"/>
    <w:rsid w:val="006C000D"/>
    <w:pPr>
      <w:spacing w:before="100" w:beforeAutospacing="1" w:after="100" w:afterAutospacing="1"/>
      <w:jc w:val="center"/>
      <w:textAlignment w:val="center"/>
    </w:pPr>
    <w:rPr>
      <w:rFonts w:ascii="Trebuchet MS" w:hAnsi="Trebuchet MS"/>
      <w:b/>
      <w:bCs/>
      <w:i/>
      <w:iCs/>
      <w:sz w:val="18"/>
      <w:szCs w:val="18"/>
    </w:rPr>
  </w:style>
  <w:style w:type="paragraph" w:customStyle="1" w:styleId="xl48165">
    <w:name w:val="xl48165"/>
    <w:basedOn w:val="Normal"/>
    <w:rsid w:val="006C000D"/>
    <w:pPr>
      <w:pBdr>
        <w:top w:val="single" w:sz="4" w:space="0" w:color="auto"/>
        <w:left w:val="single" w:sz="4" w:space="0" w:color="auto"/>
        <w:bottom w:val="single" w:sz="4" w:space="0" w:color="auto"/>
      </w:pBdr>
      <w:spacing w:before="100" w:beforeAutospacing="1" w:after="100" w:afterAutospacing="1"/>
      <w:jc w:val="left"/>
      <w:textAlignment w:val="center"/>
    </w:pPr>
    <w:rPr>
      <w:rFonts w:ascii="Trebuchet MS" w:hAnsi="Trebuchet MS"/>
      <w:sz w:val="16"/>
      <w:szCs w:val="16"/>
    </w:rPr>
  </w:style>
  <w:style w:type="paragraph" w:customStyle="1" w:styleId="xl48166">
    <w:name w:val="xl48166"/>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6"/>
      <w:szCs w:val="16"/>
    </w:rPr>
  </w:style>
  <w:style w:type="paragraph" w:customStyle="1" w:styleId="xl48167">
    <w:name w:val="xl48167"/>
    <w:basedOn w:val="Normal"/>
    <w:rsid w:val="006C000D"/>
    <w:pPr>
      <w:shd w:val="clear" w:color="000000" w:fill="0070C0"/>
      <w:spacing w:before="100" w:beforeAutospacing="1" w:after="100" w:afterAutospacing="1"/>
      <w:jc w:val="left"/>
    </w:pPr>
    <w:rPr>
      <w:rFonts w:ascii="Trebuchet MS" w:hAnsi="Trebuchet MS"/>
      <w:b/>
      <w:bCs/>
      <w:color w:val="FFFFFF"/>
      <w:szCs w:val="22"/>
    </w:rPr>
  </w:style>
  <w:style w:type="paragraph" w:customStyle="1" w:styleId="xl48168">
    <w:name w:val="xl48168"/>
    <w:basedOn w:val="Normal"/>
    <w:rsid w:val="006C0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hAnsi="Trebuchet MS"/>
      <w:sz w:val="16"/>
      <w:szCs w:val="16"/>
    </w:rPr>
  </w:style>
  <w:style w:type="paragraph" w:customStyle="1" w:styleId="xl48169">
    <w:name w:val="xl48169"/>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6"/>
      <w:szCs w:val="16"/>
    </w:rPr>
  </w:style>
  <w:style w:type="paragraph" w:customStyle="1" w:styleId="xl48170">
    <w:name w:val="xl48170"/>
    <w:basedOn w:val="Normal"/>
    <w:rsid w:val="006C000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pPr>
    <w:rPr>
      <w:rFonts w:ascii="Trebuchet MS" w:hAnsi="Trebuchet MS"/>
      <w:b/>
      <w:bCs/>
      <w:color w:val="FFFFFF"/>
      <w:sz w:val="16"/>
      <w:szCs w:val="16"/>
    </w:rPr>
  </w:style>
  <w:style w:type="paragraph" w:customStyle="1" w:styleId="xl48171">
    <w:name w:val="xl48171"/>
    <w:basedOn w:val="Normal"/>
    <w:rsid w:val="006C000D"/>
    <w:pPr>
      <w:shd w:val="clear" w:color="000000" w:fill="B3A2C7"/>
      <w:spacing w:before="100" w:beforeAutospacing="1" w:after="100" w:afterAutospacing="1"/>
      <w:jc w:val="left"/>
    </w:pPr>
    <w:rPr>
      <w:rFonts w:ascii="Trebuchet MS" w:hAnsi="Trebuchet MS"/>
      <w:b/>
      <w:bCs/>
      <w:szCs w:val="22"/>
    </w:rPr>
  </w:style>
  <w:style w:type="paragraph" w:customStyle="1" w:styleId="xl48172">
    <w:name w:val="xl48172"/>
    <w:basedOn w:val="Normal"/>
    <w:rsid w:val="006C000D"/>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rebuchet MS" w:hAnsi="Trebuchet MS"/>
      <w:sz w:val="16"/>
      <w:szCs w:val="16"/>
    </w:rPr>
  </w:style>
  <w:style w:type="paragraph" w:customStyle="1" w:styleId="xl48173">
    <w:name w:val="xl48173"/>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hAnsi="Trebuchet MS"/>
      <w:sz w:val="16"/>
      <w:szCs w:val="16"/>
    </w:rPr>
  </w:style>
  <w:style w:type="paragraph" w:customStyle="1" w:styleId="xl48174">
    <w:name w:val="xl48174"/>
    <w:basedOn w:val="Normal"/>
    <w:rsid w:val="006C000D"/>
    <w:pPr>
      <w:shd w:val="clear" w:color="000000" w:fill="E0E5B3"/>
      <w:spacing w:before="100" w:beforeAutospacing="1" w:after="100" w:afterAutospacing="1"/>
      <w:jc w:val="left"/>
    </w:pPr>
    <w:rPr>
      <w:rFonts w:ascii="Trebuchet MS" w:hAnsi="Trebuchet MS"/>
      <w:b/>
      <w:bCs/>
      <w:szCs w:val="22"/>
    </w:rPr>
  </w:style>
  <w:style w:type="paragraph" w:customStyle="1" w:styleId="xl48175">
    <w:name w:val="xl48175"/>
    <w:basedOn w:val="Normal"/>
    <w:rsid w:val="006C000D"/>
    <w:pPr>
      <w:shd w:val="clear" w:color="000000" w:fill="92D050"/>
      <w:spacing w:before="100" w:beforeAutospacing="1" w:after="100" w:afterAutospacing="1"/>
      <w:jc w:val="left"/>
    </w:pPr>
    <w:rPr>
      <w:rFonts w:ascii="Trebuchet MS" w:hAnsi="Trebuchet MS"/>
      <w:b/>
      <w:bCs/>
      <w:szCs w:val="22"/>
    </w:rPr>
  </w:style>
  <w:style w:type="paragraph" w:customStyle="1" w:styleId="xl48176">
    <w:name w:val="xl48176"/>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8"/>
      <w:szCs w:val="18"/>
    </w:rPr>
  </w:style>
  <w:style w:type="paragraph" w:customStyle="1" w:styleId="xl48177">
    <w:name w:val="xl48177"/>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8"/>
      <w:szCs w:val="18"/>
    </w:rPr>
  </w:style>
  <w:style w:type="paragraph" w:customStyle="1" w:styleId="xl48178">
    <w:name w:val="xl48178"/>
    <w:basedOn w:val="Normal"/>
    <w:rsid w:val="006C000D"/>
    <w:pPr>
      <w:shd w:val="clear" w:color="000000" w:fill="7030A0"/>
      <w:spacing w:before="100" w:beforeAutospacing="1" w:after="100" w:afterAutospacing="1"/>
      <w:jc w:val="left"/>
    </w:pPr>
    <w:rPr>
      <w:rFonts w:ascii="Trebuchet MS" w:hAnsi="Trebuchet MS"/>
      <w:b/>
      <w:bCs/>
      <w:color w:val="FFFFFF"/>
      <w:szCs w:val="22"/>
    </w:rPr>
  </w:style>
  <w:style w:type="paragraph" w:customStyle="1" w:styleId="xl48179">
    <w:name w:val="xl48179"/>
    <w:basedOn w:val="Normal"/>
    <w:rsid w:val="006C000D"/>
    <w:pPr>
      <w:pBdr>
        <w:top w:val="single" w:sz="4" w:space="0" w:color="auto"/>
        <w:left w:val="single" w:sz="4" w:space="0" w:color="auto"/>
        <w:bottom w:val="single" w:sz="4" w:space="0" w:color="auto"/>
      </w:pBdr>
      <w:spacing w:before="100" w:beforeAutospacing="1" w:after="100" w:afterAutospacing="1"/>
      <w:jc w:val="left"/>
    </w:pPr>
    <w:rPr>
      <w:rFonts w:ascii="Trebuchet MS" w:hAnsi="Trebuchet MS"/>
      <w:sz w:val="16"/>
      <w:szCs w:val="16"/>
    </w:rPr>
  </w:style>
  <w:style w:type="paragraph" w:customStyle="1" w:styleId="xl48180">
    <w:name w:val="xl48180"/>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hAnsi="Trebuchet MS"/>
      <w:sz w:val="16"/>
      <w:szCs w:val="16"/>
    </w:rPr>
  </w:style>
  <w:style w:type="paragraph" w:customStyle="1" w:styleId="xl48181">
    <w:name w:val="xl48181"/>
    <w:basedOn w:val="Normal"/>
    <w:rsid w:val="006C000D"/>
    <w:pPr>
      <w:shd w:val="clear" w:color="000000" w:fill="00B050"/>
      <w:spacing w:before="100" w:beforeAutospacing="1" w:after="100" w:afterAutospacing="1"/>
      <w:jc w:val="left"/>
    </w:pPr>
    <w:rPr>
      <w:rFonts w:ascii="Trebuchet MS" w:hAnsi="Trebuchet MS"/>
      <w:b/>
      <w:bCs/>
      <w:color w:val="FFFFFF"/>
      <w:szCs w:val="22"/>
    </w:rPr>
  </w:style>
  <w:style w:type="paragraph" w:customStyle="1" w:styleId="xl48182">
    <w:name w:val="xl48182"/>
    <w:basedOn w:val="Normal"/>
    <w:rsid w:val="006C00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rebuchet MS" w:hAnsi="Trebuchet MS"/>
      <w:b/>
      <w:bCs/>
      <w:szCs w:val="22"/>
    </w:rPr>
  </w:style>
  <w:style w:type="paragraph" w:customStyle="1" w:styleId="xl48183">
    <w:name w:val="xl48183"/>
    <w:basedOn w:val="Normal"/>
    <w:rsid w:val="006C000D"/>
    <w:pPr>
      <w:pBdr>
        <w:top w:val="single" w:sz="4" w:space="0" w:color="auto"/>
        <w:bottom w:val="single" w:sz="4" w:space="0" w:color="auto"/>
        <w:right w:val="single" w:sz="4" w:space="0" w:color="auto"/>
      </w:pBdr>
      <w:shd w:val="clear" w:color="000000" w:fill="DDEBF7"/>
      <w:spacing w:before="100" w:beforeAutospacing="1" w:after="100" w:afterAutospacing="1"/>
      <w:jc w:val="left"/>
    </w:pPr>
    <w:rPr>
      <w:rFonts w:ascii="Trebuchet MS" w:hAnsi="Trebuchet MS"/>
      <w:b/>
      <w:bCs/>
      <w:szCs w:val="22"/>
    </w:rPr>
  </w:style>
  <w:style w:type="paragraph" w:customStyle="1" w:styleId="xl48184">
    <w:name w:val="xl48184"/>
    <w:basedOn w:val="Normal"/>
    <w:rsid w:val="006C000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rebuchet MS" w:hAnsi="Trebuchet MS"/>
      <w:b/>
      <w:bCs/>
      <w:sz w:val="16"/>
      <w:szCs w:val="16"/>
    </w:rPr>
  </w:style>
  <w:style w:type="paragraph" w:customStyle="1" w:styleId="xl48185">
    <w:name w:val="xl48185"/>
    <w:basedOn w:val="Normal"/>
    <w:rsid w:val="006C000D"/>
    <w:pPr>
      <w:pBdr>
        <w:top w:val="single" w:sz="4" w:space="0" w:color="auto"/>
        <w:left w:val="single" w:sz="4" w:space="0" w:color="auto"/>
        <w:bottom w:val="single" w:sz="4" w:space="0" w:color="auto"/>
        <w:right w:val="single" w:sz="4" w:space="0" w:color="auto"/>
      </w:pBdr>
      <w:shd w:val="clear" w:color="000000" w:fill="B3A2C7"/>
      <w:spacing w:before="100" w:beforeAutospacing="1" w:after="100" w:afterAutospacing="1"/>
      <w:jc w:val="left"/>
    </w:pPr>
    <w:rPr>
      <w:rFonts w:ascii="Trebuchet MS" w:hAnsi="Trebuchet MS"/>
      <w:b/>
      <w:bCs/>
      <w:sz w:val="16"/>
      <w:szCs w:val="16"/>
    </w:rPr>
  </w:style>
  <w:style w:type="paragraph" w:customStyle="1" w:styleId="xl48186">
    <w:name w:val="xl48186"/>
    <w:basedOn w:val="Normal"/>
    <w:rsid w:val="006C000D"/>
    <w:pPr>
      <w:pBdr>
        <w:top w:val="single" w:sz="4" w:space="0" w:color="auto"/>
        <w:left w:val="single" w:sz="4" w:space="0" w:color="auto"/>
        <w:bottom w:val="single" w:sz="4" w:space="0" w:color="auto"/>
        <w:right w:val="single" w:sz="4" w:space="0" w:color="auto"/>
      </w:pBdr>
      <w:shd w:val="clear" w:color="000000" w:fill="E0E5B3"/>
      <w:spacing w:before="100" w:beforeAutospacing="1" w:after="100" w:afterAutospacing="1"/>
      <w:jc w:val="left"/>
    </w:pPr>
    <w:rPr>
      <w:rFonts w:ascii="Trebuchet MS" w:hAnsi="Trebuchet MS"/>
      <w:b/>
      <w:bCs/>
      <w:sz w:val="16"/>
      <w:szCs w:val="16"/>
    </w:rPr>
  </w:style>
  <w:style w:type="paragraph" w:customStyle="1" w:styleId="xl48187">
    <w:name w:val="xl48187"/>
    <w:basedOn w:val="Normal"/>
    <w:rsid w:val="006C000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rebuchet MS" w:hAnsi="Trebuchet MS"/>
      <w:b/>
      <w:bCs/>
      <w:sz w:val="16"/>
      <w:szCs w:val="16"/>
    </w:rPr>
  </w:style>
  <w:style w:type="paragraph" w:customStyle="1" w:styleId="xl48188">
    <w:name w:val="xl48188"/>
    <w:basedOn w:val="Normal"/>
    <w:rsid w:val="006C000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Trebuchet MS" w:hAnsi="Trebuchet MS"/>
      <w:b/>
      <w:bCs/>
      <w:color w:val="FFFFFF"/>
      <w:sz w:val="16"/>
      <w:szCs w:val="16"/>
    </w:rPr>
  </w:style>
  <w:style w:type="paragraph" w:customStyle="1" w:styleId="xl48189">
    <w:name w:val="xl48189"/>
    <w:basedOn w:val="Normal"/>
    <w:rsid w:val="006C000D"/>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left"/>
    </w:pPr>
    <w:rPr>
      <w:rFonts w:ascii="Trebuchet MS" w:hAnsi="Trebuchet MS"/>
      <w:b/>
      <w:bCs/>
      <w:color w:val="FFFFFF"/>
      <w:sz w:val="16"/>
      <w:szCs w:val="16"/>
    </w:rPr>
  </w:style>
  <w:style w:type="paragraph" w:customStyle="1" w:styleId="xl48190">
    <w:name w:val="xl48190"/>
    <w:basedOn w:val="Normal"/>
    <w:rsid w:val="006C00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rebuchet MS" w:hAnsi="Trebuchet MS"/>
      <w:b/>
      <w:bCs/>
      <w:sz w:val="16"/>
      <w:szCs w:val="16"/>
    </w:rPr>
  </w:style>
  <w:style w:type="paragraph" w:customStyle="1" w:styleId="xl48191">
    <w:name w:val="xl48191"/>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hAnsi="Trebuchet MS"/>
      <w:sz w:val="16"/>
      <w:szCs w:val="16"/>
    </w:rPr>
  </w:style>
  <w:style w:type="paragraph" w:customStyle="1" w:styleId="xl48192">
    <w:name w:val="xl48192"/>
    <w:basedOn w:val="Normal"/>
    <w:rsid w:val="006C000D"/>
    <w:pPr>
      <w:shd w:val="clear" w:color="000000" w:fill="FFFFFF"/>
      <w:spacing w:before="100" w:beforeAutospacing="1" w:after="100" w:afterAutospacing="1"/>
      <w:jc w:val="left"/>
    </w:pPr>
    <w:rPr>
      <w:rFonts w:ascii="Trebuchet MS" w:hAnsi="Trebuchet MS"/>
      <w:color w:val="000000"/>
      <w:szCs w:val="22"/>
    </w:rPr>
  </w:style>
  <w:style w:type="paragraph" w:customStyle="1" w:styleId="xl48193">
    <w:name w:val="xl48193"/>
    <w:basedOn w:val="Normal"/>
    <w:rsid w:val="006C000D"/>
    <w:pPr>
      <w:spacing w:before="100" w:beforeAutospacing="1" w:after="100" w:afterAutospacing="1"/>
      <w:jc w:val="left"/>
    </w:pPr>
    <w:rPr>
      <w:rFonts w:ascii="Trebuchet MS" w:hAnsi="Trebuchet MS"/>
      <w:sz w:val="24"/>
    </w:rPr>
  </w:style>
  <w:style w:type="paragraph" w:customStyle="1" w:styleId="xl48194">
    <w:name w:val="xl48194"/>
    <w:basedOn w:val="Normal"/>
    <w:rsid w:val="006C000D"/>
    <w:pPr>
      <w:shd w:val="clear" w:color="000000" w:fill="FF0000"/>
      <w:spacing w:before="100" w:beforeAutospacing="1" w:after="100" w:afterAutospacing="1"/>
      <w:jc w:val="left"/>
    </w:pPr>
    <w:rPr>
      <w:rFonts w:ascii="Trebuchet MS" w:hAnsi="Trebuchet MS"/>
      <w:color w:val="000000"/>
      <w:szCs w:val="22"/>
    </w:rPr>
  </w:style>
  <w:style w:type="paragraph" w:customStyle="1" w:styleId="xl48195">
    <w:name w:val="xl48195"/>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6"/>
      <w:szCs w:val="16"/>
    </w:rPr>
  </w:style>
  <w:style w:type="character" w:customStyle="1" w:styleId="markedcontent">
    <w:name w:val="markedcontent"/>
    <w:basedOn w:val="DefaultParagraphFont"/>
    <w:rsid w:val="006C000D"/>
  </w:style>
  <w:style w:type="character" w:customStyle="1" w:styleId="TextecourantCar">
    <w:name w:val="Texte courant Car"/>
    <w:basedOn w:val="CommentTextChar"/>
    <w:link w:val="Textecourant"/>
    <w:qFormat/>
    <w:rsid w:val="006C000D"/>
    <w:rPr>
      <w:rFonts w:ascii="Marianne" w:eastAsia="Times New Roman" w:hAnsi="Marianne" w:cs="Times New Roman"/>
      <w:lang w:eastAsia="fr-FR"/>
    </w:rPr>
  </w:style>
  <w:style w:type="paragraph" w:customStyle="1" w:styleId="Textecourant">
    <w:name w:val="Texte courant"/>
    <w:basedOn w:val="CommentText"/>
    <w:link w:val="TextecourantCar"/>
    <w:qFormat/>
    <w:rsid w:val="006C000D"/>
    <w:pPr>
      <w:spacing w:after="160"/>
    </w:pPr>
  </w:style>
  <w:style w:type="character" w:customStyle="1" w:styleId="field-content">
    <w:name w:val="field-content"/>
    <w:basedOn w:val="DefaultParagraphFont"/>
    <w:rsid w:val="006C000D"/>
  </w:style>
  <w:style w:type="table" w:styleId="ListTable7Colorful-Accent6">
    <w:name w:val="List Table 7 Colorful Accent 6"/>
    <w:basedOn w:val="TableNormal"/>
    <w:uiPriority w:val="52"/>
    <w:rsid w:val="00117FAB"/>
    <w:pPr>
      <w:spacing w:line="240" w:lineRule="auto"/>
    </w:pPr>
    <w:rPr>
      <w:color w:val="E36C0A"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l65">
    <w:name w:val="xl65"/>
    <w:basedOn w:val="Normal"/>
    <w:rsid w:val="00811B0F"/>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811B0F"/>
    <w:pPr>
      <w:spacing w:before="100" w:beforeAutospacing="1" w:after="100" w:afterAutospacing="1"/>
      <w:jc w:val="left"/>
    </w:pPr>
    <w:rPr>
      <w:rFonts w:ascii="Arial" w:hAnsi="Arial" w:cs="Arial"/>
      <w:sz w:val="16"/>
      <w:szCs w:val="16"/>
    </w:rPr>
  </w:style>
  <w:style w:type="paragraph" w:customStyle="1" w:styleId="xl67">
    <w:name w:val="xl67"/>
    <w:basedOn w:val="Normal"/>
    <w:rsid w:val="00811B0F"/>
    <w:pPr>
      <w:pBdr>
        <w:top w:val="single" w:sz="4" w:space="0" w:color="A8A8A8"/>
        <w:left w:val="single" w:sz="4" w:space="0" w:color="A8A8A8"/>
        <w:bottom w:val="single" w:sz="4" w:space="0" w:color="A8A8A8"/>
        <w:right w:val="single" w:sz="4" w:space="0" w:color="A8A8A8"/>
      </w:pBdr>
      <w:spacing w:before="100" w:beforeAutospacing="1" w:after="100" w:afterAutospacing="1"/>
      <w:jc w:val="left"/>
      <w:textAlignment w:val="top"/>
    </w:pPr>
    <w:rPr>
      <w:rFonts w:ascii="Arial" w:hAnsi="Arial" w:cs="Arial"/>
      <w:sz w:val="16"/>
      <w:szCs w:val="16"/>
    </w:rPr>
  </w:style>
  <w:style w:type="paragraph" w:customStyle="1" w:styleId="xl68">
    <w:name w:val="xl68"/>
    <w:basedOn w:val="Normal"/>
    <w:rsid w:val="00811B0F"/>
    <w:pPr>
      <w:spacing w:before="100" w:beforeAutospacing="1" w:after="100" w:afterAutospacing="1"/>
      <w:jc w:val="left"/>
    </w:pPr>
    <w:rPr>
      <w:rFonts w:ascii="Arial" w:hAnsi="Arial" w:cs="Arial"/>
      <w:sz w:val="16"/>
      <w:szCs w:val="16"/>
    </w:rPr>
  </w:style>
  <w:style w:type="paragraph" w:customStyle="1" w:styleId="xl69">
    <w:name w:val="xl69"/>
    <w:basedOn w:val="Normal"/>
    <w:rsid w:val="00811B0F"/>
    <w:pPr>
      <w:pBdr>
        <w:top w:val="single" w:sz="4" w:space="0" w:color="A8A8A8"/>
        <w:left w:val="single" w:sz="4" w:space="0" w:color="A8A8A8"/>
        <w:bottom w:val="single" w:sz="4" w:space="0" w:color="A8A8A8"/>
        <w:right w:val="single" w:sz="4" w:space="0" w:color="A8A8A8"/>
      </w:pBdr>
      <w:spacing w:before="100" w:beforeAutospacing="1" w:after="100" w:afterAutospacing="1"/>
      <w:jc w:val="left"/>
      <w:textAlignment w:val="top"/>
    </w:pPr>
    <w:rPr>
      <w:rFonts w:ascii="Arial" w:hAnsi="Arial" w:cs="Arial"/>
      <w:sz w:val="16"/>
      <w:szCs w:val="16"/>
    </w:rPr>
  </w:style>
  <w:style w:type="paragraph" w:customStyle="1" w:styleId="xl70">
    <w:name w:val="xl70"/>
    <w:basedOn w:val="Normal"/>
    <w:rsid w:val="00811B0F"/>
    <w:pPr>
      <w:spacing w:before="100" w:beforeAutospacing="1" w:after="100" w:afterAutospacing="1"/>
      <w:jc w:val="left"/>
    </w:pPr>
    <w:rPr>
      <w:rFonts w:ascii="Arial" w:hAnsi="Arial" w:cs="Arial"/>
      <w:sz w:val="20"/>
      <w:szCs w:val="20"/>
    </w:rPr>
  </w:style>
  <w:style w:type="paragraph" w:customStyle="1" w:styleId="xl71">
    <w:name w:val="xl71"/>
    <w:basedOn w:val="Normal"/>
    <w:rsid w:val="00811B0F"/>
    <w:pPr>
      <w:pBdr>
        <w:top w:val="single" w:sz="4" w:space="0" w:color="A8A8A8"/>
        <w:left w:val="single" w:sz="4" w:space="0" w:color="A8A8A8"/>
        <w:bottom w:val="single" w:sz="4" w:space="0" w:color="A8A8A8"/>
        <w:right w:val="single" w:sz="4" w:space="0" w:color="A8A8A8"/>
      </w:pBdr>
      <w:shd w:val="clear" w:color="000000" w:fill="E6E6E6"/>
      <w:spacing w:before="100" w:beforeAutospacing="1" w:after="100" w:afterAutospacing="1"/>
      <w:jc w:val="center"/>
      <w:textAlignment w:val="center"/>
    </w:pPr>
    <w:rPr>
      <w:rFonts w:ascii="Arial" w:hAnsi="Arial" w:cs="Arial"/>
      <w:sz w:val="16"/>
      <w:szCs w:val="16"/>
    </w:rPr>
  </w:style>
  <w:style w:type="paragraph" w:customStyle="1" w:styleId="xl72">
    <w:name w:val="xl72"/>
    <w:basedOn w:val="Normal"/>
    <w:rsid w:val="00811B0F"/>
    <w:pPr>
      <w:spacing w:before="100" w:beforeAutospacing="1" w:after="100" w:afterAutospacing="1"/>
      <w:jc w:val="left"/>
    </w:pPr>
    <w:rPr>
      <w:rFonts w:ascii="Arial" w:hAnsi="Arial" w:cs="Arial"/>
      <w:b/>
      <w:bCs/>
      <w:sz w:val="20"/>
      <w:szCs w:val="20"/>
    </w:rPr>
  </w:style>
  <w:style w:type="paragraph" w:customStyle="1" w:styleId="xl73">
    <w:name w:val="xl73"/>
    <w:basedOn w:val="Normal"/>
    <w:rsid w:val="00811B0F"/>
    <w:pPr>
      <w:shd w:val="clear" w:color="000000" w:fill="E6E6E6"/>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811B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rPr>
  </w:style>
  <w:style w:type="paragraph" w:customStyle="1" w:styleId="xl75">
    <w:name w:val="xl75"/>
    <w:basedOn w:val="Normal"/>
    <w:rsid w:val="00811B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76">
    <w:name w:val="xl76"/>
    <w:basedOn w:val="Normal"/>
    <w:rsid w:val="00811B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77">
    <w:name w:val="xl77"/>
    <w:basedOn w:val="Normal"/>
    <w:rsid w:val="00811B0F"/>
    <w:pPr>
      <w:pBdr>
        <w:top w:val="single" w:sz="4" w:space="0" w:color="A8A8A8"/>
        <w:left w:val="single" w:sz="4" w:space="0" w:color="A8A8A8"/>
        <w:bottom w:val="single" w:sz="4" w:space="0" w:color="A8A8A8"/>
        <w:right w:val="single" w:sz="4" w:space="0" w:color="A8A8A8"/>
      </w:pBdr>
      <w:shd w:val="clear" w:color="000000" w:fill="E6E6E6"/>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811B0F"/>
    <w:pPr>
      <w:pBdr>
        <w:top w:val="single" w:sz="4" w:space="0" w:color="A8A8A8"/>
        <w:left w:val="single" w:sz="4" w:space="0" w:color="A8A8A8"/>
        <w:bottom w:val="single" w:sz="4" w:space="0" w:color="A8A8A8"/>
        <w:right w:val="single" w:sz="4" w:space="0" w:color="A8A8A8"/>
      </w:pBdr>
      <w:spacing w:before="100" w:beforeAutospacing="1" w:after="100" w:afterAutospacing="1"/>
      <w:jc w:val="center"/>
      <w:textAlignment w:val="center"/>
    </w:pPr>
    <w:rPr>
      <w:rFonts w:ascii="Arial" w:hAnsi="Arial" w:cs="Arial"/>
      <w:sz w:val="20"/>
      <w:szCs w:val="20"/>
    </w:rPr>
  </w:style>
  <w:style w:type="table" w:styleId="GridTable5Dark-Accent1">
    <w:name w:val="Grid Table 5 Dark Accent 1"/>
    <w:basedOn w:val="TableNormal"/>
    <w:uiPriority w:val="50"/>
    <w:rsid w:val="001808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l140">
    <w:name w:val="xl140"/>
    <w:basedOn w:val="Normal"/>
    <w:rsid w:val="001808DF"/>
    <w:pPr>
      <w:pBdr>
        <w:top w:val="single" w:sz="4" w:space="0" w:color="D9D9D9"/>
        <w:left w:val="single" w:sz="4" w:space="0" w:color="D9D9D9"/>
        <w:right w:val="single" w:sz="4" w:space="0" w:color="D9D9D9"/>
      </w:pBdr>
      <w:spacing w:before="100" w:beforeAutospacing="1" w:after="100" w:afterAutospacing="1"/>
      <w:jc w:val="left"/>
      <w:textAlignment w:val="top"/>
    </w:pPr>
    <w:rPr>
      <w:rFonts w:ascii="Times New Roman" w:hAnsi="Times New Roman"/>
      <w:sz w:val="18"/>
      <w:szCs w:val="18"/>
    </w:rPr>
  </w:style>
  <w:style w:type="paragraph" w:customStyle="1" w:styleId="xl141">
    <w:name w:val="xl141"/>
    <w:basedOn w:val="Normal"/>
    <w:rsid w:val="001808DF"/>
    <w:pPr>
      <w:pBdr>
        <w:top w:val="single" w:sz="4" w:space="0" w:color="D9D9D9"/>
        <w:left w:val="single" w:sz="4" w:space="0" w:color="D9D9D9"/>
        <w:right w:val="single" w:sz="4" w:space="0" w:color="D9D9D9"/>
      </w:pBdr>
      <w:spacing w:before="100" w:beforeAutospacing="1" w:after="100" w:afterAutospacing="1"/>
      <w:jc w:val="right"/>
      <w:textAlignment w:val="top"/>
    </w:pPr>
    <w:rPr>
      <w:rFonts w:ascii="Times New Roman" w:hAnsi="Times New Roman"/>
      <w:sz w:val="18"/>
      <w:szCs w:val="18"/>
    </w:rPr>
  </w:style>
  <w:style w:type="paragraph" w:customStyle="1" w:styleId="xl142">
    <w:name w:val="xl142"/>
    <w:basedOn w:val="Normal"/>
    <w:rsid w:val="001808DF"/>
    <w:pPr>
      <w:pBdr>
        <w:top w:val="single" w:sz="4" w:space="0" w:color="D9D9D9"/>
        <w:left w:val="single" w:sz="4" w:space="7" w:color="D9D9D9"/>
        <w:right w:val="single" w:sz="4" w:space="0" w:color="D9D9D9"/>
      </w:pBdr>
      <w:spacing w:before="100" w:beforeAutospacing="1" w:after="100" w:afterAutospacing="1"/>
      <w:ind w:firstLineChars="100" w:firstLine="100"/>
      <w:jc w:val="left"/>
      <w:textAlignment w:val="top"/>
    </w:pPr>
    <w:rPr>
      <w:rFonts w:ascii="Times New Roman" w:hAnsi="Times New Roman"/>
      <w:sz w:val="18"/>
      <w:szCs w:val="18"/>
    </w:rPr>
  </w:style>
  <w:style w:type="paragraph" w:customStyle="1" w:styleId="xl143">
    <w:name w:val="xl143"/>
    <w:basedOn w:val="Normal"/>
    <w:rsid w:val="001808DF"/>
    <w:pPr>
      <w:pBdr>
        <w:top w:val="single" w:sz="4" w:space="0" w:color="B8B8B8"/>
        <w:left w:val="single" w:sz="4" w:space="0" w:color="B8B8B8"/>
        <w:bottom w:val="single" w:sz="4" w:space="0" w:color="D9D9D9"/>
        <w:right w:val="single" w:sz="4" w:space="0" w:color="B8B8B8"/>
      </w:pBdr>
      <w:spacing w:before="100" w:beforeAutospacing="1" w:after="100" w:afterAutospacing="1"/>
      <w:jc w:val="right"/>
      <w:textAlignment w:val="top"/>
    </w:pPr>
    <w:rPr>
      <w:rFonts w:ascii="Times New Roman" w:hAnsi="Times New Roman"/>
      <w:sz w:val="18"/>
      <w:szCs w:val="18"/>
    </w:rPr>
  </w:style>
  <w:style w:type="paragraph" w:customStyle="1" w:styleId="xl144">
    <w:name w:val="xl144"/>
    <w:basedOn w:val="Normal"/>
    <w:rsid w:val="001808DF"/>
    <w:pPr>
      <w:pBdr>
        <w:top w:val="single" w:sz="4" w:space="0" w:color="000000"/>
        <w:left w:val="single" w:sz="4" w:space="0" w:color="B8B8B8"/>
        <w:bottom w:val="single" w:sz="4" w:space="0" w:color="000000"/>
        <w:right w:val="single" w:sz="4" w:space="0" w:color="D9D9D9"/>
      </w:pBdr>
      <w:spacing w:before="100" w:beforeAutospacing="1" w:after="100" w:afterAutospacing="1"/>
      <w:jc w:val="left"/>
      <w:textAlignment w:val="top"/>
    </w:pPr>
    <w:rPr>
      <w:rFonts w:ascii="Times New Roman" w:hAnsi="Times New Roman"/>
      <w:sz w:val="18"/>
      <w:szCs w:val="18"/>
    </w:rPr>
  </w:style>
  <w:style w:type="paragraph" w:customStyle="1" w:styleId="xl145">
    <w:name w:val="xl145"/>
    <w:basedOn w:val="Normal"/>
    <w:rsid w:val="001808DF"/>
    <w:pPr>
      <w:pBdr>
        <w:top w:val="single" w:sz="4" w:space="0" w:color="000000"/>
        <w:left w:val="single" w:sz="4" w:space="0" w:color="B8B8B8"/>
        <w:bottom w:val="single" w:sz="4" w:space="0" w:color="000000"/>
        <w:right w:val="single" w:sz="4" w:space="0" w:color="B8B8B8"/>
      </w:pBdr>
      <w:shd w:val="clear" w:color="000000" w:fill="F4F4F4"/>
      <w:spacing w:before="100" w:beforeAutospacing="1" w:after="100" w:afterAutospacing="1"/>
      <w:jc w:val="right"/>
      <w:textAlignment w:val="top"/>
    </w:pPr>
    <w:rPr>
      <w:rFonts w:ascii="Times New Roman" w:hAnsi="Times New Roman"/>
      <w:sz w:val="18"/>
      <w:szCs w:val="18"/>
    </w:rPr>
  </w:style>
  <w:style w:type="paragraph" w:customStyle="1" w:styleId="xl146">
    <w:name w:val="xl146"/>
    <w:basedOn w:val="Normal"/>
    <w:rsid w:val="001808DF"/>
    <w:pPr>
      <w:pBdr>
        <w:top w:val="single" w:sz="4" w:space="0" w:color="000000"/>
        <w:left w:val="single" w:sz="4" w:space="0" w:color="B8B8B8"/>
        <w:bottom w:val="single" w:sz="4" w:space="0" w:color="000000"/>
        <w:right w:val="single" w:sz="4" w:space="0" w:color="B8B8B8"/>
      </w:pBdr>
      <w:shd w:val="clear" w:color="000000" w:fill="F4F4F4"/>
      <w:spacing w:before="100" w:beforeAutospacing="1" w:after="100" w:afterAutospacing="1"/>
      <w:jc w:val="right"/>
      <w:textAlignment w:val="top"/>
    </w:pPr>
    <w:rPr>
      <w:rFonts w:ascii="Times New Roman" w:hAnsi="Times New Roman"/>
      <w:sz w:val="18"/>
      <w:szCs w:val="18"/>
    </w:rPr>
  </w:style>
  <w:style w:type="paragraph" w:customStyle="1" w:styleId="xl147">
    <w:name w:val="xl147"/>
    <w:basedOn w:val="Normal"/>
    <w:rsid w:val="001808DF"/>
    <w:pPr>
      <w:pBdr>
        <w:top w:val="single" w:sz="4" w:space="0" w:color="000000"/>
        <w:left w:val="single" w:sz="4" w:space="0" w:color="B8B8B8"/>
        <w:bottom w:val="single" w:sz="4" w:space="0" w:color="000000"/>
        <w:right w:val="single" w:sz="4" w:space="0" w:color="B8B8B8"/>
      </w:pBdr>
      <w:shd w:val="clear" w:color="000000" w:fill="F4F4F4"/>
      <w:spacing w:before="100" w:beforeAutospacing="1" w:after="100" w:afterAutospacing="1"/>
      <w:jc w:val="left"/>
      <w:textAlignment w:val="top"/>
    </w:pPr>
    <w:rPr>
      <w:rFonts w:ascii="Times New Roman" w:hAnsi="Times New Roman"/>
      <w:sz w:val="18"/>
      <w:szCs w:val="18"/>
    </w:rPr>
  </w:style>
  <w:style w:type="paragraph" w:customStyle="1" w:styleId="xl148">
    <w:name w:val="xl148"/>
    <w:basedOn w:val="Normal"/>
    <w:rsid w:val="001808DF"/>
    <w:pPr>
      <w:pBdr>
        <w:top w:val="single" w:sz="4" w:space="0" w:color="B8B8B8"/>
        <w:left w:val="single" w:sz="4" w:space="7" w:color="B8B8B8"/>
        <w:bottom w:val="single" w:sz="4" w:space="0" w:color="D9D9D9"/>
        <w:right w:val="single" w:sz="4" w:space="0" w:color="D9D9D9"/>
      </w:pBdr>
      <w:spacing w:before="100" w:beforeAutospacing="1" w:after="100" w:afterAutospacing="1"/>
      <w:ind w:firstLineChars="100" w:firstLine="100"/>
      <w:jc w:val="left"/>
      <w:textAlignment w:val="top"/>
    </w:pPr>
    <w:rPr>
      <w:rFonts w:ascii="Times New Roman" w:hAnsi="Times New Roman"/>
      <w:sz w:val="18"/>
      <w:szCs w:val="18"/>
    </w:rPr>
  </w:style>
  <w:style w:type="paragraph" w:customStyle="1" w:styleId="xl149">
    <w:name w:val="xl149"/>
    <w:basedOn w:val="Normal"/>
    <w:rsid w:val="001808DF"/>
    <w:pPr>
      <w:pBdr>
        <w:top w:val="single" w:sz="4" w:space="0" w:color="B8B8B8"/>
        <w:left w:val="single" w:sz="4" w:space="0" w:color="B8B8B8"/>
        <w:bottom w:val="single" w:sz="4" w:space="0" w:color="D9D9D9"/>
        <w:right w:val="single" w:sz="4" w:space="0" w:color="B8B8B8"/>
      </w:pBdr>
      <w:spacing w:before="100" w:beforeAutospacing="1" w:after="100" w:afterAutospacing="1"/>
      <w:jc w:val="right"/>
      <w:textAlignment w:val="top"/>
    </w:pPr>
    <w:rPr>
      <w:rFonts w:ascii="Times New Roman" w:hAnsi="Times New Roman"/>
      <w:sz w:val="18"/>
      <w:szCs w:val="18"/>
    </w:rPr>
  </w:style>
  <w:style w:type="paragraph" w:customStyle="1" w:styleId="xl150">
    <w:name w:val="xl150"/>
    <w:basedOn w:val="Normal"/>
    <w:rsid w:val="001808DF"/>
    <w:pPr>
      <w:pBdr>
        <w:top w:val="single" w:sz="4" w:space="0" w:color="B8B8B8"/>
        <w:left w:val="single" w:sz="4" w:space="0" w:color="B8B8B8"/>
        <w:bottom w:val="single" w:sz="4" w:space="0" w:color="D9D9D9"/>
        <w:right w:val="single" w:sz="4" w:space="0" w:color="B8B8B8"/>
      </w:pBdr>
      <w:spacing w:before="100" w:beforeAutospacing="1" w:after="100" w:afterAutospacing="1"/>
      <w:jc w:val="left"/>
      <w:textAlignment w:val="top"/>
    </w:pPr>
    <w:rPr>
      <w:rFonts w:ascii="Times New Roman" w:hAnsi="Times New Roman"/>
      <w:sz w:val="18"/>
      <w:szCs w:val="18"/>
    </w:rPr>
  </w:style>
  <w:style w:type="paragraph" w:customStyle="1" w:styleId="xl151">
    <w:name w:val="xl151"/>
    <w:basedOn w:val="Normal"/>
    <w:rsid w:val="001808DF"/>
    <w:pPr>
      <w:spacing w:before="100" w:beforeAutospacing="1" w:after="100" w:afterAutospacing="1"/>
      <w:jc w:val="left"/>
    </w:pPr>
    <w:rPr>
      <w:rFonts w:ascii="Times New Roman" w:hAnsi="Times New Roman"/>
      <w:sz w:val="24"/>
    </w:rPr>
  </w:style>
  <w:style w:type="paragraph" w:customStyle="1" w:styleId="xl152">
    <w:name w:val="xl152"/>
    <w:basedOn w:val="Normal"/>
    <w:rsid w:val="001808DF"/>
    <w:pPr>
      <w:pBdr>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3">
    <w:name w:val="xl153"/>
    <w:basedOn w:val="Normal"/>
    <w:rsid w:val="001808DF"/>
    <w:pPr>
      <w:pBdr>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4">
    <w:name w:val="xl154"/>
    <w:basedOn w:val="Normal"/>
    <w:rsid w:val="001808DF"/>
    <w:pPr>
      <w:pBdr>
        <w:top w:val="single" w:sz="4" w:space="0" w:color="auto"/>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5">
    <w:name w:val="xl155"/>
    <w:basedOn w:val="Normal"/>
    <w:rsid w:val="001808DF"/>
    <w:pPr>
      <w:pBdr>
        <w:top w:val="single" w:sz="4" w:space="0" w:color="auto"/>
        <w:left w:val="single" w:sz="4" w:space="0" w:color="D9D9D9"/>
        <w:bottom w:val="single" w:sz="4" w:space="0" w:color="auto"/>
      </w:pBdr>
      <w:spacing w:before="100" w:beforeAutospacing="1" w:after="100" w:afterAutospacing="1"/>
      <w:jc w:val="center"/>
      <w:textAlignment w:val="center"/>
    </w:pPr>
    <w:rPr>
      <w:rFonts w:ascii="Times New Roman" w:hAnsi="Times New Roman"/>
      <w:i/>
      <w:iCs/>
      <w:sz w:val="18"/>
      <w:szCs w:val="18"/>
    </w:rPr>
  </w:style>
  <w:style w:type="paragraph" w:customStyle="1" w:styleId="xl156">
    <w:name w:val="xl156"/>
    <w:basedOn w:val="Normal"/>
    <w:rsid w:val="001808DF"/>
    <w:pPr>
      <w:pBdr>
        <w:top w:val="single" w:sz="4" w:space="0" w:color="auto"/>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7">
    <w:name w:val="xl157"/>
    <w:basedOn w:val="Normal"/>
    <w:rsid w:val="001808DF"/>
    <w:pPr>
      <w:pBdr>
        <w:top w:val="single" w:sz="4" w:space="0" w:color="auto"/>
        <w:left w:val="single" w:sz="4" w:space="0" w:color="D9D9D9"/>
        <w:bottom w:val="single" w:sz="4" w:space="0" w:color="auto"/>
        <w:right w:val="single" w:sz="4" w:space="0" w:color="D9D9D9"/>
      </w:pBdr>
      <w:spacing w:before="100" w:beforeAutospacing="1" w:after="100" w:afterAutospacing="1"/>
      <w:jc w:val="left"/>
    </w:pPr>
    <w:rPr>
      <w:rFonts w:ascii="Times New Roman" w:hAnsi="Times New Roman"/>
      <w:i/>
      <w:iCs/>
      <w:sz w:val="24"/>
    </w:rPr>
  </w:style>
  <w:style w:type="paragraph" w:customStyle="1" w:styleId="xl158">
    <w:name w:val="xl158"/>
    <w:basedOn w:val="Normal"/>
    <w:rsid w:val="001808DF"/>
    <w:pPr>
      <w:pBdr>
        <w:top w:val="single" w:sz="4" w:space="0" w:color="auto"/>
        <w:left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9">
    <w:name w:val="xl159"/>
    <w:basedOn w:val="Normal"/>
    <w:rsid w:val="001808DF"/>
    <w:pPr>
      <w:pBdr>
        <w:top w:val="single" w:sz="4" w:space="0" w:color="auto"/>
        <w:left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60">
    <w:name w:val="xl160"/>
    <w:basedOn w:val="Normal"/>
    <w:rsid w:val="001808DF"/>
    <w:pPr>
      <w:pBdr>
        <w:top w:val="single" w:sz="4" w:space="0" w:color="auto"/>
        <w:left w:val="single" w:sz="4" w:space="0" w:color="D9D9D9"/>
        <w:bottom w:val="single" w:sz="4" w:space="0" w:color="auto"/>
      </w:pBdr>
      <w:spacing w:before="100" w:beforeAutospacing="1" w:after="100" w:afterAutospacing="1"/>
      <w:jc w:val="left"/>
    </w:pPr>
    <w:rPr>
      <w:rFonts w:ascii="Times New Roman" w:hAnsi="Times New Roman"/>
      <w:i/>
      <w:iCs/>
      <w:sz w:val="24"/>
    </w:rPr>
  </w:style>
  <w:style w:type="paragraph" w:customStyle="1" w:styleId="xl161">
    <w:name w:val="xl161"/>
    <w:basedOn w:val="Normal"/>
    <w:rsid w:val="001808DF"/>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62">
    <w:name w:val="xl162"/>
    <w:basedOn w:val="Normal"/>
    <w:rsid w:val="001808DF"/>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table" w:styleId="ListTable3-Accent1">
    <w:name w:val="List Table 3 Accent 1"/>
    <w:basedOn w:val="TableNormal"/>
    <w:uiPriority w:val="48"/>
    <w:rsid w:val="001808DF"/>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F83B9E"/>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927E59"/>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4D4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09866">
      <w:bodyDiv w:val="1"/>
      <w:marLeft w:val="0"/>
      <w:marRight w:val="0"/>
      <w:marTop w:val="0"/>
      <w:marBottom w:val="0"/>
      <w:divBdr>
        <w:top w:val="none" w:sz="0" w:space="0" w:color="auto"/>
        <w:left w:val="none" w:sz="0" w:space="0" w:color="auto"/>
        <w:bottom w:val="none" w:sz="0" w:space="0" w:color="auto"/>
        <w:right w:val="none" w:sz="0" w:space="0" w:color="auto"/>
      </w:divBdr>
      <w:divsChild>
        <w:div w:id="942225335">
          <w:marLeft w:val="0"/>
          <w:marRight w:val="0"/>
          <w:marTop w:val="0"/>
          <w:marBottom w:val="0"/>
          <w:divBdr>
            <w:top w:val="none" w:sz="0" w:space="0" w:color="auto"/>
            <w:left w:val="none" w:sz="0" w:space="0" w:color="auto"/>
            <w:bottom w:val="none" w:sz="0" w:space="0" w:color="auto"/>
            <w:right w:val="none" w:sz="0" w:space="0" w:color="auto"/>
          </w:divBdr>
          <w:divsChild>
            <w:div w:id="1804545042">
              <w:marLeft w:val="0"/>
              <w:marRight w:val="0"/>
              <w:marTop w:val="0"/>
              <w:marBottom w:val="0"/>
              <w:divBdr>
                <w:top w:val="none" w:sz="0" w:space="0" w:color="auto"/>
                <w:left w:val="none" w:sz="0" w:space="0" w:color="auto"/>
                <w:bottom w:val="none" w:sz="0" w:space="0" w:color="auto"/>
                <w:right w:val="none" w:sz="0" w:space="0" w:color="auto"/>
              </w:divBdr>
              <w:divsChild>
                <w:div w:id="20724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729">
      <w:bodyDiv w:val="1"/>
      <w:marLeft w:val="0"/>
      <w:marRight w:val="0"/>
      <w:marTop w:val="0"/>
      <w:marBottom w:val="0"/>
      <w:divBdr>
        <w:top w:val="none" w:sz="0" w:space="0" w:color="auto"/>
        <w:left w:val="none" w:sz="0" w:space="0" w:color="auto"/>
        <w:bottom w:val="none" w:sz="0" w:space="0" w:color="auto"/>
        <w:right w:val="none" w:sz="0" w:space="0" w:color="auto"/>
      </w:divBdr>
    </w:div>
    <w:div w:id="110057757">
      <w:bodyDiv w:val="1"/>
      <w:marLeft w:val="0"/>
      <w:marRight w:val="0"/>
      <w:marTop w:val="0"/>
      <w:marBottom w:val="0"/>
      <w:divBdr>
        <w:top w:val="none" w:sz="0" w:space="0" w:color="auto"/>
        <w:left w:val="none" w:sz="0" w:space="0" w:color="auto"/>
        <w:bottom w:val="none" w:sz="0" w:space="0" w:color="auto"/>
        <w:right w:val="none" w:sz="0" w:space="0" w:color="auto"/>
      </w:divBdr>
    </w:div>
    <w:div w:id="140734816">
      <w:bodyDiv w:val="1"/>
      <w:marLeft w:val="0"/>
      <w:marRight w:val="0"/>
      <w:marTop w:val="0"/>
      <w:marBottom w:val="0"/>
      <w:divBdr>
        <w:top w:val="none" w:sz="0" w:space="0" w:color="auto"/>
        <w:left w:val="none" w:sz="0" w:space="0" w:color="auto"/>
        <w:bottom w:val="none" w:sz="0" w:space="0" w:color="auto"/>
        <w:right w:val="none" w:sz="0" w:space="0" w:color="auto"/>
      </w:divBdr>
      <w:divsChild>
        <w:div w:id="498692387">
          <w:marLeft w:val="0"/>
          <w:marRight w:val="0"/>
          <w:marTop w:val="0"/>
          <w:marBottom w:val="0"/>
          <w:divBdr>
            <w:top w:val="none" w:sz="0" w:space="0" w:color="auto"/>
            <w:left w:val="none" w:sz="0" w:space="0" w:color="auto"/>
            <w:bottom w:val="none" w:sz="0" w:space="0" w:color="auto"/>
            <w:right w:val="none" w:sz="0" w:space="0" w:color="auto"/>
          </w:divBdr>
          <w:divsChild>
            <w:div w:id="2131244820">
              <w:marLeft w:val="0"/>
              <w:marRight w:val="0"/>
              <w:marTop w:val="0"/>
              <w:marBottom w:val="0"/>
              <w:divBdr>
                <w:top w:val="none" w:sz="0" w:space="0" w:color="auto"/>
                <w:left w:val="none" w:sz="0" w:space="0" w:color="auto"/>
                <w:bottom w:val="none" w:sz="0" w:space="0" w:color="auto"/>
                <w:right w:val="none" w:sz="0" w:space="0" w:color="auto"/>
              </w:divBdr>
              <w:divsChild>
                <w:div w:id="10717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0671">
      <w:bodyDiv w:val="1"/>
      <w:marLeft w:val="0"/>
      <w:marRight w:val="0"/>
      <w:marTop w:val="0"/>
      <w:marBottom w:val="0"/>
      <w:divBdr>
        <w:top w:val="none" w:sz="0" w:space="0" w:color="auto"/>
        <w:left w:val="none" w:sz="0" w:space="0" w:color="auto"/>
        <w:bottom w:val="none" w:sz="0" w:space="0" w:color="auto"/>
        <w:right w:val="none" w:sz="0" w:space="0" w:color="auto"/>
      </w:divBdr>
      <w:divsChild>
        <w:div w:id="1765690337">
          <w:marLeft w:val="0"/>
          <w:marRight w:val="0"/>
          <w:marTop w:val="0"/>
          <w:marBottom w:val="0"/>
          <w:divBdr>
            <w:top w:val="none" w:sz="0" w:space="0" w:color="auto"/>
            <w:left w:val="none" w:sz="0" w:space="0" w:color="auto"/>
            <w:bottom w:val="none" w:sz="0" w:space="0" w:color="auto"/>
            <w:right w:val="none" w:sz="0" w:space="0" w:color="auto"/>
          </w:divBdr>
          <w:divsChild>
            <w:div w:id="1842044550">
              <w:marLeft w:val="0"/>
              <w:marRight w:val="0"/>
              <w:marTop w:val="0"/>
              <w:marBottom w:val="0"/>
              <w:divBdr>
                <w:top w:val="none" w:sz="0" w:space="0" w:color="auto"/>
                <w:left w:val="none" w:sz="0" w:space="0" w:color="auto"/>
                <w:bottom w:val="none" w:sz="0" w:space="0" w:color="auto"/>
                <w:right w:val="none" w:sz="0" w:space="0" w:color="auto"/>
              </w:divBdr>
              <w:divsChild>
                <w:div w:id="7814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405">
      <w:bodyDiv w:val="1"/>
      <w:marLeft w:val="0"/>
      <w:marRight w:val="0"/>
      <w:marTop w:val="0"/>
      <w:marBottom w:val="0"/>
      <w:divBdr>
        <w:top w:val="none" w:sz="0" w:space="0" w:color="auto"/>
        <w:left w:val="none" w:sz="0" w:space="0" w:color="auto"/>
        <w:bottom w:val="none" w:sz="0" w:space="0" w:color="auto"/>
        <w:right w:val="none" w:sz="0" w:space="0" w:color="auto"/>
      </w:divBdr>
    </w:div>
    <w:div w:id="272710805">
      <w:bodyDiv w:val="1"/>
      <w:marLeft w:val="0"/>
      <w:marRight w:val="0"/>
      <w:marTop w:val="0"/>
      <w:marBottom w:val="0"/>
      <w:divBdr>
        <w:top w:val="none" w:sz="0" w:space="0" w:color="auto"/>
        <w:left w:val="none" w:sz="0" w:space="0" w:color="auto"/>
        <w:bottom w:val="none" w:sz="0" w:space="0" w:color="auto"/>
        <w:right w:val="none" w:sz="0" w:space="0" w:color="auto"/>
      </w:divBdr>
      <w:divsChild>
        <w:div w:id="1050501354">
          <w:marLeft w:val="0"/>
          <w:marRight w:val="0"/>
          <w:marTop w:val="0"/>
          <w:marBottom w:val="0"/>
          <w:divBdr>
            <w:top w:val="none" w:sz="0" w:space="0" w:color="auto"/>
            <w:left w:val="none" w:sz="0" w:space="0" w:color="auto"/>
            <w:bottom w:val="none" w:sz="0" w:space="0" w:color="auto"/>
            <w:right w:val="none" w:sz="0" w:space="0" w:color="auto"/>
          </w:divBdr>
          <w:divsChild>
            <w:div w:id="460152370">
              <w:marLeft w:val="0"/>
              <w:marRight w:val="0"/>
              <w:marTop w:val="0"/>
              <w:marBottom w:val="0"/>
              <w:divBdr>
                <w:top w:val="none" w:sz="0" w:space="0" w:color="auto"/>
                <w:left w:val="none" w:sz="0" w:space="0" w:color="auto"/>
                <w:bottom w:val="none" w:sz="0" w:space="0" w:color="auto"/>
                <w:right w:val="none" w:sz="0" w:space="0" w:color="auto"/>
              </w:divBdr>
              <w:divsChild>
                <w:div w:id="20514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3782">
      <w:bodyDiv w:val="1"/>
      <w:marLeft w:val="0"/>
      <w:marRight w:val="0"/>
      <w:marTop w:val="0"/>
      <w:marBottom w:val="0"/>
      <w:divBdr>
        <w:top w:val="none" w:sz="0" w:space="0" w:color="auto"/>
        <w:left w:val="none" w:sz="0" w:space="0" w:color="auto"/>
        <w:bottom w:val="none" w:sz="0" w:space="0" w:color="auto"/>
        <w:right w:val="none" w:sz="0" w:space="0" w:color="auto"/>
      </w:divBdr>
      <w:divsChild>
        <w:div w:id="322050250">
          <w:marLeft w:val="0"/>
          <w:marRight w:val="0"/>
          <w:marTop w:val="0"/>
          <w:marBottom w:val="0"/>
          <w:divBdr>
            <w:top w:val="none" w:sz="0" w:space="0" w:color="auto"/>
            <w:left w:val="none" w:sz="0" w:space="0" w:color="auto"/>
            <w:bottom w:val="none" w:sz="0" w:space="0" w:color="auto"/>
            <w:right w:val="none" w:sz="0" w:space="0" w:color="auto"/>
          </w:divBdr>
          <w:divsChild>
            <w:div w:id="1551065052">
              <w:marLeft w:val="0"/>
              <w:marRight w:val="0"/>
              <w:marTop w:val="0"/>
              <w:marBottom w:val="0"/>
              <w:divBdr>
                <w:top w:val="none" w:sz="0" w:space="0" w:color="auto"/>
                <w:left w:val="none" w:sz="0" w:space="0" w:color="auto"/>
                <w:bottom w:val="none" w:sz="0" w:space="0" w:color="auto"/>
                <w:right w:val="none" w:sz="0" w:space="0" w:color="auto"/>
              </w:divBdr>
              <w:divsChild>
                <w:div w:id="14455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20957">
      <w:bodyDiv w:val="1"/>
      <w:marLeft w:val="0"/>
      <w:marRight w:val="0"/>
      <w:marTop w:val="0"/>
      <w:marBottom w:val="0"/>
      <w:divBdr>
        <w:top w:val="none" w:sz="0" w:space="0" w:color="auto"/>
        <w:left w:val="none" w:sz="0" w:space="0" w:color="auto"/>
        <w:bottom w:val="none" w:sz="0" w:space="0" w:color="auto"/>
        <w:right w:val="none" w:sz="0" w:space="0" w:color="auto"/>
      </w:divBdr>
      <w:divsChild>
        <w:div w:id="1752895833">
          <w:marLeft w:val="0"/>
          <w:marRight w:val="0"/>
          <w:marTop w:val="0"/>
          <w:marBottom w:val="0"/>
          <w:divBdr>
            <w:top w:val="none" w:sz="0" w:space="0" w:color="auto"/>
            <w:left w:val="none" w:sz="0" w:space="0" w:color="auto"/>
            <w:bottom w:val="none" w:sz="0" w:space="0" w:color="auto"/>
            <w:right w:val="none" w:sz="0" w:space="0" w:color="auto"/>
          </w:divBdr>
          <w:divsChild>
            <w:div w:id="1568956866">
              <w:marLeft w:val="0"/>
              <w:marRight w:val="0"/>
              <w:marTop w:val="0"/>
              <w:marBottom w:val="0"/>
              <w:divBdr>
                <w:top w:val="none" w:sz="0" w:space="0" w:color="auto"/>
                <w:left w:val="none" w:sz="0" w:space="0" w:color="auto"/>
                <w:bottom w:val="none" w:sz="0" w:space="0" w:color="auto"/>
                <w:right w:val="none" w:sz="0" w:space="0" w:color="auto"/>
              </w:divBdr>
              <w:divsChild>
                <w:div w:id="7425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336170">
      <w:bodyDiv w:val="1"/>
      <w:marLeft w:val="0"/>
      <w:marRight w:val="0"/>
      <w:marTop w:val="0"/>
      <w:marBottom w:val="0"/>
      <w:divBdr>
        <w:top w:val="none" w:sz="0" w:space="0" w:color="auto"/>
        <w:left w:val="none" w:sz="0" w:space="0" w:color="auto"/>
        <w:bottom w:val="none" w:sz="0" w:space="0" w:color="auto"/>
        <w:right w:val="none" w:sz="0" w:space="0" w:color="auto"/>
      </w:divBdr>
      <w:divsChild>
        <w:div w:id="1642423505">
          <w:marLeft w:val="0"/>
          <w:marRight w:val="0"/>
          <w:marTop w:val="0"/>
          <w:marBottom w:val="0"/>
          <w:divBdr>
            <w:top w:val="none" w:sz="0" w:space="0" w:color="auto"/>
            <w:left w:val="none" w:sz="0" w:space="0" w:color="auto"/>
            <w:bottom w:val="none" w:sz="0" w:space="0" w:color="auto"/>
            <w:right w:val="none" w:sz="0" w:space="0" w:color="auto"/>
          </w:divBdr>
          <w:divsChild>
            <w:div w:id="636301224">
              <w:marLeft w:val="0"/>
              <w:marRight w:val="0"/>
              <w:marTop w:val="0"/>
              <w:marBottom w:val="0"/>
              <w:divBdr>
                <w:top w:val="none" w:sz="0" w:space="0" w:color="auto"/>
                <w:left w:val="none" w:sz="0" w:space="0" w:color="auto"/>
                <w:bottom w:val="none" w:sz="0" w:space="0" w:color="auto"/>
                <w:right w:val="none" w:sz="0" w:space="0" w:color="auto"/>
              </w:divBdr>
              <w:divsChild>
                <w:div w:id="1855076113">
                  <w:marLeft w:val="0"/>
                  <w:marRight w:val="0"/>
                  <w:marTop w:val="0"/>
                  <w:marBottom w:val="0"/>
                  <w:divBdr>
                    <w:top w:val="none" w:sz="0" w:space="0" w:color="auto"/>
                    <w:left w:val="none" w:sz="0" w:space="0" w:color="auto"/>
                    <w:bottom w:val="none" w:sz="0" w:space="0" w:color="auto"/>
                    <w:right w:val="none" w:sz="0" w:space="0" w:color="auto"/>
                  </w:divBdr>
                </w:div>
              </w:divsChild>
            </w:div>
            <w:div w:id="988511300">
              <w:marLeft w:val="0"/>
              <w:marRight w:val="0"/>
              <w:marTop w:val="0"/>
              <w:marBottom w:val="0"/>
              <w:divBdr>
                <w:top w:val="none" w:sz="0" w:space="0" w:color="auto"/>
                <w:left w:val="none" w:sz="0" w:space="0" w:color="auto"/>
                <w:bottom w:val="none" w:sz="0" w:space="0" w:color="auto"/>
                <w:right w:val="none" w:sz="0" w:space="0" w:color="auto"/>
              </w:divBdr>
              <w:divsChild>
                <w:div w:id="981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750">
          <w:marLeft w:val="0"/>
          <w:marRight w:val="0"/>
          <w:marTop w:val="0"/>
          <w:marBottom w:val="0"/>
          <w:divBdr>
            <w:top w:val="none" w:sz="0" w:space="0" w:color="auto"/>
            <w:left w:val="none" w:sz="0" w:space="0" w:color="auto"/>
            <w:bottom w:val="none" w:sz="0" w:space="0" w:color="auto"/>
            <w:right w:val="none" w:sz="0" w:space="0" w:color="auto"/>
          </w:divBdr>
          <w:divsChild>
            <w:div w:id="61098736">
              <w:marLeft w:val="0"/>
              <w:marRight w:val="0"/>
              <w:marTop w:val="0"/>
              <w:marBottom w:val="0"/>
              <w:divBdr>
                <w:top w:val="none" w:sz="0" w:space="0" w:color="auto"/>
                <w:left w:val="none" w:sz="0" w:space="0" w:color="auto"/>
                <w:bottom w:val="none" w:sz="0" w:space="0" w:color="auto"/>
                <w:right w:val="none" w:sz="0" w:space="0" w:color="auto"/>
              </w:divBdr>
              <w:divsChild>
                <w:div w:id="1120150607">
                  <w:marLeft w:val="0"/>
                  <w:marRight w:val="0"/>
                  <w:marTop w:val="0"/>
                  <w:marBottom w:val="0"/>
                  <w:divBdr>
                    <w:top w:val="none" w:sz="0" w:space="0" w:color="auto"/>
                    <w:left w:val="none" w:sz="0" w:space="0" w:color="auto"/>
                    <w:bottom w:val="none" w:sz="0" w:space="0" w:color="auto"/>
                    <w:right w:val="none" w:sz="0" w:space="0" w:color="auto"/>
                  </w:divBdr>
                </w:div>
              </w:divsChild>
            </w:div>
            <w:div w:id="1751611643">
              <w:marLeft w:val="0"/>
              <w:marRight w:val="0"/>
              <w:marTop w:val="0"/>
              <w:marBottom w:val="0"/>
              <w:divBdr>
                <w:top w:val="none" w:sz="0" w:space="0" w:color="auto"/>
                <w:left w:val="none" w:sz="0" w:space="0" w:color="auto"/>
                <w:bottom w:val="none" w:sz="0" w:space="0" w:color="auto"/>
                <w:right w:val="none" w:sz="0" w:space="0" w:color="auto"/>
              </w:divBdr>
              <w:divsChild>
                <w:div w:id="20540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7505">
      <w:bodyDiv w:val="1"/>
      <w:marLeft w:val="0"/>
      <w:marRight w:val="0"/>
      <w:marTop w:val="0"/>
      <w:marBottom w:val="0"/>
      <w:divBdr>
        <w:top w:val="none" w:sz="0" w:space="0" w:color="auto"/>
        <w:left w:val="none" w:sz="0" w:space="0" w:color="auto"/>
        <w:bottom w:val="none" w:sz="0" w:space="0" w:color="auto"/>
        <w:right w:val="none" w:sz="0" w:space="0" w:color="auto"/>
      </w:divBdr>
      <w:divsChild>
        <w:div w:id="403072248">
          <w:marLeft w:val="0"/>
          <w:marRight w:val="0"/>
          <w:marTop w:val="0"/>
          <w:marBottom w:val="0"/>
          <w:divBdr>
            <w:top w:val="none" w:sz="0" w:space="0" w:color="auto"/>
            <w:left w:val="none" w:sz="0" w:space="0" w:color="auto"/>
            <w:bottom w:val="none" w:sz="0" w:space="0" w:color="auto"/>
            <w:right w:val="none" w:sz="0" w:space="0" w:color="auto"/>
          </w:divBdr>
          <w:divsChild>
            <w:div w:id="1242566024">
              <w:marLeft w:val="0"/>
              <w:marRight w:val="0"/>
              <w:marTop w:val="0"/>
              <w:marBottom w:val="0"/>
              <w:divBdr>
                <w:top w:val="none" w:sz="0" w:space="0" w:color="auto"/>
                <w:left w:val="none" w:sz="0" w:space="0" w:color="auto"/>
                <w:bottom w:val="none" w:sz="0" w:space="0" w:color="auto"/>
                <w:right w:val="none" w:sz="0" w:space="0" w:color="auto"/>
              </w:divBdr>
              <w:divsChild>
                <w:div w:id="9806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6713">
          <w:marLeft w:val="0"/>
          <w:marRight w:val="0"/>
          <w:marTop w:val="0"/>
          <w:marBottom w:val="0"/>
          <w:divBdr>
            <w:top w:val="none" w:sz="0" w:space="0" w:color="auto"/>
            <w:left w:val="none" w:sz="0" w:space="0" w:color="auto"/>
            <w:bottom w:val="none" w:sz="0" w:space="0" w:color="auto"/>
            <w:right w:val="none" w:sz="0" w:space="0" w:color="auto"/>
          </w:divBdr>
          <w:divsChild>
            <w:div w:id="637151426">
              <w:marLeft w:val="0"/>
              <w:marRight w:val="0"/>
              <w:marTop w:val="0"/>
              <w:marBottom w:val="0"/>
              <w:divBdr>
                <w:top w:val="none" w:sz="0" w:space="0" w:color="auto"/>
                <w:left w:val="none" w:sz="0" w:space="0" w:color="auto"/>
                <w:bottom w:val="none" w:sz="0" w:space="0" w:color="auto"/>
                <w:right w:val="none" w:sz="0" w:space="0" w:color="auto"/>
              </w:divBdr>
              <w:divsChild>
                <w:div w:id="238708734">
                  <w:marLeft w:val="0"/>
                  <w:marRight w:val="0"/>
                  <w:marTop w:val="0"/>
                  <w:marBottom w:val="0"/>
                  <w:divBdr>
                    <w:top w:val="none" w:sz="0" w:space="0" w:color="auto"/>
                    <w:left w:val="none" w:sz="0" w:space="0" w:color="auto"/>
                    <w:bottom w:val="none" w:sz="0" w:space="0" w:color="auto"/>
                    <w:right w:val="none" w:sz="0" w:space="0" w:color="auto"/>
                  </w:divBdr>
                </w:div>
              </w:divsChild>
            </w:div>
            <w:div w:id="1194994938">
              <w:marLeft w:val="0"/>
              <w:marRight w:val="0"/>
              <w:marTop w:val="0"/>
              <w:marBottom w:val="0"/>
              <w:divBdr>
                <w:top w:val="none" w:sz="0" w:space="0" w:color="auto"/>
                <w:left w:val="none" w:sz="0" w:space="0" w:color="auto"/>
                <w:bottom w:val="none" w:sz="0" w:space="0" w:color="auto"/>
                <w:right w:val="none" w:sz="0" w:space="0" w:color="auto"/>
              </w:divBdr>
              <w:divsChild>
                <w:div w:id="2979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7766">
      <w:bodyDiv w:val="1"/>
      <w:marLeft w:val="0"/>
      <w:marRight w:val="0"/>
      <w:marTop w:val="0"/>
      <w:marBottom w:val="0"/>
      <w:divBdr>
        <w:top w:val="none" w:sz="0" w:space="0" w:color="auto"/>
        <w:left w:val="none" w:sz="0" w:space="0" w:color="auto"/>
        <w:bottom w:val="none" w:sz="0" w:space="0" w:color="auto"/>
        <w:right w:val="none" w:sz="0" w:space="0" w:color="auto"/>
      </w:divBdr>
      <w:divsChild>
        <w:div w:id="1809273745">
          <w:marLeft w:val="0"/>
          <w:marRight w:val="0"/>
          <w:marTop w:val="0"/>
          <w:marBottom w:val="0"/>
          <w:divBdr>
            <w:top w:val="none" w:sz="0" w:space="0" w:color="auto"/>
            <w:left w:val="none" w:sz="0" w:space="0" w:color="auto"/>
            <w:bottom w:val="none" w:sz="0" w:space="0" w:color="auto"/>
            <w:right w:val="none" w:sz="0" w:space="0" w:color="auto"/>
          </w:divBdr>
          <w:divsChild>
            <w:div w:id="18943947">
              <w:marLeft w:val="0"/>
              <w:marRight w:val="0"/>
              <w:marTop w:val="0"/>
              <w:marBottom w:val="0"/>
              <w:divBdr>
                <w:top w:val="none" w:sz="0" w:space="0" w:color="auto"/>
                <w:left w:val="none" w:sz="0" w:space="0" w:color="auto"/>
                <w:bottom w:val="none" w:sz="0" w:space="0" w:color="auto"/>
                <w:right w:val="none" w:sz="0" w:space="0" w:color="auto"/>
              </w:divBdr>
              <w:divsChild>
                <w:div w:id="1786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30173">
          <w:marLeft w:val="0"/>
          <w:marRight w:val="0"/>
          <w:marTop w:val="0"/>
          <w:marBottom w:val="0"/>
          <w:divBdr>
            <w:top w:val="none" w:sz="0" w:space="0" w:color="auto"/>
            <w:left w:val="none" w:sz="0" w:space="0" w:color="auto"/>
            <w:bottom w:val="none" w:sz="0" w:space="0" w:color="auto"/>
            <w:right w:val="none" w:sz="0" w:space="0" w:color="auto"/>
          </w:divBdr>
          <w:divsChild>
            <w:div w:id="431050727">
              <w:marLeft w:val="0"/>
              <w:marRight w:val="0"/>
              <w:marTop w:val="0"/>
              <w:marBottom w:val="0"/>
              <w:divBdr>
                <w:top w:val="none" w:sz="0" w:space="0" w:color="auto"/>
                <w:left w:val="none" w:sz="0" w:space="0" w:color="auto"/>
                <w:bottom w:val="none" w:sz="0" w:space="0" w:color="auto"/>
                <w:right w:val="none" w:sz="0" w:space="0" w:color="auto"/>
              </w:divBdr>
              <w:divsChild>
                <w:div w:id="1104418688">
                  <w:marLeft w:val="0"/>
                  <w:marRight w:val="0"/>
                  <w:marTop w:val="0"/>
                  <w:marBottom w:val="0"/>
                  <w:divBdr>
                    <w:top w:val="none" w:sz="0" w:space="0" w:color="auto"/>
                    <w:left w:val="none" w:sz="0" w:space="0" w:color="auto"/>
                    <w:bottom w:val="none" w:sz="0" w:space="0" w:color="auto"/>
                    <w:right w:val="none" w:sz="0" w:space="0" w:color="auto"/>
                  </w:divBdr>
                </w:div>
              </w:divsChild>
            </w:div>
            <w:div w:id="1904024142">
              <w:marLeft w:val="0"/>
              <w:marRight w:val="0"/>
              <w:marTop w:val="0"/>
              <w:marBottom w:val="0"/>
              <w:divBdr>
                <w:top w:val="none" w:sz="0" w:space="0" w:color="auto"/>
                <w:left w:val="none" w:sz="0" w:space="0" w:color="auto"/>
                <w:bottom w:val="none" w:sz="0" w:space="0" w:color="auto"/>
                <w:right w:val="none" w:sz="0" w:space="0" w:color="auto"/>
              </w:divBdr>
              <w:divsChild>
                <w:div w:id="5973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7188">
      <w:bodyDiv w:val="1"/>
      <w:marLeft w:val="0"/>
      <w:marRight w:val="0"/>
      <w:marTop w:val="0"/>
      <w:marBottom w:val="0"/>
      <w:divBdr>
        <w:top w:val="none" w:sz="0" w:space="0" w:color="auto"/>
        <w:left w:val="none" w:sz="0" w:space="0" w:color="auto"/>
        <w:bottom w:val="none" w:sz="0" w:space="0" w:color="auto"/>
        <w:right w:val="none" w:sz="0" w:space="0" w:color="auto"/>
      </w:divBdr>
      <w:divsChild>
        <w:div w:id="514152528">
          <w:marLeft w:val="0"/>
          <w:marRight w:val="0"/>
          <w:marTop w:val="0"/>
          <w:marBottom w:val="0"/>
          <w:divBdr>
            <w:top w:val="none" w:sz="0" w:space="0" w:color="auto"/>
            <w:left w:val="none" w:sz="0" w:space="0" w:color="auto"/>
            <w:bottom w:val="none" w:sz="0" w:space="0" w:color="auto"/>
            <w:right w:val="none" w:sz="0" w:space="0" w:color="auto"/>
          </w:divBdr>
          <w:divsChild>
            <w:div w:id="709302651">
              <w:marLeft w:val="0"/>
              <w:marRight w:val="0"/>
              <w:marTop w:val="0"/>
              <w:marBottom w:val="0"/>
              <w:divBdr>
                <w:top w:val="none" w:sz="0" w:space="0" w:color="auto"/>
                <w:left w:val="none" w:sz="0" w:space="0" w:color="auto"/>
                <w:bottom w:val="none" w:sz="0" w:space="0" w:color="auto"/>
                <w:right w:val="none" w:sz="0" w:space="0" w:color="auto"/>
              </w:divBdr>
              <w:divsChild>
                <w:div w:id="241641539">
                  <w:marLeft w:val="0"/>
                  <w:marRight w:val="0"/>
                  <w:marTop w:val="0"/>
                  <w:marBottom w:val="0"/>
                  <w:divBdr>
                    <w:top w:val="none" w:sz="0" w:space="0" w:color="auto"/>
                    <w:left w:val="none" w:sz="0" w:space="0" w:color="auto"/>
                    <w:bottom w:val="none" w:sz="0" w:space="0" w:color="auto"/>
                    <w:right w:val="none" w:sz="0" w:space="0" w:color="auto"/>
                  </w:divBdr>
                </w:div>
              </w:divsChild>
            </w:div>
            <w:div w:id="1217471611">
              <w:marLeft w:val="0"/>
              <w:marRight w:val="0"/>
              <w:marTop w:val="0"/>
              <w:marBottom w:val="0"/>
              <w:divBdr>
                <w:top w:val="none" w:sz="0" w:space="0" w:color="auto"/>
                <w:left w:val="none" w:sz="0" w:space="0" w:color="auto"/>
                <w:bottom w:val="none" w:sz="0" w:space="0" w:color="auto"/>
                <w:right w:val="none" w:sz="0" w:space="0" w:color="auto"/>
              </w:divBdr>
              <w:divsChild>
                <w:div w:id="4254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29003">
          <w:marLeft w:val="0"/>
          <w:marRight w:val="0"/>
          <w:marTop w:val="0"/>
          <w:marBottom w:val="0"/>
          <w:divBdr>
            <w:top w:val="none" w:sz="0" w:space="0" w:color="auto"/>
            <w:left w:val="none" w:sz="0" w:space="0" w:color="auto"/>
            <w:bottom w:val="none" w:sz="0" w:space="0" w:color="auto"/>
            <w:right w:val="none" w:sz="0" w:space="0" w:color="auto"/>
          </w:divBdr>
          <w:divsChild>
            <w:div w:id="1234781401">
              <w:marLeft w:val="0"/>
              <w:marRight w:val="0"/>
              <w:marTop w:val="0"/>
              <w:marBottom w:val="0"/>
              <w:divBdr>
                <w:top w:val="none" w:sz="0" w:space="0" w:color="auto"/>
                <w:left w:val="none" w:sz="0" w:space="0" w:color="auto"/>
                <w:bottom w:val="none" w:sz="0" w:space="0" w:color="auto"/>
                <w:right w:val="none" w:sz="0" w:space="0" w:color="auto"/>
              </w:divBdr>
              <w:divsChild>
                <w:div w:id="6671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5646">
      <w:bodyDiv w:val="1"/>
      <w:marLeft w:val="0"/>
      <w:marRight w:val="0"/>
      <w:marTop w:val="0"/>
      <w:marBottom w:val="0"/>
      <w:divBdr>
        <w:top w:val="none" w:sz="0" w:space="0" w:color="auto"/>
        <w:left w:val="none" w:sz="0" w:space="0" w:color="auto"/>
        <w:bottom w:val="none" w:sz="0" w:space="0" w:color="auto"/>
        <w:right w:val="none" w:sz="0" w:space="0" w:color="auto"/>
      </w:divBdr>
      <w:divsChild>
        <w:div w:id="673415041">
          <w:marLeft w:val="0"/>
          <w:marRight w:val="0"/>
          <w:marTop w:val="0"/>
          <w:marBottom w:val="0"/>
          <w:divBdr>
            <w:top w:val="none" w:sz="0" w:space="0" w:color="auto"/>
            <w:left w:val="none" w:sz="0" w:space="0" w:color="auto"/>
            <w:bottom w:val="none" w:sz="0" w:space="0" w:color="auto"/>
            <w:right w:val="none" w:sz="0" w:space="0" w:color="auto"/>
          </w:divBdr>
          <w:divsChild>
            <w:div w:id="633364081">
              <w:marLeft w:val="0"/>
              <w:marRight w:val="0"/>
              <w:marTop w:val="0"/>
              <w:marBottom w:val="0"/>
              <w:divBdr>
                <w:top w:val="none" w:sz="0" w:space="0" w:color="auto"/>
                <w:left w:val="none" w:sz="0" w:space="0" w:color="auto"/>
                <w:bottom w:val="none" w:sz="0" w:space="0" w:color="auto"/>
                <w:right w:val="none" w:sz="0" w:space="0" w:color="auto"/>
              </w:divBdr>
              <w:divsChild>
                <w:div w:id="1921980489">
                  <w:marLeft w:val="0"/>
                  <w:marRight w:val="0"/>
                  <w:marTop w:val="0"/>
                  <w:marBottom w:val="0"/>
                  <w:divBdr>
                    <w:top w:val="none" w:sz="0" w:space="0" w:color="auto"/>
                    <w:left w:val="none" w:sz="0" w:space="0" w:color="auto"/>
                    <w:bottom w:val="none" w:sz="0" w:space="0" w:color="auto"/>
                    <w:right w:val="none" w:sz="0" w:space="0" w:color="auto"/>
                  </w:divBdr>
                </w:div>
              </w:divsChild>
            </w:div>
            <w:div w:id="1165046674">
              <w:marLeft w:val="0"/>
              <w:marRight w:val="0"/>
              <w:marTop w:val="0"/>
              <w:marBottom w:val="0"/>
              <w:divBdr>
                <w:top w:val="none" w:sz="0" w:space="0" w:color="auto"/>
                <w:left w:val="none" w:sz="0" w:space="0" w:color="auto"/>
                <w:bottom w:val="none" w:sz="0" w:space="0" w:color="auto"/>
                <w:right w:val="none" w:sz="0" w:space="0" w:color="auto"/>
              </w:divBdr>
              <w:divsChild>
                <w:div w:id="12149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466">
          <w:marLeft w:val="0"/>
          <w:marRight w:val="0"/>
          <w:marTop w:val="0"/>
          <w:marBottom w:val="0"/>
          <w:divBdr>
            <w:top w:val="none" w:sz="0" w:space="0" w:color="auto"/>
            <w:left w:val="none" w:sz="0" w:space="0" w:color="auto"/>
            <w:bottom w:val="none" w:sz="0" w:space="0" w:color="auto"/>
            <w:right w:val="none" w:sz="0" w:space="0" w:color="auto"/>
          </w:divBdr>
          <w:divsChild>
            <w:div w:id="1660304874">
              <w:marLeft w:val="0"/>
              <w:marRight w:val="0"/>
              <w:marTop w:val="0"/>
              <w:marBottom w:val="0"/>
              <w:divBdr>
                <w:top w:val="none" w:sz="0" w:space="0" w:color="auto"/>
                <w:left w:val="none" w:sz="0" w:space="0" w:color="auto"/>
                <w:bottom w:val="none" w:sz="0" w:space="0" w:color="auto"/>
                <w:right w:val="none" w:sz="0" w:space="0" w:color="auto"/>
              </w:divBdr>
              <w:divsChild>
                <w:div w:id="8509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5776">
      <w:bodyDiv w:val="1"/>
      <w:marLeft w:val="0"/>
      <w:marRight w:val="0"/>
      <w:marTop w:val="0"/>
      <w:marBottom w:val="0"/>
      <w:divBdr>
        <w:top w:val="none" w:sz="0" w:space="0" w:color="auto"/>
        <w:left w:val="none" w:sz="0" w:space="0" w:color="auto"/>
        <w:bottom w:val="none" w:sz="0" w:space="0" w:color="auto"/>
        <w:right w:val="none" w:sz="0" w:space="0" w:color="auto"/>
      </w:divBdr>
    </w:div>
    <w:div w:id="519127288">
      <w:bodyDiv w:val="1"/>
      <w:marLeft w:val="0"/>
      <w:marRight w:val="0"/>
      <w:marTop w:val="0"/>
      <w:marBottom w:val="0"/>
      <w:divBdr>
        <w:top w:val="none" w:sz="0" w:space="0" w:color="auto"/>
        <w:left w:val="none" w:sz="0" w:space="0" w:color="auto"/>
        <w:bottom w:val="none" w:sz="0" w:space="0" w:color="auto"/>
        <w:right w:val="none" w:sz="0" w:space="0" w:color="auto"/>
      </w:divBdr>
      <w:divsChild>
        <w:div w:id="1769958565">
          <w:marLeft w:val="0"/>
          <w:marRight w:val="0"/>
          <w:marTop w:val="0"/>
          <w:marBottom w:val="0"/>
          <w:divBdr>
            <w:top w:val="none" w:sz="0" w:space="0" w:color="auto"/>
            <w:left w:val="none" w:sz="0" w:space="0" w:color="auto"/>
            <w:bottom w:val="none" w:sz="0" w:space="0" w:color="auto"/>
            <w:right w:val="none" w:sz="0" w:space="0" w:color="auto"/>
          </w:divBdr>
          <w:divsChild>
            <w:div w:id="1770200015">
              <w:marLeft w:val="0"/>
              <w:marRight w:val="0"/>
              <w:marTop w:val="0"/>
              <w:marBottom w:val="0"/>
              <w:divBdr>
                <w:top w:val="none" w:sz="0" w:space="0" w:color="auto"/>
                <w:left w:val="none" w:sz="0" w:space="0" w:color="auto"/>
                <w:bottom w:val="none" w:sz="0" w:space="0" w:color="auto"/>
                <w:right w:val="none" w:sz="0" w:space="0" w:color="auto"/>
              </w:divBdr>
              <w:divsChild>
                <w:div w:id="10158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5055">
      <w:bodyDiv w:val="1"/>
      <w:marLeft w:val="0"/>
      <w:marRight w:val="0"/>
      <w:marTop w:val="0"/>
      <w:marBottom w:val="0"/>
      <w:divBdr>
        <w:top w:val="none" w:sz="0" w:space="0" w:color="auto"/>
        <w:left w:val="none" w:sz="0" w:space="0" w:color="auto"/>
        <w:bottom w:val="none" w:sz="0" w:space="0" w:color="auto"/>
        <w:right w:val="none" w:sz="0" w:space="0" w:color="auto"/>
      </w:divBdr>
    </w:div>
    <w:div w:id="616567730">
      <w:bodyDiv w:val="1"/>
      <w:marLeft w:val="0"/>
      <w:marRight w:val="0"/>
      <w:marTop w:val="0"/>
      <w:marBottom w:val="0"/>
      <w:divBdr>
        <w:top w:val="none" w:sz="0" w:space="0" w:color="auto"/>
        <w:left w:val="none" w:sz="0" w:space="0" w:color="auto"/>
        <w:bottom w:val="none" w:sz="0" w:space="0" w:color="auto"/>
        <w:right w:val="none" w:sz="0" w:space="0" w:color="auto"/>
      </w:divBdr>
    </w:div>
    <w:div w:id="674380261">
      <w:bodyDiv w:val="1"/>
      <w:marLeft w:val="0"/>
      <w:marRight w:val="0"/>
      <w:marTop w:val="0"/>
      <w:marBottom w:val="0"/>
      <w:divBdr>
        <w:top w:val="none" w:sz="0" w:space="0" w:color="auto"/>
        <w:left w:val="none" w:sz="0" w:space="0" w:color="auto"/>
        <w:bottom w:val="none" w:sz="0" w:space="0" w:color="auto"/>
        <w:right w:val="none" w:sz="0" w:space="0" w:color="auto"/>
      </w:divBdr>
      <w:divsChild>
        <w:div w:id="1151796649">
          <w:marLeft w:val="0"/>
          <w:marRight w:val="0"/>
          <w:marTop w:val="0"/>
          <w:marBottom w:val="0"/>
          <w:divBdr>
            <w:top w:val="none" w:sz="0" w:space="0" w:color="auto"/>
            <w:left w:val="none" w:sz="0" w:space="0" w:color="auto"/>
            <w:bottom w:val="none" w:sz="0" w:space="0" w:color="auto"/>
            <w:right w:val="none" w:sz="0" w:space="0" w:color="auto"/>
          </w:divBdr>
          <w:divsChild>
            <w:div w:id="1268080862">
              <w:marLeft w:val="0"/>
              <w:marRight w:val="0"/>
              <w:marTop w:val="0"/>
              <w:marBottom w:val="0"/>
              <w:divBdr>
                <w:top w:val="none" w:sz="0" w:space="0" w:color="auto"/>
                <w:left w:val="none" w:sz="0" w:space="0" w:color="auto"/>
                <w:bottom w:val="none" w:sz="0" w:space="0" w:color="auto"/>
                <w:right w:val="none" w:sz="0" w:space="0" w:color="auto"/>
              </w:divBdr>
              <w:divsChild>
                <w:div w:id="731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10750">
      <w:bodyDiv w:val="1"/>
      <w:marLeft w:val="0"/>
      <w:marRight w:val="0"/>
      <w:marTop w:val="0"/>
      <w:marBottom w:val="0"/>
      <w:divBdr>
        <w:top w:val="none" w:sz="0" w:space="0" w:color="auto"/>
        <w:left w:val="none" w:sz="0" w:space="0" w:color="auto"/>
        <w:bottom w:val="none" w:sz="0" w:space="0" w:color="auto"/>
        <w:right w:val="none" w:sz="0" w:space="0" w:color="auto"/>
      </w:divBdr>
      <w:divsChild>
        <w:div w:id="650400918">
          <w:marLeft w:val="0"/>
          <w:marRight w:val="0"/>
          <w:marTop w:val="0"/>
          <w:marBottom w:val="0"/>
          <w:divBdr>
            <w:top w:val="none" w:sz="0" w:space="0" w:color="auto"/>
            <w:left w:val="none" w:sz="0" w:space="0" w:color="auto"/>
            <w:bottom w:val="none" w:sz="0" w:space="0" w:color="auto"/>
            <w:right w:val="none" w:sz="0" w:space="0" w:color="auto"/>
          </w:divBdr>
          <w:divsChild>
            <w:div w:id="1852842164">
              <w:marLeft w:val="0"/>
              <w:marRight w:val="0"/>
              <w:marTop w:val="0"/>
              <w:marBottom w:val="0"/>
              <w:divBdr>
                <w:top w:val="none" w:sz="0" w:space="0" w:color="auto"/>
                <w:left w:val="none" w:sz="0" w:space="0" w:color="auto"/>
                <w:bottom w:val="none" w:sz="0" w:space="0" w:color="auto"/>
                <w:right w:val="none" w:sz="0" w:space="0" w:color="auto"/>
              </w:divBdr>
              <w:divsChild>
                <w:div w:id="488330632">
                  <w:marLeft w:val="0"/>
                  <w:marRight w:val="0"/>
                  <w:marTop w:val="0"/>
                  <w:marBottom w:val="0"/>
                  <w:divBdr>
                    <w:top w:val="none" w:sz="0" w:space="0" w:color="auto"/>
                    <w:left w:val="none" w:sz="0" w:space="0" w:color="auto"/>
                    <w:bottom w:val="none" w:sz="0" w:space="0" w:color="auto"/>
                    <w:right w:val="none" w:sz="0" w:space="0" w:color="auto"/>
                  </w:divBdr>
                  <w:divsChild>
                    <w:div w:id="903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86811">
      <w:bodyDiv w:val="1"/>
      <w:marLeft w:val="0"/>
      <w:marRight w:val="0"/>
      <w:marTop w:val="0"/>
      <w:marBottom w:val="0"/>
      <w:divBdr>
        <w:top w:val="none" w:sz="0" w:space="0" w:color="auto"/>
        <w:left w:val="none" w:sz="0" w:space="0" w:color="auto"/>
        <w:bottom w:val="none" w:sz="0" w:space="0" w:color="auto"/>
        <w:right w:val="none" w:sz="0" w:space="0" w:color="auto"/>
      </w:divBdr>
    </w:div>
    <w:div w:id="804197347">
      <w:bodyDiv w:val="1"/>
      <w:marLeft w:val="0"/>
      <w:marRight w:val="0"/>
      <w:marTop w:val="0"/>
      <w:marBottom w:val="0"/>
      <w:divBdr>
        <w:top w:val="none" w:sz="0" w:space="0" w:color="auto"/>
        <w:left w:val="none" w:sz="0" w:space="0" w:color="auto"/>
        <w:bottom w:val="none" w:sz="0" w:space="0" w:color="auto"/>
        <w:right w:val="none" w:sz="0" w:space="0" w:color="auto"/>
      </w:divBdr>
    </w:div>
    <w:div w:id="856844720">
      <w:bodyDiv w:val="1"/>
      <w:marLeft w:val="0"/>
      <w:marRight w:val="0"/>
      <w:marTop w:val="0"/>
      <w:marBottom w:val="0"/>
      <w:divBdr>
        <w:top w:val="none" w:sz="0" w:space="0" w:color="auto"/>
        <w:left w:val="none" w:sz="0" w:space="0" w:color="auto"/>
        <w:bottom w:val="none" w:sz="0" w:space="0" w:color="auto"/>
        <w:right w:val="none" w:sz="0" w:space="0" w:color="auto"/>
      </w:divBdr>
      <w:divsChild>
        <w:div w:id="44765763">
          <w:marLeft w:val="0"/>
          <w:marRight w:val="0"/>
          <w:marTop w:val="0"/>
          <w:marBottom w:val="0"/>
          <w:divBdr>
            <w:top w:val="none" w:sz="0" w:space="0" w:color="auto"/>
            <w:left w:val="none" w:sz="0" w:space="0" w:color="auto"/>
            <w:bottom w:val="none" w:sz="0" w:space="0" w:color="auto"/>
            <w:right w:val="none" w:sz="0" w:space="0" w:color="auto"/>
          </w:divBdr>
          <w:divsChild>
            <w:div w:id="1070465678">
              <w:marLeft w:val="0"/>
              <w:marRight w:val="0"/>
              <w:marTop w:val="0"/>
              <w:marBottom w:val="0"/>
              <w:divBdr>
                <w:top w:val="none" w:sz="0" w:space="0" w:color="auto"/>
                <w:left w:val="none" w:sz="0" w:space="0" w:color="auto"/>
                <w:bottom w:val="none" w:sz="0" w:space="0" w:color="auto"/>
                <w:right w:val="none" w:sz="0" w:space="0" w:color="auto"/>
              </w:divBdr>
              <w:divsChild>
                <w:div w:id="8089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4361">
      <w:bodyDiv w:val="1"/>
      <w:marLeft w:val="0"/>
      <w:marRight w:val="0"/>
      <w:marTop w:val="0"/>
      <w:marBottom w:val="0"/>
      <w:divBdr>
        <w:top w:val="none" w:sz="0" w:space="0" w:color="auto"/>
        <w:left w:val="none" w:sz="0" w:space="0" w:color="auto"/>
        <w:bottom w:val="none" w:sz="0" w:space="0" w:color="auto"/>
        <w:right w:val="none" w:sz="0" w:space="0" w:color="auto"/>
      </w:divBdr>
      <w:divsChild>
        <w:div w:id="700009916">
          <w:marLeft w:val="0"/>
          <w:marRight w:val="0"/>
          <w:marTop w:val="0"/>
          <w:marBottom w:val="0"/>
          <w:divBdr>
            <w:top w:val="none" w:sz="0" w:space="0" w:color="auto"/>
            <w:left w:val="none" w:sz="0" w:space="0" w:color="auto"/>
            <w:bottom w:val="none" w:sz="0" w:space="0" w:color="auto"/>
            <w:right w:val="none" w:sz="0" w:space="0" w:color="auto"/>
          </w:divBdr>
          <w:divsChild>
            <w:div w:id="1656449226">
              <w:marLeft w:val="0"/>
              <w:marRight w:val="0"/>
              <w:marTop w:val="0"/>
              <w:marBottom w:val="0"/>
              <w:divBdr>
                <w:top w:val="none" w:sz="0" w:space="0" w:color="auto"/>
                <w:left w:val="none" w:sz="0" w:space="0" w:color="auto"/>
                <w:bottom w:val="none" w:sz="0" w:space="0" w:color="auto"/>
                <w:right w:val="none" w:sz="0" w:space="0" w:color="auto"/>
              </w:divBdr>
              <w:divsChild>
                <w:div w:id="392000599">
                  <w:marLeft w:val="0"/>
                  <w:marRight w:val="0"/>
                  <w:marTop w:val="0"/>
                  <w:marBottom w:val="0"/>
                  <w:divBdr>
                    <w:top w:val="none" w:sz="0" w:space="0" w:color="auto"/>
                    <w:left w:val="none" w:sz="0" w:space="0" w:color="auto"/>
                    <w:bottom w:val="none" w:sz="0" w:space="0" w:color="auto"/>
                    <w:right w:val="none" w:sz="0" w:space="0" w:color="auto"/>
                  </w:divBdr>
                </w:div>
              </w:divsChild>
            </w:div>
            <w:div w:id="1831292984">
              <w:marLeft w:val="0"/>
              <w:marRight w:val="0"/>
              <w:marTop w:val="0"/>
              <w:marBottom w:val="0"/>
              <w:divBdr>
                <w:top w:val="none" w:sz="0" w:space="0" w:color="auto"/>
                <w:left w:val="none" w:sz="0" w:space="0" w:color="auto"/>
                <w:bottom w:val="none" w:sz="0" w:space="0" w:color="auto"/>
                <w:right w:val="none" w:sz="0" w:space="0" w:color="auto"/>
              </w:divBdr>
              <w:divsChild>
                <w:div w:id="7848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6364">
          <w:marLeft w:val="0"/>
          <w:marRight w:val="0"/>
          <w:marTop w:val="0"/>
          <w:marBottom w:val="0"/>
          <w:divBdr>
            <w:top w:val="none" w:sz="0" w:space="0" w:color="auto"/>
            <w:left w:val="none" w:sz="0" w:space="0" w:color="auto"/>
            <w:bottom w:val="none" w:sz="0" w:space="0" w:color="auto"/>
            <w:right w:val="none" w:sz="0" w:space="0" w:color="auto"/>
          </w:divBdr>
          <w:divsChild>
            <w:div w:id="1094201622">
              <w:marLeft w:val="0"/>
              <w:marRight w:val="0"/>
              <w:marTop w:val="0"/>
              <w:marBottom w:val="0"/>
              <w:divBdr>
                <w:top w:val="none" w:sz="0" w:space="0" w:color="auto"/>
                <w:left w:val="none" w:sz="0" w:space="0" w:color="auto"/>
                <w:bottom w:val="none" w:sz="0" w:space="0" w:color="auto"/>
                <w:right w:val="none" w:sz="0" w:space="0" w:color="auto"/>
              </w:divBdr>
              <w:divsChild>
                <w:div w:id="252205000">
                  <w:marLeft w:val="0"/>
                  <w:marRight w:val="0"/>
                  <w:marTop w:val="0"/>
                  <w:marBottom w:val="0"/>
                  <w:divBdr>
                    <w:top w:val="none" w:sz="0" w:space="0" w:color="auto"/>
                    <w:left w:val="none" w:sz="0" w:space="0" w:color="auto"/>
                    <w:bottom w:val="none" w:sz="0" w:space="0" w:color="auto"/>
                    <w:right w:val="none" w:sz="0" w:space="0" w:color="auto"/>
                  </w:divBdr>
                </w:div>
              </w:divsChild>
            </w:div>
            <w:div w:id="1740324868">
              <w:marLeft w:val="0"/>
              <w:marRight w:val="0"/>
              <w:marTop w:val="0"/>
              <w:marBottom w:val="0"/>
              <w:divBdr>
                <w:top w:val="none" w:sz="0" w:space="0" w:color="auto"/>
                <w:left w:val="none" w:sz="0" w:space="0" w:color="auto"/>
                <w:bottom w:val="none" w:sz="0" w:space="0" w:color="auto"/>
                <w:right w:val="none" w:sz="0" w:space="0" w:color="auto"/>
              </w:divBdr>
              <w:divsChild>
                <w:div w:id="5932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3278">
      <w:bodyDiv w:val="1"/>
      <w:marLeft w:val="0"/>
      <w:marRight w:val="0"/>
      <w:marTop w:val="0"/>
      <w:marBottom w:val="0"/>
      <w:divBdr>
        <w:top w:val="none" w:sz="0" w:space="0" w:color="auto"/>
        <w:left w:val="none" w:sz="0" w:space="0" w:color="auto"/>
        <w:bottom w:val="none" w:sz="0" w:space="0" w:color="auto"/>
        <w:right w:val="none" w:sz="0" w:space="0" w:color="auto"/>
      </w:divBdr>
    </w:div>
    <w:div w:id="1031952924">
      <w:bodyDiv w:val="1"/>
      <w:marLeft w:val="0"/>
      <w:marRight w:val="0"/>
      <w:marTop w:val="0"/>
      <w:marBottom w:val="0"/>
      <w:divBdr>
        <w:top w:val="none" w:sz="0" w:space="0" w:color="auto"/>
        <w:left w:val="none" w:sz="0" w:space="0" w:color="auto"/>
        <w:bottom w:val="none" w:sz="0" w:space="0" w:color="auto"/>
        <w:right w:val="none" w:sz="0" w:space="0" w:color="auto"/>
      </w:divBdr>
      <w:divsChild>
        <w:div w:id="1805464901">
          <w:marLeft w:val="0"/>
          <w:marRight w:val="0"/>
          <w:marTop w:val="0"/>
          <w:marBottom w:val="0"/>
          <w:divBdr>
            <w:top w:val="none" w:sz="0" w:space="0" w:color="auto"/>
            <w:left w:val="none" w:sz="0" w:space="0" w:color="auto"/>
            <w:bottom w:val="none" w:sz="0" w:space="0" w:color="auto"/>
            <w:right w:val="none" w:sz="0" w:space="0" w:color="auto"/>
          </w:divBdr>
          <w:divsChild>
            <w:div w:id="1612395576">
              <w:marLeft w:val="0"/>
              <w:marRight w:val="0"/>
              <w:marTop w:val="0"/>
              <w:marBottom w:val="0"/>
              <w:divBdr>
                <w:top w:val="none" w:sz="0" w:space="0" w:color="auto"/>
                <w:left w:val="none" w:sz="0" w:space="0" w:color="auto"/>
                <w:bottom w:val="none" w:sz="0" w:space="0" w:color="auto"/>
                <w:right w:val="none" w:sz="0" w:space="0" w:color="auto"/>
              </w:divBdr>
              <w:divsChild>
                <w:div w:id="8299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6581">
      <w:bodyDiv w:val="1"/>
      <w:marLeft w:val="0"/>
      <w:marRight w:val="0"/>
      <w:marTop w:val="0"/>
      <w:marBottom w:val="0"/>
      <w:divBdr>
        <w:top w:val="none" w:sz="0" w:space="0" w:color="auto"/>
        <w:left w:val="none" w:sz="0" w:space="0" w:color="auto"/>
        <w:bottom w:val="none" w:sz="0" w:space="0" w:color="auto"/>
        <w:right w:val="none" w:sz="0" w:space="0" w:color="auto"/>
      </w:divBdr>
      <w:divsChild>
        <w:div w:id="860700331">
          <w:marLeft w:val="0"/>
          <w:marRight w:val="0"/>
          <w:marTop w:val="0"/>
          <w:marBottom w:val="0"/>
          <w:divBdr>
            <w:top w:val="none" w:sz="0" w:space="0" w:color="auto"/>
            <w:left w:val="none" w:sz="0" w:space="0" w:color="auto"/>
            <w:bottom w:val="none" w:sz="0" w:space="0" w:color="auto"/>
            <w:right w:val="none" w:sz="0" w:space="0" w:color="auto"/>
          </w:divBdr>
          <w:divsChild>
            <w:div w:id="1286040865">
              <w:marLeft w:val="0"/>
              <w:marRight w:val="0"/>
              <w:marTop w:val="0"/>
              <w:marBottom w:val="0"/>
              <w:divBdr>
                <w:top w:val="none" w:sz="0" w:space="0" w:color="auto"/>
                <w:left w:val="none" w:sz="0" w:space="0" w:color="auto"/>
                <w:bottom w:val="none" w:sz="0" w:space="0" w:color="auto"/>
                <w:right w:val="none" w:sz="0" w:space="0" w:color="auto"/>
              </w:divBdr>
              <w:divsChild>
                <w:div w:id="1564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8612">
          <w:marLeft w:val="0"/>
          <w:marRight w:val="0"/>
          <w:marTop w:val="0"/>
          <w:marBottom w:val="0"/>
          <w:divBdr>
            <w:top w:val="none" w:sz="0" w:space="0" w:color="auto"/>
            <w:left w:val="none" w:sz="0" w:space="0" w:color="auto"/>
            <w:bottom w:val="none" w:sz="0" w:space="0" w:color="auto"/>
            <w:right w:val="none" w:sz="0" w:space="0" w:color="auto"/>
          </w:divBdr>
          <w:divsChild>
            <w:div w:id="238174678">
              <w:marLeft w:val="0"/>
              <w:marRight w:val="0"/>
              <w:marTop w:val="0"/>
              <w:marBottom w:val="0"/>
              <w:divBdr>
                <w:top w:val="none" w:sz="0" w:space="0" w:color="auto"/>
                <w:left w:val="none" w:sz="0" w:space="0" w:color="auto"/>
                <w:bottom w:val="none" w:sz="0" w:space="0" w:color="auto"/>
                <w:right w:val="none" w:sz="0" w:space="0" w:color="auto"/>
              </w:divBdr>
              <w:divsChild>
                <w:div w:id="619189867">
                  <w:marLeft w:val="0"/>
                  <w:marRight w:val="0"/>
                  <w:marTop w:val="0"/>
                  <w:marBottom w:val="0"/>
                  <w:divBdr>
                    <w:top w:val="none" w:sz="0" w:space="0" w:color="auto"/>
                    <w:left w:val="none" w:sz="0" w:space="0" w:color="auto"/>
                    <w:bottom w:val="none" w:sz="0" w:space="0" w:color="auto"/>
                    <w:right w:val="none" w:sz="0" w:space="0" w:color="auto"/>
                  </w:divBdr>
                </w:div>
              </w:divsChild>
            </w:div>
            <w:div w:id="1539465851">
              <w:marLeft w:val="0"/>
              <w:marRight w:val="0"/>
              <w:marTop w:val="0"/>
              <w:marBottom w:val="0"/>
              <w:divBdr>
                <w:top w:val="none" w:sz="0" w:space="0" w:color="auto"/>
                <w:left w:val="none" w:sz="0" w:space="0" w:color="auto"/>
                <w:bottom w:val="none" w:sz="0" w:space="0" w:color="auto"/>
                <w:right w:val="none" w:sz="0" w:space="0" w:color="auto"/>
              </w:divBdr>
              <w:divsChild>
                <w:div w:id="14952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0172">
      <w:bodyDiv w:val="1"/>
      <w:marLeft w:val="0"/>
      <w:marRight w:val="0"/>
      <w:marTop w:val="0"/>
      <w:marBottom w:val="0"/>
      <w:divBdr>
        <w:top w:val="none" w:sz="0" w:space="0" w:color="auto"/>
        <w:left w:val="none" w:sz="0" w:space="0" w:color="auto"/>
        <w:bottom w:val="none" w:sz="0" w:space="0" w:color="auto"/>
        <w:right w:val="none" w:sz="0" w:space="0" w:color="auto"/>
      </w:divBdr>
      <w:divsChild>
        <w:div w:id="10255881">
          <w:marLeft w:val="0"/>
          <w:marRight w:val="0"/>
          <w:marTop w:val="0"/>
          <w:marBottom w:val="0"/>
          <w:divBdr>
            <w:top w:val="none" w:sz="0" w:space="0" w:color="auto"/>
            <w:left w:val="none" w:sz="0" w:space="0" w:color="auto"/>
            <w:bottom w:val="none" w:sz="0" w:space="0" w:color="auto"/>
            <w:right w:val="none" w:sz="0" w:space="0" w:color="auto"/>
          </w:divBdr>
          <w:divsChild>
            <w:div w:id="667290915">
              <w:marLeft w:val="0"/>
              <w:marRight w:val="0"/>
              <w:marTop w:val="0"/>
              <w:marBottom w:val="0"/>
              <w:divBdr>
                <w:top w:val="none" w:sz="0" w:space="0" w:color="auto"/>
                <w:left w:val="none" w:sz="0" w:space="0" w:color="auto"/>
                <w:bottom w:val="none" w:sz="0" w:space="0" w:color="auto"/>
                <w:right w:val="none" w:sz="0" w:space="0" w:color="auto"/>
              </w:divBdr>
              <w:divsChild>
                <w:div w:id="10288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50264">
      <w:bodyDiv w:val="1"/>
      <w:marLeft w:val="0"/>
      <w:marRight w:val="0"/>
      <w:marTop w:val="0"/>
      <w:marBottom w:val="0"/>
      <w:divBdr>
        <w:top w:val="none" w:sz="0" w:space="0" w:color="auto"/>
        <w:left w:val="none" w:sz="0" w:space="0" w:color="auto"/>
        <w:bottom w:val="none" w:sz="0" w:space="0" w:color="auto"/>
        <w:right w:val="none" w:sz="0" w:space="0" w:color="auto"/>
      </w:divBdr>
    </w:div>
    <w:div w:id="1291784880">
      <w:bodyDiv w:val="1"/>
      <w:marLeft w:val="0"/>
      <w:marRight w:val="0"/>
      <w:marTop w:val="0"/>
      <w:marBottom w:val="0"/>
      <w:divBdr>
        <w:top w:val="none" w:sz="0" w:space="0" w:color="auto"/>
        <w:left w:val="none" w:sz="0" w:space="0" w:color="auto"/>
        <w:bottom w:val="none" w:sz="0" w:space="0" w:color="auto"/>
        <w:right w:val="none" w:sz="0" w:space="0" w:color="auto"/>
      </w:divBdr>
      <w:divsChild>
        <w:div w:id="1161694758">
          <w:marLeft w:val="0"/>
          <w:marRight w:val="0"/>
          <w:marTop w:val="0"/>
          <w:marBottom w:val="0"/>
          <w:divBdr>
            <w:top w:val="none" w:sz="0" w:space="0" w:color="auto"/>
            <w:left w:val="none" w:sz="0" w:space="0" w:color="auto"/>
            <w:bottom w:val="none" w:sz="0" w:space="0" w:color="auto"/>
            <w:right w:val="none" w:sz="0" w:space="0" w:color="auto"/>
          </w:divBdr>
          <w:divsChild>
            <w:div w:id="1369331169">
              <w:marLeft w:val="0"/>
              <w:marRight w:val="0"/>
              <w:marTop w:val="0"/>
              <w:marBottom w:val="0"/>
              <w:divBdr>
                <w:top w:val="none" w:sz="0" w:space="0" w:color="auto"/>
                <w:left w:val="none" w:sz="0" w:space="0" w:color="auto"/>
                <w:bottom w:val="none" w:sz="0" w:space="0" w:color="auto"/>
                <w:right w:val="none" w:sz="0" w:space="0" w:color="auto"/>
              </w:divBdr>
              <w:divsChild>
                <w:div w:id="3128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470322026">
      <w:bodyDiv w:val="1"/>
      <w:marLeft w:val="0"/>
      <w:marRight w:val="0"/>
      <w:marTop w:val="0"/>
      <w:marBottom w:val="0"/>
      <w:divBdr>
        <w:top w:val="none" w:sz="0" w:space="0" w:color="auto"/>
        <w:left w:val="none" w:sz="0" w:space="0" w:color="auto"/>
        <w:bottom w:val="none" w:sz="0" w:space="0" w:color="auto"/>
        <w:right w:val="none" w:sz="0" w:space="0" w:color="auto"/>
      </w:divBdr>
    </w:div>
    <w:div w:id="1542086166">
      <w:bodyDiv w:val="1"/>
      <w:marLeft w:val="0"/>
      <w:marRight w:val="0"/>
      <w:marTop w:val="0"/>
      <w:marBottom w:val="0"/>
      <w:divBdr>
        <w:top w:val="none" w:sz="0" w:space="0" w:color="auto"/>
        <w:left w:val="none" w:sz="0" w:space="0" w:color="auto"/>
        <w:bottom w:val="none" w:sz="0" w:space="0" w:color="auto"/>
        <w:right w:val="none" w:sz="0" w:space="0" w:color="auto"/>
      </w:divBdr>
    </w:div>
    <w:div w:id="1622489290">
      <w:bodyDiv w:val="1"/>
      <w:marLeft w:val="0"/>
      <w:marRight w:val="0"/>
      <w:marTop w:val="0"/>
      <w:marBottom w:val="0"/>
      <w:divBdr>
        <w:top w:val="none" w:sz="0" w:space="0" w:color="auto"/>
        <w:left w:val="none" w:sz="0" w:space="0" w:color="auto"/>
        <w:bottom w:val="none" w:sz="0" w:space="0" w:color="auto"/>
        <w:right w:val="none" w:sz="0" w:space="0" w:color="auto"/>
      </w:divBdr>
    </w:div>
    <w:div w:id="1825968659">
      <w:bodyDiv w:val="1"/>
      <w:marLeft w:val="0"/>
      <w:marRight w:val="0"/>
      <w:marTop w:val="0"/>
      <w:marBottom w:val="0"/>
      <w:divBdr>
        <w:top w:val="none" w:sz="0" w:space="0" w:color="auto"/>
        <w:left w:val="none" w:sz="0" w:space="0" w:color="auto"/>
        <w:bottom w:val="none" w:sz="0" w:space="0" w:color="auto"/>
        <w:right w:val="none" w:sz="0" w:space="0" w:color="auto"/>
      </w:divBdr>
      <w:divsChild>
        <w:div w:id="598803145">
          <w:marLeft w:val="0"/>
          <w:marRight w:val="0"/>
          <w:marTop w:val="0"/>
          <w:marBottom w:val="0"/>
          <w:divBdr>
            <w:top w:val="none" w:sz="0" w:space="0" w:color="auto"/>
            <w:left w:val="none" w:sz="0" w:space="0" w:color="auto"/>
            <w:bottom w:val="none" w:sz="0" w:space="0" w:color="auto"/>
            <w:right w:val="none" w:sz="0" w:space="0" w:color="auto"/>
          </w:divBdr>
          <w:divsChild>
            <w:div w:id="1927879910">
              <w:marLeft w:val="0"/>
              <w:marRight w:val="0"/>
              <w:marTop w:val="0"/>
              <w:marBottom w:val="0"/>
              <w:divBdr>
                <w:top w:val="none" w:sz="0" w:space="0" w:color="auto"/>
                <w:left w:val="none" w:sz="0" w:space="0" w:color="auto"/>
                <w:bottom w:val="none" w:sz="0" w:space="0" w:color="auto"/>
                <w:right w:val="none" w:sz="0" w:space="0" w:color="auto"/>
              </w:divBdr>
              <w:divsChild>
                <w:div w:id="2732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4590">
      <w:bodyDiv w:val="1"/>
      <w:marLeft w:val="0"/>
      <w:marRight w:val="0"/>
      <w:marTop w:val="0"/>
      <w:marBottom w:val="0"/>
      <w:divBdr>
        <w:top w:val="none" w:sz="0" w:space="0" w:color="auto"/>
        <w:left w:val="none" w:sz="0" w:space="0" w:color="auto"/>
        <w:bottom w:val="none" w:sz="0" w:space="0" w:color="auto"/>
        <w:right w:val="none" w:sz="0" w:space="0" w:color="auto"/>
      </w:divBdr>
    </w:div>
    <w:div w:id="1868252346">
      <w:bodyDiv w:val="1"/>
      <w:marLeft w:val="0"/>
      <w:marRight w:val="0"/>
      <w:marTop w:val="0"/>
      <w:marBottom w:val="0"/>
      <w:divBdr>
        <w:top w:val="none" w:sz="0" w:space="0" w:color="auto"/>
        <w:left w:val="none" w:sz="0" w:space="0" w:color="auto"/>
        <w:bottom w:val="none" w:sz="0" w:space="0" w:color="auto"/>
        <w:right w:val="none" w:sz="0" w:space="0" w:color="auto"/>
      </w:divBdr>
    </w:div>
    <w:div w:id="1899396823">
      <w:bodyDiv w:val="1"/>
      <w:marLeft w:val="0"/>
      <w:marRight w:val="0"/>
      <w:marTop w:val="0"/>
      <w:marBottom w:val="0"/>
      <w:divBdr>
        <w:top w:val="none" w:sz="0" w:space="0" w:color="auto"/>
        <w:left w:val="none" w:sz="0" w:space="0" w:color="auto"/>
        <w:bottom w:val="none" w:sz="0" w:space="0" w:color="auto"/>
        <w:right w:val="none" w:sz="0" w:space="0" w:color="auto"/>
      </w:divBdr>
      <w:divsChild>
        <w:div w:id="155729123">
          <w:marLeft w:val="0"/>
          <w:marRight w:val="0"/>
          <w:marTop w:val="0"/>
          <w:marBottom w:val="0"/>
          <w:divBdr>
            <w:top w:val="none" w:sz="0" w:space="0" w:color="auto"/>
            <w:left w:val="none" w:sz="0" w:space="0" w:color="auto"/>
            <w:bottom w:val="none" w:sz="0" w:space="0" w:color="auto"/>
            <w:right w:val="none" w:sz="0" w:space="0" w:color="auto"/>
          </w:divBdr>
          <w:divsChild>
            <w:div w:id="754743838">
              <w:marLeft w:val="0"/>
              <w:marRight w:val="0"/>
              <w:marTop w:val="0"/>
              <w:marBottom w:val="0"/>
              <w:divBdr>
                <w:top w:val="none" w:sz="0" w:space="0" w:color="auto"/>
                <w:left w:val="none" w:sz="0" w:space="0" w:color="auto"/>
                <w:bottom w:val="none" w:sz="0" w:space="0" w:color="auto"/>
                <w:right w:val="none" w:sz="0" w:space="0" w:color="auto"/>
              </w:divBdr>
              <w:divsChild>
                <w:div w:id="10992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8919">
          <w:marLeft w:val="0"/>
          <w:marRight w:val="0"/>
          <w:marTop w:val="0"/>
          <w:marBottom w:val="0"/>
          <w:divBdr>
            <w:top w:val="none" w:sz="0" w:space="0" w:color="auto"/>
            <w:left w:val="none" w:sz="0" w:space="0" w:color="auto"/>
            <w:bottom w:val="none" w:sz="0" w:space="0" w:color="auto"/>
            <w:right w:val="none" w:sz="0" w:space="0" w:color="auto"/>
          </w:divBdr>
          <w:divsChild>
            <w:div w:id="610742584">
              <w:marLeft w:val="0"/>
              <w:marRight w:val="0"/>
              <w:marTop w:val="0"/>
              <w:marBottom w:val="0"/>
              <w:divBdr>
                <w:top w:val="none" w:sz="0" w:space="0" w:color="auto"/>
                <w:left w:val="none" w:sz="0" w:space="0" w:color="auto"/>
                <w:bottom w:val="none" w:sz="0" w:space="0" w:color="auto"/>
                <w:right w:val="none" w:sz="0" w:space="0" w:color="auto"/>
              </w:divBdr>
              <w:divsChild>
                <w:div w:id="290484236">
                  <w:marLeft w:val="0"/>
                  <w:marRight w:val="0"/>
                  <w:marTop w:val="0"/>
                  <w:marBottom w:val="0"/>
                  <w:divBdr>
                    <w:top w:val="none" w:sz="0" w:space="0" w:color="auto"/>
                    <w:left w:val="none" w:sz="0" w:space="0" w:color="auto"/>
                    <w:bottom w:val="none" w:sz="0" w:space="0" w:color="auto"/>
                    <w:right w:val="none" w:sz="0" w:space="0" w:color="auto"/>
                  </w:divBdr>
                </w:div>
              </w:divsChild>
            </w:div>
            <w:div w:id="1766799457">
              <w:marLeft w:val="0"/>
              <w:marRight w:val="0"/>
              <w:marTop w:val="0"/>
              <w:marBottom w:val="0"/>
              <w:divBdr>
                <w:top w:val="none" w:sz="0" w:space="0" w:color="auto"/>
                <w:left w:val="none" w:sz="0" w:space="0" w:color="auto"/>
                <w:bottom w:val="none" w:sz="0" w:space="0" w:color="auto"/>
                <w:right w:val="none" w:sz="0" w:space="0" w:color="auto"/>
              </w:divBdr>
              <w:divsChild>
                <w:div w:id="13518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5330">
      <w:bodyDiv w:val="1"/>
      <w:marLeft w:val="0"/>
      <w:marRight w:val="0"/>
      <w:marTop w:val="0"/>
      <w:marBottom w:val="0"/>
      <w:divBdr>
        <w:top w:val="none" w:sz="0" w:space="0" w:color="auto"/>
        <w:left w:val="none" w:sz="0" w:space="0" w:color="auto"/>
        <w:bottom w:val="none" w:sz="0" w:space="0" w:color="auto"/>
        <w:right w:val="none" w:sz="0" w:space="0" w:color="auto"/>
      </w:divBdr>
    </w:div>
    <w:div w:id="1959874275">
      <w:bodyDiv w:val="1"/>
      <w:marLeft w:val="0"/>
      <w:marRight w:val="0"/>
      <w:marTop w:val="0"/>
      <w:marBottom w:val="0"/>
      <w:divBdr>
        <w:top w:val="none" w:sz="0" w:space="0" w:color="auto"/>
        <w:left w:val="none" w:sz="0" w:space="0" w:color="auto"/>
        <w:bottom w:val="none" w:sz="0" w:space="0" w:color="auto"/>
        <w:right w:val="none" w:sz="0" w:space="0" w:color="auto"/>
      </w:divBdr>
    </w:div>
    <w:div w:id="1997294894">
      <w:bodyDiv w:val="1"/>
      <w:marLeft w:val="0"/>
      <w:marRight w:val="0"/>
      <w:marTop w:val="0"/>
      <w:marBottom w:val="0"/>
      <w:divBdr>
        <w:top w:val="none" w:sz="0" w:space="0" w:color="auto"/>
        <w:left w:val="none" w:sz="0" w:space="0" w:color="auto"/>
        <w:bottom w:val="none" w:sz="0" w:space="0" w:color="auto"/>
        <w:right w:val="none" w:sz="0" w:space="0" w:color="auto"/>
      </w:divBdr>
      <w:divsChild>
        <w:div w:id="234556833">
          <w:marLeft w:val="0"/>
          <w:marRight w:val="0"/>
          <w:marTop w:val="0"/>
          <w:marBottom w:val="0"/>
          <w:divBdr>
            <w:top w:val="none" w:sz="0" w:space="0" w:color="auto"/>
            <w:left w:val="none" w:sz="0" w:space="0" w:color="auto"/>
            <w:bottom w:val="none" w:sz="0" w:space="0" w:color="auto"/>
            <w:right w:val="none" w:sz="0" w:space="0" w:color="auto"/>
          </w:divBdr>
          <w:divsChild>
            <w:div w:id="377632886">
              <w:marLeft w:val="0"/>
              <w:marRight w:val="0"/>
              <w:marTop w:val="0"/>
              <w:marBottom w:val="0"/>
              <w:divBdr>
                <w:top w:val="none" w:sz="0" w:space="0" w:color="auto"/>
                <w:left w:val="none" w:sz="0" w:space="0" w:color="auto"/>
                <w:bottom w:val="none" w:sz="0" w:space="0" w:color="auto"/>
                <w:right w:val="none" w:sz="0" w:space="0" w:color="auto"/>
              </w:divBdr>
              <w:divsChild>
                <w:div w:id="8326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39876">
          <w:marLeft w:val="0"/>
          <w:marRight w:val="0"/>
          <w:marTop w:val="0"/>
          <w:marBottom w:val="0"/>
          <w:divBdr>
            <w:top w:val="none" w:sz="0" w:space="0" w:color="auto"/>
            <w:left w:val="none" w:sz="0" w:space="0" w:color="auto"/>
            <w:bottom w:val="none" w:sz="0" w:space="0" w:color="auto"/>
            <w:right w:val="none" w:sz="0" w:space="0" w:color="auto"/>
          </w:divBdr>
          <w:divsChild>
            <w:div w:id="548683640">
              <w:marLeft w:val="0"/>
              <w:marRight w:val="0"/>
              <w:marTop w:val="0"/>
              <w:marBottom w:val="0"/>
              <w:divBdr>
                <w:top w:val="none" w:sz="0" w:space="0" w:color="auto"/>
                <w:left w:val="none" w:sz="0" w:space="0" w:color="auto"/>
                <w:bottom w:val="none" w:sz="0" w:space="0" w:color="auto"/>
                <w:right w:val="none" w:sz="0" w:space="0" w:color="auto"/>
              </w:divBdr>
              <w:divsChild>
                <w:div w:id="18437600">
                  <w:marLeft w:val="0"/>
                  <w:marRight w:val="0"/>
                  <w:marTop w:val="0"/>
                  <w:marBottom w:val="0"/>
                  <w:divBdr>
                    <w:top w:val="none" w:sz="0" w:space="0" w:color="auto"/>
                    <w:left w:val="none" w:sz="0" w:space="0" w:color="auto"/>
                    <w:bottom w:val="none" w:sz="0" w:space="0" w:color="auto"/>
                    <w:right w:val="none" w:sz="0" w:space="0" w:color="auto"/>
                  </w:divBdr>
                </w:div>
              </w:divsChild>
            </w:div>
            <w:div w:id="737483488">
              <w:marLeft w:val="0"/>
              <w:marRight w:val="0"/>
              <w:marTop w:val="0"/>
              <w:marBottom w:val="0"/>
              <w:divBdr>
                <w:top w:val="none" w:sz="0" w:space="0" w:color="auto"/>
                <w:left w:val="none" w:sz="0" w:space="0" w:color="auto"/>
                <w:bottom w:val="none" w:sz="0" w:space="0" w:color="auto"/>
                <w:right w:val="none" w:sz="0" w:space="0" w:color="auto"/>
              </w:divBdr>
              <w:divsChild>
                <w:div w:id="1288395970">
                  <w:marLeft w:val="0"/>
                  <w:marRight w:val="0"/>
                  <w:marTop w:val="0"/>
                  <w:marBottom w:val="0"/>
                  <w:divBdr>
                    <w:top w:val="none" w:sz="0" w:space="0" w:color="auto"/>
                    <w:left w:val="none" w:sz="0" w:space="0" w:color="auto"/>
                    <w:bottom w:val="none" w:sz="0" w:space="0" w:color="auto"/>
                    <w:right w:val="none" w:sz="0" w:space="0" w:color="auto"/>
                  </w:divBdr>
                </w:div>
                <w:div w:id="1834107800">
                  <w:marLeft w:val="0"/>
                  <w:marRight w:val="0"/>
                  <w:marTop w:val="0"/>
                  <w:marBottom w:val="0"/>
                  <w:divBdr>
                    <w:top w:val="none" w:sz="0" w:space="0" w:color="auto"/>
                    <w:left w:val="none" w:sz="0" w:space="0" w:color="auto"/>
                    <w:bottom w:val="none" w:sz="0" w:space="0" w:color="auto"/>
                    <w:right w:val="none" w:sz="0" w:space="0" w:color="auto"/>
                  </w:divBdr>
                </w:div>
              </w:divsChild>
            </w:div>
            <w:div w:id="1308825761">
              <w:marLeft w:val="0"/>
              <w:marRight w:val="0"/>
              <w:marTop w:val="0"/>
              <w:marBottom w:val="0"/>
              <w:divBdr>
                <w:top w:val="none" w:sz="0" w:space="0" w:color="auto"/>
                <w:left w:val="none" w:sz="0" w:space="0" w:color="auto"/>
                <w:bottom w:val="none" w:sz="0" w:space="0" w:color="auto"/>
                <w:right w:val="none" w:sz="0" w:space="0" w:color="auto"/>
              </w:divBdr>
              <w:divsChild>
                <w:div w:id="1023750169">
                  <w:marLeft w:val="0"/>
                  <w:marRight w:val="0"/>
                  <w:marTop w:val="0"/>
                  <w:marBottom w:val="0"/>
                  <w:divBdr>
                    <w:top w:val="none" w:sz="0" w:space="0" w:color="auto"/>
                    <w:left w:val="none" w:sz="0" w:space="0" w:color="auto"/>
                    <w:bottom w:val="none" w:sz="0" w:space="0" w:color="auto"/>
                    <w:right w:val="none" w:sz="0" w:space="0" w:color="auto"/>
                  </w:divBdr>
                </w:div>
              </w:divsChild>
            </w:div>
            <w:div w:id="1946427773">
              <w:marLeft w:val="0"/>
              <w:marRight w:val="0"/>
              <w:marTop w:val="0"/>
              <w:marBottom w:val="0"/>
              <w:divBdr>
                <w:top w:val="none" w:sz="0" w:space="0" w:color="auto"/>
                <w:left w:val="none" w:sz="0" w:space="0" w:color="auto"/>
                <w:bottom w:val="none" w:sz="0" w:space="0" w:color="auto"/>
                <w:right w:val="none" w:sz="0" w:space="0" w:color="auto"/>
              </w:divBdr>
              <w:divsChild>
                <w:div w:id="17992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31836">
      <w:bodyDiv w:val="1"/>
      <w:marLeft w:val="0"/>
      <w:marRight w:val="0"/>
      <w:marTop w:val="0"/>
      <w:marBottom w:val="0"/>
      <w:divBdr>
        <w:top w:val="none" w:sz="0" w:space="0" w:color="auto"/>
        <w:left w:val="none" w:sz="0" w:space="0" w:color="auto"/>
        <w:bottom w:val="none" w:sz="0" w:space="0" w:color="auto"/>
        <w:right w:val="none" w:sz="0" w:space="0" w:color="auto"/>
      </w:divBdr>
    </w:div>
    <w:div w:id="2069566869">
      <w:bodyDiv w:val="1"/>
      <w:marLeft w:val="0"/>
      <w:marRight w:val="0"/>
      <w:marTop w:val="0"/>
      <w:marBottom w:val="0"/>
      <w:divBdr>
        <w:top w:val="none" w:sz="0" w:space="0" w:color="auto"/>
        <w:left w:val="none" w:sz="0" w:space="0" w:color="auto"/>
        <w:bottom w:val="none" w:sz="0" w:space="0" w:color="auto"/>
        <w:right w:val="none" w:sz="0" w:space="0" w:color="auto"/>
      </w:divBdr>
      <w:divsChild>
        <w:div w:id="305938488">
          <w:marLeft w:val="0"/>
          <w:marRight w:val="0"/>
          <w:marTop w:val="0"/>
          <w:marBottom w:val="0"/>
          <w:divBdr>
            <w:top w:val="none" w:sz="0" w:space="0" w:color="auto"/>
            <w:left w:val="none" w:sz="0" w:space="0" w:color="auto"/>
            <w:bottom w:val="none" w:sz="0" w:space="0" w:color="auto"/>
            <w:right w:val="none" w:sz="0" w:space="0" w:color="auto"/>
          </w:divBdr>
          <w:divsChild>
            <w:div w:id="885993142">
              <w:marLeft w:val="0"/>
              <w:marRight w:val="0"/>
              <w:marTop w:val="0"/>
              <w:marBottom w:val="0"/>
              <w:divBdr>
                <w:top w:val="none" w:sz="0" w:space="0" w:color="auto"/>
                <w:left w:val="none" w:sz="0" w:space="0" w:color="auto"/>
                <w:bottom w:val="none" w:sz="0" w:space="0" w:color="auto"/>
                <w:right w:val="none" w:sz="0" w:space="0" w:color="auto"/>
              </w:divBdr>
              <w:divsChild>
                <w:div w:id="1923447871">
                  <w:marLeft w:val="0"/>
                  <w:marRight w:val="0"/>
                  <w:marTop w:val="0"/>
                  <w:marBottom w:val="0"/>
                  <w:divBdr>
                    <w:top w:val="none" w:sz="0" w:space="0" w:color="auto"/>
                    <w:left w:val="none" w:sz="0" w:space="0" w:color="auto"/>
                    <w:bottom w:val="none" w:sz="0" w:space="0" w:color="auto"/>
                    <w:right w:val="none" w:sz="0" w:space="0" w:color="auto"/>
                  </w:divBdr>
                </w:div>
              </w:divsChild>
            </w:div>
            <w:div w:id="1991782726">
              <w:marLeft w:val="0"/>
              <w:marRight w:val="0"/>
              <w:marTop w:val="0"/>
              <w:marBottom w:val="0"/>
              <w:divBdr>
                <w:top w:val="none" w:sz="0" w:space="0" w:color="auto"/>
                <w:left w:val="none" w:sz="0" w:space="0" w:color="auto"/>
                <w:bottom w:val="none" w:sz="0" w:space="0" w:color="auto"/>
                <w:right w:val="none" w:sz="0" w:space="0" w:color="auto"/>
              </w:divBdr>
              <w:divsChild>
                <w:div w:id="8219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71804">
          <w:marLeft w:val="0"/>
          <w:marRight w:val="0"/>
          <w:marTop w:val="0"/>
          <w:marBottom w:val="0"/>
          <w:divBdr>
            <w:top w:val="none" w:sz="0" w:space="0" w:color="auto"/>
            <w:left w:val="none" w:sz="0" w:space="0" w:color="auto"/>
            <w:bottom w:val="none" w:sz="0" w:space="0" w:color="auto"/>
            <w:right w:val="none" w:sz="0" w:space="0" w:color="auto"/>
          </w:divBdr>
          <w:divsChild>
            <w:div w:id="1412199959">
              <w:marLeft w:val="0"/>
              <w:marRight w:val="0"/>
              <w:marTop w:val="0"/>
              <w:marBottom w:val="0"/>
              <w:divBdr>
                <w:top w:val="none" w:sz="0" w:space="0" w:color="auto"/>
                <w:left w:val="none" w:sz="0" w:space="0" w:color="auto"/>
                <w:bottom w:val="none" w:sz="0" w:space="0" w:color="auto"/>
                <w:right w:val="none" w:sz="0" w:space="0" w:color="auto"/>
              </w:divBdr>
              <w:divsChild>
                <w:div w:id="12877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8378">
      <w:bodyDiv w:val="1"/>
      <w:marLeft w:val="0"/>
      <w:marRight w:val="0"/>
      <w:marTop w:val="0"/>
      <w:marBottom w:val="0"/>
      <w:divBdr>
        <w:top w:val="none" w:sz="0" w:space="0" w:color="auto"/>
        <w:left w:val="none" w:sz="0" w:space="0" w:color="auto"/>
        <w:bottom w:val="none" w:sz="0" w:space="0" w:color="auto"/>
        <w:right w:val="none" w:sz="0" w:space="0" w:color="auto"/>
      </w:divBdr>
      <w:divsChild>
        <w:div w:id="845369123">
          <w:marLeft w:val="0"/>
          <w:marRight w:val="0"/>
          <w:marTop w:val="0"/>
          <w:marBottom w:val="0"/>
          <w:divBdr>
            <w:top w:val="none" w:sz="0" w:space="0" w:color="auto"/>
            <w:left w:val="none" w:sz="0" w:space="0" w:color="auto"/>
            <w:bottom w:val="none" w:sz="0" w:space="0" w:color="auto"/>
            <w:right w:val="none" w:sz="0" w:space="0" w:color="auto"/>
          </w:divBdr>
          <w:divsChild>
            <w:div w:id="1224873190">
              <w:marLeft w:val="0"/>
              <w:marRight w:val="0"/>
              <w:marTop w:val="0"/>
              <w:marBottom w:val="0"/>
              <w:divBdr>
                <w:top w:val="none" w:sz="0" w:space="0" w:color="auto"/>
                <w:left w:val="none" w:sz="0" w:space="0" w:color="auto"/>
                <w:bottom w:val="none" w:sz="0" w:space="0" w:color="auto"/>
                <w:right w:val="none" w:sz="0" w:space="0" w:color="auto"/>
              </w:divBdr>
              <w:divsChild>
                <w:div w:id="1451239195">
                  <w:marLeft w:val="0"/>
                  <w:marRight w:val="0"/>
                  <w:marTop w:val="0"/>
                  <w:marBottom w:val="0"/>
                  <w:divBdr>
                    <w:top w:val="none" w:sz="0" w:space="0" w:color="auto"/>
                    <w:left w:val="none" w:sz="0" w:space="0" w:color="auto"/>
                    <w:bottom w:val="none" w:sz="0" w:space="0" w:color="auto"/>
                    <w:right w:val="none" w:sz="0" w:space="0" w:color="auto"/>
                  </w:divBdr>
                </w:div>
              </w:divsChild>
            </w:div>
            <w:div w:id="1604606349">
              <w:marLeft w:val="0"/>
              <w:marRight w:val="0"/>
              <w:marTop w:val="0"/>
              <w:marBottom w:val="0"/>
              <w:divBdr>
                <w:top w:val="none" w:sz="0" w:space="0" w:color="auto"/>
                <w:left w:val="none" w:sz="0" w:space="0" w:color="auto"/>
                <w:bottom w:val="none" w:sz="0" w:space="0" w:color="auto"/>
                <w:right w:val="none" w:sz="0" w:space="0" w:color="auto"/>
              </w:divBdr>
              <w:divsChild>
                <w:div w:id="1236237068">
                  <w:marLeft w:val="0"/>
                  <w:marRight w:val="0"/>
                  <w:marTop w:val="0"/>
                  <w:marBottom w:val="0"/>
                  <w:divBdr>
                    <w:top w:val="none" w:sz="0" w:space="0" w:color="auto"/>
                    <w:left w:val="none" w:sz="0" w:space="0" w:color="auto"/>
                    <w:bottom w:val="none" w:sz="0" w:space="0" w:color="auto"/>
                    <w:right w:val="none" w:sz="0" w:space="0" w:color="auto"/>
                  </w:divBdr>
                </w:div>
                <w:div w:id="1394809697">
                  <w:marLeft w:val="0"/>
                  <w:marRight w:val="0"/>
                  <w:marTop w:val="0"/>
                  <w:marBottom w:val="0"/>
                  <w:divBdr>
                    <w:top w:val="none" w:sz="0" w:space="0" w:color="auto"/>
                    <w:left w:val="none" w:sz="0" w:space="0" w:color="auto"/>
                    <w:bottom w:val="none" w:sz="0" w:space="0" w:color="auto"/>
                    <w:right w:val="none" w:sz="0" w:space="0" w:color="auto"/>
                  </w:divBdr>
                </w:div>
              </w:divsChild>
            </w:div>
            <w:div w:id="1995259676">
              <w:marLeft w:val="0"/>
              <w:marRight w:val="0"/>
              <w:marTop w:val="0"/>
              <w:marBottom w:val="0"/>
              <w:divBdr>
                <w:top w:val="none" w:sz="0" w:space="0" w:color="auto"/>
                <w:left w:val="none" w:sz="0" w:space="0" w:color="auto"/>
                <w:bottom w:val="none" w:sz="0" w:space="0" w:color="auto"/>
                <w:right w:val="none" w:sz="0" w:space="0" w:color="auto"/>
              </w:divBdr>
              <w:divsChild>
                <w:div w:id="2564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3226">
          <w:marLeft w:val="0"/>
          <w:marRight w:val="0"/>
          <w:marTop w:val="0"/>
          <w:marBottom w:val="0"/>
          <w:divBdr>
            <w:top w:val="none" w:sz="0" w:space="0" w:color="auto"/>
            <w:left w:val="none" w:sz="0" w:space="0" w:color="auto"/>
            <w:bottom w:val="none" w:sz="0" w:space="0" w:color="auto"/>
            <w:right w:val="none" w:sz="0" w:space="0" w:color="auto"/>
          </w:divBdr>
          <w:divsChild>
            <w:div w:id="1533956196">
              <w:marLeft w:val="0"/>
              <w:marRight w:val="0"/>
              <w:marTop w:val="0"/>
              <w:marBottom w:val="0"/>
              <w:divBdr>
                <w:top w:val="none" w:sz="0" w:space="0" w:color="auto"/>
                <w:left w:val="none" w:sz="0" w:space="0" w:color="auto"/>
                <w:bottom w:val="none" w:sz="0" w:space="0" w:color="auto"/>
                <w:right w:val="none" w:sz="0" w:space="0" w:color="auto"/>
              </w:divBdr>
              <w:divsChild>
                <w:div w:id="5787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4427">
      <w:bodyDiv w:val="1"/>
      <w:marLeft w:val="0"/>
      <w:marRight w:val="0"/>
      <w:marTop w:val="0"/>
      <w:marBottom w:val="0"/>
      <w:divBdr>
        <w:top w:val="none" w:sz="0" w:space="0" w:color="auto"/>
        <w:left w:val="none" w:sz="0" w:space="0" w:color="auto"/>
        <w:bottom w:val="none" w:sz="0" w:space="0" w:color="auto"/>
        <w:right w:val="none" w:sz="0" w:space="0" w:color="auto"/>
      </w:divBdr>
      <w:divsChild>
        <w:div w:id="977421990">
          <w:marLeft w:val="0"/>
          <w:marRight w:val="0"/>
          <w:marTop w:val="0"/>
          <w:marBottom w:val="0"/>
          <w:divBdr>
            <w:top w:val="none" w:sz="0" w:space="0" w:color="auto"/>
            <w:left w:val="none" w:sz="0" w:space="0" w:color="auto"/>
            <w:bottom w:val="none" w:sz="0" w:space="0" w:color="auto"/>
            <w:right w:val="none" w:sz="0" w:space="0" w:color="auto"/>
          </w:divBdr>
          <w:divsChild>
            <w:div w:id="106825143">
              <w:marLeft w:val="0"/>
              <w:marRight w:val="0"/>
              <w:marTop w:val="0"/>
              <w:marBottom w:val="0"/>
              <w:divBdr>
                <w:top w:val="none" w:sz="0" w:space="0" w:color="auto"/>
                <w:left w:val="none" w:sz="0" w:space="0" w:color="auto"/>
                <w:bottom w:val="none" w:sz="0" w:space="0" w:color="auto"/>
                <w:right w:val="none" w:sz="0" w:space="0" w:color="auto"/>
              </w:divBdr>
              <w:divsChild>
                <w:div w:id="1443959676">
                  <w:marLeft w:val="0"/>
                  <w:marRight w:val="0"/>
                  <w:marTop w:val="0"/>
                  <w:marBottom w:val="0"/>
                  <w:divBdr>
                    <w:top w:val="none" w:sz="0" w:space="0" w:color="auto"/>
                    <w:left w:val="none" w:sz="0" w:space="0" w:color="auto"/>
                    <w:bottom w:val="none" w:sz="0" w:space="0" w:color="auto"/>
                    <w:right w:val="none" w:sz="0" w:space="0" w:color="auto"/>
                  </w:divBdr>
                </w:div>
              </w:divsChild>
            </w:div>
            <w:div w:id="664549778">
              <w:marLeft w:val="0"/>
              <w:marRight w:val="0"/>
              <w:marTop w:val="0"/>
              <w:marBottom w:val="0"/>
              <w:divBdr>
                <w:top w:val="none" w:sz="0" w:space="0" w:color="auto"/>
                <w:left w:val="none" w:sz="0" w:space="0" w:color="auto"/>
                <w:bottom w:val="none" w:sz="0" w:space="0" w:color="auto"/>
                <w:right w:val="none" w:sz="0" w:space="0" w:color="auto"/>
              </w:divBdr>
              <w:divsChild>
                <w:div w:id="10463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chart" Target="charts/chart15.xml"/><Relationship Id="rId21" Type="http://schemas.openxmlformats.org/officeDocument/2006/relationships/chart" Target="charts/chart7.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2.xml"/><Relationship Id="rId50"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www.legifrance.gouv.fr/codes/article_lc/LEGIARTI000039369458" TargetMode="Externa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image" Target="media/image6.gif"/><Relationship Id="rId44" Type="http://schemas.openxmlformats.org/officeDocument/2006/relationships/chart" Target="charts/chart20.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8.xml"/><Relationship Id="rId27" Type="http://schemas.openxmlformats.org/officeDocument/2006/relationships/footer" Target="footer2.xml"/><Relationship Id="rId30" Type="http://schemas.openxmlformats.org/officeDocument/2006/relationships/hyperlink" Target="https://www.ecologie.gouv.fr/sites/default/files/20200318%20Rapport%20d'accompagnement%20SNBC2.pdf" TargetMode="Externa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image" Target="media/image10.emf"/><Relationship Id="rId8" Type="http://schemas.openxmlformats.org/officeDocument/2006/relationships/webSettings" Target="webSettings.xml"/><Relationship Id="rId51" Type="http://schemas.openxmlformats.org/officeDocument/2006/relationships/image" Target="media/image13.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chart" Target="charts/chart14.xml"/><Relationship Id="rId46" Type="http://schemas.openxmlformats.org/officeDocument/2006/relationships/chart" Target="charts/chart21.xml"/><Relationship Id="rId20" Type="http://schemas.openxmlformats.org/officeDocument/2006/relationships/chart" Target="charts/chart6.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hyperlink" Target="https://www.ecologie.gouv.fr/sites/default/files/2020-03-25_MTES_SNBC2.pd" TargetMode="External"/><Relationship Id="rId36" Type="http://schemas.openxmlformats.org/officeDocument/2006/relationships/chart" Target="charts/chart12.xml"/><Relationship Id="rId49" Type="http://schemas.openxmlformats.org/officeDocument/2006/relationships/image" Target="media/image11.emf"/></Relationships>
</file>

<file path=word/_rels/footnotes.xml.rels><?xml version="1.0" encoding="UTF-8" standalone="yes"?>
<Relationships xmlns="http://schemas.openxmlformats.org/package/2006/relationships"><Relationship Id="rId8" Type="http://schemas.openxmlformats.org/officeDocument/2006/relationships/hyperlink" Target="https://reportnet.europa.eu/public/country/FR" TargetMode="External"/><Relationship Id="rId3" Type="http://schemas.openxmlformats.org/officeDocument/2006/relationships/hyperlink" Target="https://eur-lex.europa.eu/legal-content/FR/TXT/PDF/?uri=CELEX:32019R0807&amp;from=EN" TargetMode="External"/><Relationship Id="rId7" Type="http://schemas.openxmlformats.org/officeDocument/2006/relationships/hyperlink" Target="https://www.ecologique-solidaire.gouv.fr/scenarios-prospectifs-energie-climat-air" TargetMode="External"/><Relationship Id="rId2" Type="http://schemas.openxmlformats.org/officeDocument/2006/relationships/hyperlink" Target="https://www.ecologie.gouv.fr/rapportages-climat-france" TargetMode="External"/><Relationship Id="rId1" Type="http://schemas.openxmlformats.org/officeDocument/2006/relationships/hyperlink" Target="https://www.legifrance.gouv.fr/affichCodeArticle.do?cidTexte=LEGITEXT000006074220&amp;idArticle=LEGIARTI000022476854&amp;" TargetMode="External"/><Relationship Id="rId6" Type="http://schemas.openxmlformats.org/officeDocument/2006/relationships/hyperlink" Target="https://www.ecologie.gouv.fr/sites/default/files/Synth%C3%A8se_du_sc%C3%A9nario_AME2021_postQAQC%5B1%5D.pdf" TargetMode="External"/><Relationship Id="rId5" Type="http://schemas.openxmlformats.org/officeDocument/2006/relationships/hyperlink" Target="https://unfccc.int/sites/default/files/resource/BR_FRA_resubmission.pdf" TargetMode="External"/><Relationship Id="rId4" Type="http://schemas.openxmlformats.org/officeDocument/2006/relationships/hyperlink" Target="https://unfccc.int/sites/default/files/resource/BR_FRA_resubmissio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anis.chaigneau\Documents\comparaison_ame_am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Projections\graphiques%20projections%20BR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anis.chaigneau\Documents\calculs_figures_CCNUCC.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yanis.chaigneau\Documents\calculs_figures_CCNUCC.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auth-apn-1.auth.ad.e2.rie.gouv.fr\dgec.scee.dlces\4_Inventaires%20d'&#233;missions,%20prospective%20et%20&#233;valuation\42_Prospective\421_Sc&#233;narios%20prospectifs%20DGEC\4214_Sc&#233;narios%202021\AME%202021\param&#232;tres%20de%20cadrage%20AME%202021%20v5.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auth-apn-1.auth.ad.e2.rie.gouv.fr\dgec.scee.dlces\4_Inventaires%20d'&#233;missions,%20prospective%20et%20&#233;valuation\42_Prospective\421_Sc&#233;narios%20prospectifs%20DGEC\4214_Sc&#233;narios%202021\AME%202021\param&#232;tres%20de%20cadrage%20AME%202021%20v5.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Chapitres%20%20Inventaires\Donnees-G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Chapitres%20%20Inventaires\Donnees-G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evue\Progress%20targ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des émissions au</a:t>
            </a:r>
            <a:r>
              <a:rPr lang="fr-FR" baseline="0"/>
              <a:t> périmètre Convention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Energie</c:v>
          </c:tx>
          <c:spPr>
            <a:solidFill>
              <a:schemeClr val="accent1"/>
            </a:solidFill>
            <a:ln>
              <a:noFill/>
            </a:ln>
            <a:effectLst/>
          </c:spPr>
          <c:invertIfNegative val="0"/>
          <c:cat>
            <c:strRef>
              <c:f>'Table10s1 2020 Convention'!$B$1:$AF$1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Convention'!$B$3:$AF$3</c:f>
              <c:numCache>
                <c:formatCode>#,##0.00</c:formatCode>
                <c:ptCount val="31"/>
                <c:pt idx="0">
                  <c:v>369599.97465804726</c:v>
                </c:pt>
                <c:pt idx="1">
                  <c:v>396968.24320626236</c:v>
                </c:pt>
                <c:pt idx="2">
                  <c:v>387694.87122764671</c:v>
                </c:pt>
                <c:pt idx="3">
                  <c:v>370413.36709214549</c:v>
                </c:pt>
                <c:pt idx="4">
                  <c:v>363164.26872353663</c:v>
                </c:pt>
                <c:pt idx="5">
                  <c:v>368963.82309017866</c:v>
                </c:pt>
                <c:pt idx="6">
                  <c:v>384391.07932159683</c:v>
                </c:pt>
                <c:pt idx="7">
                  <c:v>375192.7530906531</c:v>
                </c:pt>
                <c:pt idx="8">
                  <c:v>394862.0079669336</c:v>
                </c:pt>
                <c:pt idx="9">
                  <c:v>392140.97879660659</c:v>
                </c:pt>
                <c:pt idx="10">
                  <c:v>385100.35721237666</c:v>
                </c:pt>
                <c:pt idx="11">
                  <c:v>391665.72507341165</c:v>
                </c:pt>
                <c:pt idx="12">
                  <c:v>386766.06668323599</c:v>
                </c:pt>
                <c:pt idx="13">
                  <c:v>392726.47331786278</c:v>
                </c:pt>
                <c:pt idx="14">
                  <c:v>392005.12041010795</c:v>
                </c:pt>
                <c:pt idx="15">
                  <c:v>394292.83772501448</c:v>
                </c:pt>
                <c:pt idx="16">
                  <c:v>382405.347983638</c:v>
                </c:pt>
                <c:pt idx="17">
                  <c:v>371762.55124191457</c:v>
                </c:pt>
                <c:pt idx="18">
                  <c:v>369950.99695386639</c:v>
                </c:pt>
                <c:pt idx="19">
                  <c:v>359492.84520053933</c:v>
                </c:pt>
                <c:pt idx="20">
                  <c:v>362097.30557139072</c:v>
                </c:pt>
                <c:pt idx="21">
                  <c:v>339840.58495474939</c:v>
                </c:pt>
                <c:pt idx="22">
                  <c:v>344191.41524837929</c:v>
                </c:pt>
                <c:pt idx="23">
                  <c:v>344297.87815788755</c:v>
                </c:pt>
                <c:pt idx="24">
                  <c:v>312817.42114362342</c:v>
                </c:pt>
                <c:pt idx="25">
                  <c:v>319194.52128604637</c:v>
                </c:pt>
                <c:pt idx="26">
                  <c:v>322634.81217369565</c:v>
                </c:pt>
                <c:pt idx="27">
                  <c:v>324043.50021658279</c:v>
                </c:pt>
                <c:pt idx="28">
                  <c:v>309492.25592481648</c:v>
                </c:pt>
                <c:pt idx="29">
                  <c:v>303587.74225036183</c:v>
                </c:pt>
                <c:pt idx="30">
                  <c:v>270510.55304975936</c:v>
                </c:pt>
              </c:numCache>
            </c:numRef>
          </c:val>
          <c:extLst>
            <c:ext xmlns:c16="http://schemas.microsoft.com/office/drawing/2014/chart" uri="{C3380CC4-5D6E-409C-BE32-E72D297353CC}">
              <c16:uniqueId val="{00000000-3591-4D50-81B3-5D246EE153F0}"/>
            </c:ext>
          </c:extLst>
        </c:ser>
        <c:ser>
          <c:idx val="1"/>
          <c:order val="1"/>
          <c:tx>
            <c:v>Procédés industriels</c:v>
          </c:tx>
          <c:spPr>
            <a:solidFill>
              <a:schemeClr val="accent2"/>
            </a:solidFill>
            <a:ln>
              <a:noFill/>
            </a:ln>
            <a:effectLst/>
          </c:spPr>
          <c:invertIfNegative val="0"/>
          <c:cat>
            <c:strRef>
              <c:f>'Table10s1 2020 Convention'!$B$1:$AF$1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Convention'!$B$19:$AF$19</c:f>
              <c:numCache>
                <c:formatCode>#,##0.00</c:formatCode>
                <c:ptCount val="31"/>
                <c:pt idx="0">
                  <c:v>78965.61914645214</c:v>
                </c:pt>
                <c:pt idx="1">
                  <c:v>78354.160639730253</c:v>
                </c:pt>
                <c:pt idx="2">
                  <c:v>76161.147044400452</c:v>
                </c:pt>
                <c:pt idx="3">
                  <c:v>73655.631759401003</c:v>
                </c:pt>
                <c:pt idx="4">
                  <c:v>73567.629675612261</c:v>
                </c:pt>
                <c:pt idx="5">
                  <c:v>72298.090801216968</c:v>
                </c:pt>
                <c:pt idx="6">
                  <c:v>73339.175600890449</c:v>
                </c:pt>
                <c:pt idx="7">
                  <c:v>74722.867501004628</c:v>
                </c:pt>
                <c:pt idx="8">
                  <c:v>69325.557248963247</c:v>
                </c:pt>
                <c:pt idx="9">
                  <c:v>65942.33222460837</c:v>
                </c:pt>
                <c:pt idx="10">
                  <c:v>65006.517804370946</c:v>
                </c:pt>
                <c:pt idx="11">
                  <c:v>64101.788202515068</c:v>
                </c:pt>
                <c:pt idx="12">
                  <c:v>64905.651327820509</c:v>
                </c:pt>
                <c:pt idx="13">
                  <c:v>64554.93903972808</c:v>
                </c:pt>
                <c:pt idx="14">
                  <c:v>64071.21858528164</c:v>
                </c:pt>
                <c:pt idx="15">
                  <c:v>63913.313104017987</c:v>
                </c:pt>
                <c:pt idx="16">
                  <c:v>65638.744971496228</c:v>
                </c:pt>
                <c:pt idx="17">
                  <c:v>66331.420658165211</c:v>
                </c:pt>
                <c:pt idx="18">
                  <c:v>61736.27205778908</c:v>
                </c:pt>
                <c:pt idx="19">
                  <c:v>51166.462832811827</c:v>
                </c:pt>
                <c:pt idx="20">
                  <c:v>54165.723161616697</c:v>
                </c:pt>
                <c:pt idx="21">
                  <c:v>53579.203256906483</c:v>
                </c:pt>
                <c:pt idx="22">
                  <c:v>51480.767408459447</c:v>
                </c:pt>
                <c:pt idx="23">
                  <c:v>53024.400525205325</c:v>
                </c:pt>
                <c:pt idx="24">
                  <c:v>52742.596344650636</c:v>
                </c:pt>
                <c:pt idx="25">
                  <c:v>51116.700254588453</c:v>
                </c:pt>
                <c:pt idx="26">
                  <c:v>50895.893798832316</c:v>
                </c:pt>
                <c:pt idx="27">
                  <c:v>52425.104748162143</c:v>
                </c:pt>
                <c:pt idx="28">
                  <c:v>49595.761403096316</c:v>
                </c:pt>
                <c:pt idx="29">
                  <c:v>46655.182265707226</c:v>
                </c:pt>
                <c:pt idx="30">
                  <c:v>40284.483774418251</c:v>
                </c:pt>
              </c:numCache>
            </c:numRef>
          </c:val>
          <c:extLst>
            <c:ext xmlns:c16="http://schemas.microsoft.com/office/drawing/2014/chart" uri="{C3380CC4-5D6E-409C-BE32-E72D297353CC}">
              <c16:uniqueId val="{00000001-3591-4D50-81B3-5D246EE153F0}"/>
            </c:ext>
          </c:extLst>
        </c:ser>
        <c:ser>
          <c:idx val="2"/>
          <c:order val="2"/>
          <c:tx>
            <c:v>Agriculture</c:v>
          </c:tx>
          <c:spPr>
            <a:solidFill>
              <a:srgbClr val="92D050"/>
            </a:solidFill>
            <a:ln>
              <a:noFill/>
            </a:ln>
            <a:effectLst/>
          </c:spPr>
          <c:invertIfNegative val="0"/>
          <c:val>
            <c:numRef>
              <c:f>'Table10s1 2020 Convention'!$B$28:$AF$28</c:f>
              <c:numCache>
                <c:formatCode>#,##0.00</c:formatCode>
                <c:ptCount val="31"/>
                <c:pt idx="0">
                  <c:v>81195.410966652504</c:v>
                </c:pt>
                <c:pt idx="1">
                  <c:v>80769.982388152042</c:v>
                </c:pt>
                <c:pt idx="2">
                  <c:v>79326.855089335004</c:v>
                </c:pt>
                <c:pt idx="3">
                  <c:v>78317.444833381756</c:v>
                </c:pt>
                <c:pt idx="4">
                  <c:v>77909.690858328162</c:v>
                </c:pt>
                <c:pt idx="5">
                  <c:v>78655.445789645673</c:v>
                </c:pt>
                <c:pt idx="6">
                  <c:v>79086.661628869566</c:v>
                </c:pt>
                <c:pt idx="7">
                  <c:v>79413.030639926379</c:v>
                </c:pt>
                <c:pt idx="8">
                  <c:v>79359.29063310819</c:v>
                </c:pt>
                <c:pt idx="9">
                  <c:v>79823.200512706622</c:v>
                </c:pt>
                <c:pt idx="10">
                  <c:v>81653.869230911514</c:v>
                </c:pt>
                <c:pt idx="11">
                  <c:v>81170.096112126688</c:v>
                </c:pt>
                <c:pt idx="12">
                  <c:v>79803.617443896233</c:v>
                </c:pt>
                <c:pt idx="13">
                  <c:v>77107.217184306792</c:v>
                </c:pt>
                <c:pt idx="14">
                  <c:v>77428.546316253371</c:v>
                </c:pt>
                <c:pt idx="15">
                  <c:v>76349.77115455734</c:v>
                </c:pt>
                <c:pt idx="16">
                  <c:v>75949.852909229958</c:v>
                </c:pt>
                <c:pt idx="17">
                  <c:v>76828.001728756164</c:v>
                </c:pt>
                <c:pt idx="18">
                  <c:v>77560.640037179706</c:v>
                </c:pt>
                <c:pt idx="19">
                  <c:v>76692.450331627886</c:v>
                </c:pt>
                <c:pt idx="20">
                  <c:v>75501.415205492973</c:v>
                </c:pt>
                <c:pt idx="21">
                  <c:v>74774.985811186736</c:v>
                </c:pt>
                <c:pt idx="22">
                  <c:v>74703.996015746525</c:v>
                </c:pt>
                <c:pt idx="23">
                  <c:v>74233.06510608588</c:v>
                </c:pt>
                <c:pt idx="24">
                  <c:v>76185.429081535767</c:v>
                </c:pt>
                <c:pt idx="25">
                  <c:v>75992.051320128521</c:v>
                </c:pt>
                <c:pt idx="26">
                  <c:v>74746.886154772757</c:v>
                </c:pt>
                <c:pt idx="27">
                  <c:v>75093.129400226797</c:v>
                </c:pt>
                <c:pt idx="28">
                  <c:v>73801.996989122767</c:v>
                </c:pt>
                <c:pt idx="29">
                  <c:v>72770.509392292544</c:v>
                </c:pt>
                <c:pt idx="30">
                  <c:v>70645.906290391824</c:v>
                </c:pt>
              </c:numCache>
            </c:numRef>
          </c:val>
          <c:extLst>
            <c:ext xmlns:c16="http://schemas.microsoft.com/office/drawing/2014/chart" uri="{C3380CC4-5D6E-409C-BE32-E72D297353CC}">
              <c16:uniqueId val="{00000002-3591-4D50-81B3-5D246EE153F0}"/>
            </c:ext>
          </c:extLst>
        </c:ser>
        <c:ser>
          <c:idx val="3"/>
          <c:order val="3"/>
          <c:tx>
            <c:v>UTCATF</c:v>
          </c:tx>
          <c:spPr>
            <a:solidFill>
              <a:schemeClr val="accent3">
                <a:lumMod val="75000"/>
              </a:schemeClr>
            </a:solidFill>
            <a:ln>
              <a:noFill/>
            </a:ln>
            <a:effectLst/>
          </c:spPr>
          <c:invertIfNegative val="0"/>
          <c:val>
            <c:numRef>
              <c:f>'Table10s1 2020 Convention'!$B$39:$AF$39</c:f>
              <c:numCache>
                <c:formatCode>#,##0.00</c:formatCode>
                <c:ptCount val="31"/>
                <c:pt idx="0">
                  <c:v>-23790.19036360137</c:v>
                </c:pt>
                <c:pt idx="1">
                  <c:v>-23875.181460386528</c:v>
                </c:pt>
                <c:pt idx="2">
                  <c:v>-21737.214121312834</c:v>
                </c:pt>
                <c:pt idx="3">
                  <c:v>-24800.386420940755</c:v>
                </c:pt>
                <c:pt idx="4">
                  <c:v>-22341.161864384922</c:v>
                </c:pt>
                <c:pt idx="5">
                  <c:v>-24683.274622121269</c:v>
                </c:pt>
                <c:pt idx="6">
                  <c:v>-31071.071611552001</c:v>
                </c:pt>
                <c:pt idx="7">
                  <c:v>-31333.24108615578</c:v>
                </c:pt>
                <c:pt idx="8">
                  <c:v>-33243.549813772683</c:v>
                </c:pt>
                <c:pt idx="9">
                  <c:v>-36535.880521851264</c:v>
                </c:pt>
                <c:pt idx="10">
                  <c:v>-20659.187459565685</c:v>
                </c:pt>
                <c:pt idx="11">
                  <c:v>-32237.746165221808</c:v>
                </c:pt>
                <c:pt idx="12">
                  <c:v>-38406.25220075751</c:v>
                </c:pt>
                <c:pt idx="13">
                  <c:v>-42999.377234013882</c:v>
                </c:pt>
                <c:pt idx="14">
                  <c:v>-45136.448264783176</c:v>
                </c:pt>
                <c:pt idx="15">
                  <c:v>-47296.81111804278</c:v>
                </c:pt>
                <c:pt idx="16">
                  <c:v>-48941.205217524606</c:v>
                </c:pt>
                <c:pt idx="17">
                  <c:v>-49029.016978562307</c:v>
                </c:pt>
                <c:pt idx="18">
                  <c:v>-48984.26294746351</c:v>
                </c:pt>
                <c:pt idx="19">
                  <c:v>-37717.681773546326</c:v>
                </c:pt>
                <c:pt idx="20">
                  <c:v>-38583.46369183193</c:v>
                </c:pt>
                <c:pt idx="21">
                  <c:v>-38358.792332939331</c:v>
                </c:pt>
                <c:pt idx="22">
                  <c:v>-41677.253315461399</c:v>
                </c:pt>
                <c:pt idx="23">
                  <c:v>-44598.462340110062</c:v>
                </c:pt>
                <c:pt idx="24">
                  <c:v>-38092.427539027769</c:v>
                </c:pt>
                <c:pt idx="25">
                  <c:v>-34278.502361098414</c:v>
                </c:pt>
                <c:pt idx="26">
                  <c:v>-25189.286342617179</c:v>
                </c:pt>
                <c:pt idx="27">
                  <c:v>-14634.190893670009</c:v>
                </c:pt>
                <c:pt idx="28">
                  <c:v>-14297.139544809326</c:v>
                </c:pt>
                <c:pt idx="29">
                  <c:v>-10097.240160972891</c:v>
                </c:pt>
                <c:pt idx="30">
                  <c:v>-14621.143415960531</c:v>
                </c:pt>
              </c:numCache>
            </c:numRef>
          </c:val>
          <c:extLst>
            <c:ext xmlns:c16="http://schemas.microsoft.com/office/drawing/2014/chart" uri="{C3380CC4-5D6E-409C-BE32-E72D297353CC}">
              <c16:uniqueId val="{00000003-3591-4D50-81B3-5D246EE153F0}"/>
            </c:ext>
          </c:extLst>
        </c:ser>
        <c:ser>
          <c:idx val="4"/>
          <c:order val="4"/>
          <c:tx>
            <c:v>Déchets</c:v>
          </c:tx>
          <c:spPr>
            <a:solidFill>
              <a:srgbClr val="7030A0"/>
            </a:solidFill>
            <a:ln>
              <a:noFill/>
            </a:ln>
            <a:effectLst/>
          </c:spPr>
          <c:invertIfNegative val="0"/>
          <c:val>
            <c:numRef>
              <c:f>'Table10s1 2020 Convention'!$B$48:$AF$48</c:f>
              <c:numCache>
                <c:formatCode>#,##0.00</c:formatCode>
                <c:ptCount val="31"/>
                <c:pt idx="0">
                  <c:v>17422.223889055789</c:v>
                </c:pt>
                <c:pt idx="1">
                  <c:v>18081.947429819582</c:v>
                </c:pt>
                <c:pt idx="2">
                  <c:v>18875.379997070435</c:v>
                </c:pt>
                <c:pt idx="3">
                  <c:v>19658.171117923786</c:v>
                </c:pt>
                <c:pt idx="4">
                  <c:v>20032.830524867379</c:v>
                </c:pt>
                <c:pt idx="5">
                  <c:v>20277.835111994533</c:v>
                </c:pt>
                <c:pt idx="6">
                  <c:v>20351.465930662533</c:v>
                </c:pt>
                <c:pt idx="7">
                  <c:v>20339.759487427411</c:v>
                </c:pt>
                <c:pt idx="8">
                  <c:v>20709.622752070707</c:v>
                </c:pt>
                <c:pt idx="9">
                  <c:v>20877.80931185677</c:v>
                </c:pt>
                <c:pt idx="10">
                  <c:v>21240.992186787174</c:v>
                </c:pt>
                <c:pt idx="11">
                  <c:v>21420.831133932377</c:v>
                </c:pt>
                <c:pt idx="12">
                  <c:v>21611.500395140065</c:v>
                </c:pt>
                <c:pt idx="13">
                  <c:v>21747.677334112137</c:v>
                </c:pt>
                <c:pt idx="14">
                  <c:v>21602.332592900977</c:v>
                </c:pt>
                <c:pt idx="15">
                  <c:v>21564.627108274595</c:v>
                </c:pt>
                <c:pt idx="16">
                  <c:v>21593.497785810814</c:v>
                </c:pt>
                <c:pt idx="17">
                  <c:v>21453.023410691439</c:v>
                </c:pt>
                <c:pt idx="18">
                  <c:v>21474.886909845016</c:v>
                </c:pt>
                <c:pt idx="19">
                  <c:v>20862.138520790821</c:v>
                </c:pt>
                <c:pt idx="20">
                  <c:v>20989.048155854362</c:v>
                </c:pt>
                <c:pt idx="21">
                  <c:v>20558.675664233582</c:v>
                </c:pt>
                <c:pt idx="22">
                  <c:v>19880.050098397503</c:v>
                </c:pt>
                <c:pt idx="23">
                  <c:v>19780.442540626249</c:v>
                </c:pt>
                <c:pt idx="24">
                  <c:v>19444.04352003715</c:v>
                </c:pt>
                <c:pt idx="25">
                  <c:v>18187.995562993674</c:v>
                </c:pt>
                <c:pt idx="26">
                  <c:v>18099.386180554888</c:v>
                </c:pt>
                <c:pt idx="27">
                  <c:v>18156.890296700327</c:v>
                </c:pt>
                <c:pt idx="28">
                  <c:v>17897.063201050558</c:v>
                </c:pt>
                <c:pt idx="29">
                  <c:v>18474.578681548381</c:v>
                </c:pt>
                <c:pt idx="30">
                  <c:v>17971.724977449583</c:v>
                </c:pt>
              </c:numCache>
            </c:numRef>
          </c:val>
          <c:extLst>
            <c:ext xmlns:c16="http://schemas.microsoft.com/office/drawing/2014/chart" uri="{C3380CC4-5D6E-409C-BE32-E72D297353CC}">
              <c16:uniqueId val="{00000004-3591-4D50-81B3-5D246EE153F0}"/>
            </c:ext>
          </c:extLst>
        </c:ser>
        <c:dLbls>
          <c:showLegendKey val="0"/>
          <c:showVal val="0"/>
          <c:showCatName val="0"/>
          <c:showSerName val="0"/>
          <c:showPercent val="0"/>
          <c:showBubbleSize val="0"/>
        </c:dLbls>
        <c:gapWidth val="219"/>
        <c:overlap val="100"/>
        <c:axId val="2026340607"/>
        <c:axId val="2026342271"/>
      </c:barChart>
      <c:catAx>
        <c:axId val="202634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42271"/>
        <c:crossesAt val="-30000"/>
        <c:auto val="1"/>
        <c:lblAlgn val="ctr"/>
        <c:lblOffset val="100"/>
        <c:tickLblSkip val="2"/>
        <c:noMultiLvlLbl val="0"/>
      </c:catAx>
      <c:valAx>
        <c:axId val="2026342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ktCO2</a:t>
                </a:r>
                <a:r>
                  <a:rPr lang="fr-FR" baseline="0"/>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4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baseline="0">
                <a:effectLst/>
              </a:rPr>
              <a:t>Emissions hors LULUCF, périmètre Kyoto</a:t>
            </a:r>
            <a:endParaRPr lang="fr-FR"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strRef>
              <c:f>Feuil1!$B$37</c:f>
              <c:strCache>
                <c:ptCount val="1"/>
                <c:pt idx="0">
                  <c:v>Historique</c:v>
                </c:pt>
              </c:strCache>
            </c:strRef>
          </c:tx>
          <c:spPr>
            <a:ln w="19050" cap="rnd">
              <a:solidFill>
                <a:schemeClr val="accent1"/>
              </a:solidFill>
              <a:round/>
            </a:ln>
            <a:effectLst/>
          </c:spPr>
          <c:marker>
            <c:symbol val="none"/>
          </c:marker>
          <c:xVal>
            <c:numRef>
              <c:f>Feuil1!$B$40:$AE$40</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xVal>
          <c:yVal>
            <c:numRef>
              <c:f>Feuil1!$B$41:$AE$41</c:f>
              <c:numCache>
                <c:formatCode>0.00</c:formatCode>
                <c:ptCount val="30"/>
                <c:pt idx="0">
                  <c:v>544.08640504911114</c:v>
                </c:pt>
                <c:pt idx="1">
                  <c:v>570.96202802198366</c:v>
                </c:pt>
                <c:pt idx="2">
                  <c:v>558.76148139002271</c:v>
                </c:pt>
                <c:pt idx="3">
                  <c:v>538.60700659237534</c:v>
                </c:pt>
                <c:pt idx="4">
                  <c:v>531.22591024468818</c:v>
                </c:pt>
                <c:pt idx="5">
                  <c:v>536.47553370364858</c:v>
                </c:pt>
                <c:pt idx="6">
                  <c:v>553.48594359310732</c:v>
                </c:pt>
                <c:pt idx="7">
                  <c:v>545.92267050468718</c:v>
                </c:pt>
                <c:pt idx="8">
                  <c:v>560.38615043782738</c:v>
                </c:pt>
                <c:pt idx="9">
                  <c:v>554.86711994159316</c:v>
                </c:pt>
                <c:pt idx="10">
                  <c:v>549.00516597447393</c:v>
                </c:pt>
                <c:pt idx="11">
                  <c:v>554.19313177749154</c:v>
                </c:pt>
                <c:pt idx="12">
                  <c:v>548.6097419832895</c:v>
                </c:pt>
                <c:pt idx="13">
                  <c:v>551.64616316215995</c:v>
                </c:pt>
                <c:pt idx="14">
                  <c:v>550.62067427753834</c:v>
                </c:pt>
                <c:pt idx="15">
                  <c:v>551.39112523150402</c:v>
                </c:pt>
                <c:pt idx="16">
                  <c:v>540.90781148848509</c:v>
                </c:pt>
                <c:pt idx="17">
                  <c:v>531.57397496341889</c:v>
                </c:pt>
                <c:pt idx="18">
                  <c:v>526.06065166725898</c:v>
                </c:pt>
                <c:pt idx="19">
                  <c:v>503.43502484599236</c:v>
                </c:pt>
                <c:pt idx="20">
                  <c:v>507.46801065307523</c:v>
                </c:pt>
                <c:pt idx="21">
                  <c:v>483.26382111423646</c:v>
                </c:pt>
                <c:pt idx="22">
                  <c:v>484.76589626947793</c:v>
                </c:pt>
                <c:pt idx="23">
                  <c:v>485.60533033086369</c:v>
                </c:pt>
                <c:pt idx="24">
                  <c:v>454.61367943939558</c:v>
                </c:pt>
                <c:pt idx="25">
                  <c:v>457.92374571373034</c:v>
                </c:pt>
                <c:pt idx="26">
                  <c:v>459.32885856765569</c:v>
                </c:pt>
                <c:pt idx="27">
                  <c:v>462.59121677460394</c:v>
                </c:pt>
                <c:pt idx="28">
                  <c:v>443.32135981431094</c:v>
                </c:pt>
                <c:pt idx="29">
                  <c:v>434.53977351930041</c:v>
                </c:pt>
              </c:numCache>
            </c:numRef>
          </c:yVal>
          <c:smooth val="0"/>
          <c:extLst>
            <c:ext xmlns:c16="http://schemas.microsoft.com/office/drawing/2014/chart" uri="{C3380CC4-5D6E-409C-BE32-E72D297353CC}">
              <c16:uniqueId val="{00000000-5326-42F8-9BC9-4154AC5FA2EE}"/>
            </c:ext>
          </c:extLst>
        </c:ser>
        <c:ser>
          <c:idx val="2"/>
          <c:order val="3"/>
          <c:tx>
            <c:strRef>
              <c:f>Feuil1!$B$8</c:f>
              <c:strCache>
                <c:ptCount val="1"/>
                <c:pt idx="0">
                  <c:v>AME 2021</c:v>
                </c:pt>
              </c:strCache>
            </c:strRef>
          </c:tx>
          <c:spPr>
            <a:ln w="19050" cap="rnd">
              <a:solidFill>
                <a:schemeClr val="accent2"/>
              </a:solidFill>
              <a:round/>
            </a:ln>
            <a:effectLst/>
          </c:spPr>
          <c:marker>
            <c:symbol val="none"/>
          </c:marker>
          <c:xVal>
            <c:numRef>
              <c:f>Feuil1!$D$5:$K$5</c:f>
              <c:numCache>
                <c:formatCode>General</c:formatCode>
                <c:ptCount val="8"/>
                <c:pt idx="0">
                  <c:v>2019</c:v>
                </c:pt>
                <c:pt idx="1">
                  <c:v>2020</c:v>
                </c:pt>
                <c:pt idx="2">
                  <c:v>2025</c:v>
                </c:pt>
                <c:pt idx="3">
                  <c:v>2030</c:v>
                </c:pt>
                <c:pt idx="4">
                  <c:v>2035</c:v>
                </c:pt>
                <c:pt idx="5">
                  <c:v>2040</c:v>
                </c:pt>
                <c:pt idx="6">
                  <c:v>2045</c:v>
                </c:pt>
                <c:pt idx="7">
                  <c:v>2050</c:v>
                </c:pt>
              </c:numCache>
            </c:numRef>
          </c:xVal>
          <c:yVal>
            <c:numRef>
              <c:f>Feuil1!$D$8:$K$8</c:f>
              <c:numCache>
                <c:formatCode>General</c:formatCode>
                <c:ptCount val="8"/>
                <c:pt idx="0">
                  <c:v>435.99862392302089</c:v>
                </c:pt>
                <c:pt idx="1">
                  <c:v>398.67635445806309</c:v>
                </c:pt>
                <c:pt idx="2">
                  <c:v>391.78846839189674</c:v>
                </c:pt>
                <c:pt idx="3">
                  <c:v>366.868028052792</c:v>
                </c:pt>
                <c:pt idx="4">
                  <c:v>354.37127993244144</c:v>
                </c:pt>
                <c:pt idx="5">
                  <c:v>341.30837616422247</c:v>
                </c:pt>
                <c:pt idx="6">
                  <c:v>335.75300362113018</c:v>
                </c:pt>
                <c:pt idx="7">
                  <c:v>329.65294392142027</c:v>
                </c:pt>
              </c:numCache>
            </c:numRef>
          </c:yVal>
          <c:smooth val="0"/>
          <c:extLst>
            <c:ext xmlns:c16="http://schemas.microsoft.com/office/drawing/2014/chart" uri="{C3380CC4-5D6E-409C-BE32-E72D297353CC}">
              <c16:uniqueId val="{00000001-5326-42F8-9BC9-4154AC5FA2EE}"/>
            </c:ext>
          </c:extLst>
        </c:ser>
        <c:ser>
          <c:idx val="3"/>
          <c:order val="4"/>
          <c:tx>
            <c:strRef>
              <c:f>Feuil1!$B$9</c:f>
              <c:strCache>
                <c:ptCount val="1"/>
                <c:pt idx="0">
                  <c:v>AME 2018</c:v>
                </c:pt>
              </c:strCache>
            </c:strRef>
          </c:tx>
          <c:spPr>
            <a:ln w="19050" cap="rnd">
              <a:solidFill>
                <a:schemeClr val="accent3"/>
              </a:solidFill>
              <a:prstDash val="sysDash"/>
              <a:round/>
            </a:ln>
            <a:effectLst/>
          </c:spPr>
          <c:marker>
            <c:symbol val="none"/>
          </c:marker>
          <c:xVal>
            <c:numRef>
              <c:f>Feuil1!$C$5:$K$5</c:f>
              <c:numCache>
                <c:formatCode>General</c:formatCode>
                <c:ptCount val="9"/>
                <c:pt idx="0">
                  <c:v>2015</c:v>
                </c:pt>
                <c:pt idx="1">
                  <c:v>2019</c:v>
                </c:pt>
                <c:pt idx="2">
                  <c:v>2020</c:v>
                </c:pt>
                <c:pt idx="3">
                  <c:v>2025</c:v>
                </c:pt>
                <c:pt idx="4">
                  <c:v>2030</c:v>
                </c:pt>
                <c:pt idx="5">
                  <c:v>2035</c:v>
                </c:pt>
                <c:pt idx="6">
                  <c:v>2040</c:v>
                </c:pt>
                <c:pt idx="7">
                  <c:v>2045</c:v>
                </c:pt>
                <c:pt idx="8">
                  <c:v>2050</c:v>
                </c:pt>
              </c:numCache>
            </c:numRef>
          </c:xVal>
          <c:yVal>
            <c:numRef>
              <c:f>Feuil1!$C$9:$K$9</c:f>
              <c:numCache>
                <c:formatCode>0</c:formatCode>
                <c:ptCount val="9"/>
                <c:pt idx="0" formatCode="General">
                  <c:v>458.06</c:v>
                </c:pt>
                <c:pt idx="1">
                  <c:v>461.92667063409959</c:v>
                </c:pt>
                <c:pt idx="2">
                  <c:v>461.34423984830323</c:v>
                </c:pt>
                <c:pt idx="3">
                  <c:v>434.44156850991612</c:v>
                </c:pt>
                <c:pt idx="4">
                  <c:v>416.45147252204612</c:v>
                </c:pt>
                <c:pt idx="5">
                  <c:v>406.20611511207682</c:v>
                </c:pt>
                <c:pt idx="6">
                  <c:v>395.96075770210757</c:v>
                </c:pt>
                <c:pt idx="7">
                  <c:v>385.71540029213827</c:v>
                </c:pt>
                <c:pt idx="8">
                  <c:v>375.47004288216897</c:v>
                </c:pt>
              </c:numCache>
            </c:numRef>
          </c:yVal>
          <c:smooth val="0"/>
          <c:extLst>
            <c:ext xmlns:c16="http://schemas.microsoft.com/office/drawing/2014/chart" uri="{C3380CC4-5D6E-409C-BE32-E72D297353CC}">
              <c16:uniqueId val="{00000002-5326-42F8-9BC9-4154AC5FA2EE}"/>
            </c:ext>
          </c:extLst>
        </c:ser>
        <c:ser>
          <c:idx val="4"/>
          <c:order val="5"/>
          <c:tx>
            <c:strRef>
              <c:f>Feuil1!$B$10</c:f>
              <c:strCache>
                <c:ptCount val="1"/>
                <c:pt idx="0">
                  <c:v>AMS 2018</c:v>
                </c:pt>
              </c:strCache>
            </c:strRef>
          </c:tx>
          <c:spPr>
            <a:ln w="19050" cap="rnd">
              <a:solidFill>
                <a:schemeClr val="accent4"/>
              </a:solidFill>
              <a:round/>
            </a:ln>
            <a:effectLst/>
          </c:spPr>
          <c:marker>
            <c:symbol val="none"/>
          </c:marker>
          <c:xVal>
            <c:numRef>
              <c:f>Feuil1!$C$5:$K$5</c:f>
              <c:numCache>
                <c:formatCode>General</c:formatCode>
                <c:ptCount val="9"/>
                <c:pt idx="0">
                  <c:v>2015</c:v>
                </c:pt>
                <c:pt idx="1">
                  <c:v>2019</c:v>
                </c:pt>
                <c:pt idx="2">
                  <c:v>2020</c:v>
                </c:pt>
                <c:pt idx="3">
                  <c:v>2025</c:v>
                </c:pt>
                <c:pt idx="4">
                  <c:v>2030</c:v>
                </c:pt>
                <c:pt idx="5">
                  <c:v>2035</c:v>
                </c:pt>
                <c:pt idx="6">
                  <c:v>2040</c:v>
                </c:pt>
                <c:pt idx="7">
                  <c:v>2045</c:v>
                </c:pt>
                <c:pt idx="8">
                  <c:v>2050</c:v>
                </c:pt>
              </c:numCache>
            </c:numRef>
          </c:xVal>
          <c:yVal>
            <c:numRef>
              <c:f>Feuil1!$C$10:$K$10</c:f>
              <c:numCache>
                <c:formatCode>General</c:formatCode>
                <c:ptCount val="9"/>
                <c:pt idx="0">
                  <c:v>464</c:v>
                </c:pt>
                <c:pt idx="1">
                  <c:v>443.039446299845</c:v>
                </c:pt>
                <c:pt idx="2">
                  <c:v>436.41988941580001</c:v>
                </c:pt>
                <c:pt idx="3">
                  <c:v>370.32988626425703</c:v>
                </c:pt>
                <c:pt idx="4">
                  <c:v>310.13413489554699</c:v>
                </c:pt>
                <c:pt idx="5">
                  <c:v>248.77767375783901</c:v>
                </c:pt>
                <c:pt idx="6">
                  <c:v>187.42121262013001</c:v>
                </c:pt>
                <c:pt idx="7">
                  <c:v>126.064751482422</c:v>
                </c:pt>
                <c:pt idx="8">
                  <c:v>64.708290344713603</c:v>
                </c:pt>
              </c:numCache>
            </c:numRef>
          </c:yVal>
          <c:smooth val="0"/>
          <c:extLst>
            <c:ext xmlns:c16="http://schemas.microsoft.com/office/drawing/2014/chart" uri="{C3380CC4-5D6E-409C-BE32-E72D297353CC}">
              <c16:uniqueId val="{00000003-5326-42F8-9BC9-4154AC5FA2EE}"/>
            </c:ext>
          </c:extLst>
        </c:ser>
        <c:dLbls>
          <c:showLegendKey val="0"/>
          <c:showVal val="0"/>
          <c:showCatName val="0"/>
          <c:showSerName val="0"/>
          <c:showPercent val="0"/>
          <c:showBubbleSize val="0"/>
        </c:dLbls>
        <c:axId val="858766223"/>
        <c:axId val="858778703"/>
        <c:extLst>
          <c:ext xmlns:c15="http://schemas.microsoft.com/office/drawing/2012/chart" uri="{02D57815-91ED-43cb-92C2-25804820EDAC}">
            <c15:filteredScatterSeries>
              <c15:ser>
                <c:idx val="0"/>
                <c:order val="1"/>
                <c:tx>
                  <c:strRef>
                    <c:extLst>
                      <c:ext uri="{02D57815-91ED-43cb-92C2-25804820EDAC}">
                        <c15:formulaRef>
                          <c15:sqref>Feuil1!$B$6</c15:sqref>
                        </c15:formulaRef>
                      </c:ext>
                    </c:extLst>
                    <c:strCache>
                      <c:ptCount val="1"/>
                      <c:pt idx="0">
                        <c:v>AME 2023</c:v>
                      </c:pt>
                    </c:strCache>
                  </c:strRef>
                </c:tx>
                <c:spPr>
                  <a:ln w="19050" cap="rnd">
                    <a:solidFill>
                      <a:schemeClr val="accent1"/>
                    </a:solidFill>
                    <a:round/>
                  </a:ln>
                  <a:effectLst/>
                </c:spPr>
                <c:marker>
                  <c:symbol val="none"/>
                </c:marker>
                <c:xVal>
                  <c:numRef>
                    <c:extLst>
                      <c:ext uri="{02D57815-91ED-43cb-92C2-25804820EDAC}">
                        <c15:formulaRef>
                          <c15:sqref>Feuil1!$D$5:$K$5</c15:sqref>
                        </c15:formulaRef>
                      </c:ext>
                    </c:extLst>
                    <c:numCache>
                      <c:formatCode>General</c:formatCode>
                      <c:ptCount val="8"/>
                      <c:pt idx="0">
                        <c:v>2019</c:v>
                      </c:pt>
                      <c:pt idx="1">
                        <c:v>2020</c:v>
                      </c:pt>
                      <c:pt idx="2">
                        <c:v>2025</c:v>
                      </c:pt>
                      <c:pt idx="3">
                        <c:v>2030</c:v>
                      </c:pt>
                      <c:pt idx="4">
                        <c:v>2035</c:v>
                      </c:pt>
                      <c:pt idx="5">
                        <c:v>2040</c:v>
                      </c:pt>
                      <c:pt idx="6">
                        <c:v>2045</c:v>
                      </c:pt>
                      <c:pt idx="7">
                        <c:v>2050</c:v>
                      </c:pt>
                    </c:numCache>
                  </c:numRef>
                </c:xVal>
                <c:yVal>
                  <c:numRef>
                    <c:extLst>
                      <c:ext uri="{02D57815-91ED-43cb-92C2-25804820EDAC}">
                        <c15:formulaRef>
                          <c15:sqref>Feuil1!$D$6:$K$6</c15:sqref>
                        </c15:formulaRef>
                      </c:ext>
                    </c:extLst>
                    <c:numCache>
                      <c:formatCode>General</c:formatCode>
                      <c:ptCount val="8"/>
                      <c:pt idx="0">
                        <c:v>434.53977351930047</c:v>
                      </c:pt>
                      <c:pt idx="1">
                        <c:v>392.96256817549704</c:v>
                      </c:pt>
                      <c:pt idx="2">
                        <c:v>377.09788602996173</c:v>
                      </c:pt>
                      <c:pt idx="3">
                        <c:v>343.63385358868788</c:v>
                      </c:pt>
                      <c:pt idx="4">
                        <c:v>315.13747104973652</c:v>
                      </c:pt>
                      <c:pt idx="5">
                        <c:v>292.77935612400171</c:v>
                      </c:pt>
                      <c:pt idx="6">
                        <c:v>276.25805690686485</c:v>
                      </c:pt>
                      <c:pt idx="7">
                        <c:v>270.84150851693789</c:v>
                      </c:pt>
                    </c:numCache>
                  </c:numRef>
                </c:yVal>
                <c:smooth val="0"/>
                <c:extLst>
                  <c:ext xmlns:c16="http://schemas.microsoft.com/office/drawing/2014/chart" uri="{C3380CC4-5D6E-409C-BE32-E72D297353CC}">
                    <c16:uniqueId val="{00000004-5326-42F8-9BC9-4154AC5FA2EE}"/>
                  </c:ext>
                </c:extLst>
              </c15:ser>
            </c15:filteredScatterSeries>
            <c15:filteredScatterSeries>
              <c15:ser>
                <c:idx val="1"/>
                <c:order val="2"/>
                <c:tx>
                  <c:strRef>
                    <c:extLst xmlns:c15="http://schemas.microsoft.com/office/drawing/2012/chart">
                      <c:ext xmlns:c15="http://schemas.microsoft.com/office/drawing/2012/chart" uri="{02D57815-91ED-43cb-92C2-25804820EDAC}">
                        <c15:formulaRef>
                          <c15:sqref>Feuil1!$B$7</c15:sqref>
                        </c15:formulaRef>
                      </c:ext>
                    </c:extLst>
                    <c:strCache>
                      <c:ptCount val="1"/>
                      <c:pt idx="0">
                        <c:v>AMS 2023 run 1</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Feuil1!$D$5:$K$5</c15:sqref>
                        </c15:formulaRef>
                      </c:ext>
                    </c:extLst>
                    <c:numCache>
                      <c:formatCode>General</c:formatCode>
                      <c:ptCount val="8"/>
                      <c:pt idx="0">
                        <c:v>2019</c:v>
                      </c:pt>
                      <c:pt idx="1">
                        <c:v>2020</c:v>
                      </c:pt>
                      <c:pt idx="2">
                        <c:v>2025</c:v>
                      </c:pt>
                      <c:pt idx="3">
                        <c:v>2030</c:v>
                      </c:pt>
                      <c:pt idx="4">
                        <c:v>2035</c:v>
                      </c:pt>
                      <c:pt idx="5">
                        <c:v>2040</c:v>
                      </c:pt>
                      <c:pt idx="6">
                        <c:v>2045</c:v>
                      </c:pt>
                      <c:pt idx="7">
                        <c:v>2050</c:v>
                      </c:pt>
                    </c:numCache>
                  </c:numRef>
                </c:xVal>
                <c:yVal>
                  <c:numRef>
                    <c:extLst xmlns:c15="http://schemas.microsoft.com/office/drawing/2012/chart">
                      <c:ext xmlns:c15="http://schemas.microsoft.com/office/drawing/2012/chart" uri="{02D57815-91ED-43cb-92C2-25804820EDAC}">
                        <c15:formulaRef>
                          <c15:sqref>Feuil1!$D$7:$K$7</c15:sqref>
                        </c15:formulaRef>
                      </c:ext>
                    </c:extLst>
                    <c:numCache>
                      <c:formatCode>General</c:formatCode>
                      <c:ptCount val="8"/>
                      <c:pt idx="0">
                        <c:v>434.64710333829277</c:v>
                      </c:pt>
                      <c:pt idx="1">
                        <c:v>393</c:v>
                      </c:pt>
                      <c:pt idx="2">
                        <c:v>344.44911670728897</c:v>
                      </c:pt>
                      <c:pt idx="3">
                        <c:v>264.99272560385185</c:v>
                      </c:pt>
                      <c:pt idx="4">
                        <c:v>202.04721000805864</c:v>
                      </c:pt>
                      <c:pt idx="5">
                        <c:v>147.14954133525498</c:v>
                      </c:pt>
                      <c:pt idx="6">
                        <c:v>113.32881193066169</c:v>
                      </c:pt>
                      <c:pt idx="7">
                        <c:v>87.02033564931736</c:v>
                      </c:pt>
                    </c:numCache>
                  </c:numRef>
                </c:yVal>
                <c:smooth val="0"/>
                <c:extLst xmlns:c15="http://schemas.microsoft.com/office/drawing/2012/chart">
                  <c:ext xmlns:c16="http://schemas.microsoft.com/office/drawing/2014/chart" uri="{C3380CC4-5D6E-409C-BE32-E72D297353CC}">
                    <c16:uniqueId val="{00000005-5326-42F8-9BC9-4154AC5FA2EE}"/>
                  </c:ext>
                </c:extLst>
              </c15:ser>
            </c15:filteredScatterSeries>
          </c:ext>
        </c:extLst>
      </c:scatterChart>
      <c:valAx>
        <c:axId val="858766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778703"/>
        <c:crosses val="autoZero"/>
        <c:crossBetween val="midCat"/>
      </c:valAx>
      <c:valAx>
        <c:axId val="858778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rPr>
                  <a:t>MtCO2e</a:t>
                </a:r>
                <a:endParaRPr lang="fr-FR" sz="1000">
                  <a:effectLst/>
                </a:endParaRPr>
              </a:p>
            </c:rich>
          </c:tx>
          <c:layout>
            <c:manualLayout>
              <c:xMode val="edge"/>
              <c:yMode val="edge"/>
              <c:x val="1.9255455712451863E-2"/>
              <c:y val="0.421753986332574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76622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Emissions hors LULUCF, périmètre Kyoto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Feuil1!$A$12</c:f>
              <c:strCache>
                <c:ptCount val="1"/>
                <c:pt idx="0">
                  <c:v>Historique</c:v>
                </c:pt>
              </c:strCache>
            </c:strRef>
          </c:tx>
          <c:spPr>
            <a:ln w="19050" cap="rnd">
              <a:solidFill>
                <a:schemeClr val="accent1"/>
              </a:solidFill>
              <a:round/>
            </a:ln>
            <a:effectLst/>
          </c:spPr>
          <c:marker>
            <c:symbol val="none"/>
          </c:marker>
          <c:xVal>
            <c:numRef>
              <c:f>Feuil1!$B$11:$AL$11</c:f>
              <c:numCache>
                <c:formatCode>General</c:formatCode>
                <c:ptCount val="3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2025</c:v>
                </c:pt>
                <c:pt idx="32">
                  <c:v>2030</c:v>
                </c:pt>
                <c:pt idx="33">
                  <c:v>2035</c:v>
                </c:pt>
                <c:pt idx="34">
                  <c:v>2040</c:v>
                </c:pt>
                <c:pt idx="35">
                  <c:v>2045</c:v>
                </c:pt>
                <c:pt idx="36">
                  <c:v>2050</c:v>
                </c:pt>
              </c:numCache>
            </c:numRef>
          </c:xVal>
          <c:yVal>
            <c:numRef>
              <c:f>Feuil1!$B$12:$AL$12</c:f>
              <c:numCache>
                <c:formatCode>General</c:formatCode>
                <c:ptCount val="37"/>
                <c:pt idx="0">
                  <c:v>522.1</c:v>
                </c:pt>
                <c:pt idx="1">
                  <c:v>548</c:v>
                </c:pt>
                <c:pt idx="2">
                  <c:v>539.6</c:v>
                </c:pt>
                <c:pt idx="3">
                  <c:v>515.79999999999995</c:v>
                </c:pt>
                <c:pt idx="4">
                  <c:v>510.4</c:v>
                </c:pt>
                <c:pt idx="5">
                  <c:v>513.79999999999995</c:v>
                </c:pt>
                <c:pt idx="6">
                  <c:v>525.79999999999995</c:v>
                </c:pt>
                <c:pt idx="7">
                  <c:v>518.29999999999995</c:v>
                </c:pt>
                <c:pt idx="8">
                  <c:v>529.70000000000005</c:v>
                </c:pt>
                <c:pt idx="9">
                  <c:v>520.29999999999995</c:v>
                </c:pt>
                <c:pt idx="10">
                  <c:v>531</c:v>
                </c:pt>
                <c:pt idx="11">
                  <c:v>524.29999999999995</c:v>
                </c:pt>
                <c:pt idx="12">
                  <c:v>509.2</c:v>
                </c:pt>
                <c:pt idx="13">
                  <c:v>510.7</c:v>
                </c:pt>
                <c:pt idx="14">
                  <c:v>506.4</c:v>
                </c:pt>
                <c:pt idx="15">
                  <c:v>506.5</c:v>
                </c:pt>
                <c:pt idx="16">
                  <c:v>494.4</c:v>
                </c:pt>
                <c:pt idx="17">
                  <c:v>485.1</c:v>
                </c:pt>
                <c:pt idx="18">
                  <c:v>478.1</c:v>
                </c:pt>
                <c:pt idx="19">
                  <c:v>466.5</c:v>
                </c:pt>
                <c:pt idx="20">
                  <c:v>472.3</c:v>
                </c:pt>
                <c:pt idx="21">
                  <c:v>447.8</c:v>
                </c:pt>
                <c:pt idx="22">
                  <c:v>447</c:v>
                </c:pt>
                <c:pt idx="23">
                  <c:v>444.7</c:v>
                </c:pt>
                <c:pt idx="24">
                  <c:v>419.7</c:v>
                </c:pt>
                <c:pt idx="25">
                  <c:v>426.5</c:v>
                </c:pt>
                <c:pt idx="26">
                  <c:v>426.2</c:v>
                </c:pt>
                <c:pt idx="27">
                  <c:v>431.3</c:v>
                </c:pt>
                <c:pt idx="28">
                  <c:v>413.9</c:v>
                </c:pt>
                <c:pt idx="29">
                  <c:v>405.3</c:v>
                </c:pt>
                <c:pt idx="30">
                  <c:v>364.9</c:v>
                </c:pt>
              </c:numCache>
            </c:numRef>
          </c:yVal>
          <c:smooth val="1"/>
          <c:extLst>
            <c:ext xmlns:c16="http://schemas.microsoft.com/office/drawing/2014/chart" uri="{C3380CC4-5D6E-409C-BE32-E72D297353CC}">
              <c16:uniqueId val="{00000000-2FB3-45DD-8F6D-3393790853EE}"/>
            </c:ext>
          </c:extLst>
        </c:ser>
        <c:ser>
          <c:idx val="1"/>
          <c:order val="1"/>
          <c:tx>
            <c:strRef>
              <c:f>Feuil1!$A$13</c:f>
              <c:strCache>
                <c:ptCount val="1"/>
                <c:pt idx="0">
                  <c:v>AME 2021</c:v>
                </c:pt>
              </c:strCache>
            </c:strRef>
          </c:tx>
          <c:spPr>
            <a:ln w="19050" cap="rnd">
              <a:solidFill>
                <a:schemeClr val="accent2"/>
              </a:solidFill>
              <a:round/>
            </a:ln>
            <a:effectLst/>
          </c:spPr>
          <c:marker>
            <c:symbol val="none"/>
          </c:marker>
          <c:xVal>
            <c:numRef>
              <c:f>Feuil1!$B$11:$AL$11</c:f>
              <c:numCache>
                <c:formatCode>General</c:formatCode>
                <c:ptCount val="3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2025</c:v>
                </c:pt>
                <c:pt idx="32">
                  <c:v>2030</c:v>
                </c:pt>
                <c:pt idx="33">
                  <c:v>2035</c:v>
                </c:pt>
                <c:pt idx="34">
                  <c:v>2040</c:v>
                </c:pt>
                <c:pt idx="35">
                  <c:v>2045</c:v>
                </c:pt>
                <c:pt idx="36">
                  <c:v>2050</c:v>
                </c:pt>
              </c:numCache>
            </c:numRef>
          </c:xVal>
          <c:yVal>
            <c:numRef>
              <c:f>Feuil1!$B$13:$AL$13</c:f>
              <c:numCache>
                <c:formatCode>General</c:formatCode>
                <c:ptCount val="37"/>
                <c:pt idx="25">
                  <c:v>426.50043226744629</c:v>
                </c:pt>
                <c:pt idx="26">
                  <c:v>426.2</c:v>
                </c:pt>
                <c:pt idx="27">
                  <c:v>431.3</c:v>
                </c:pt>
                <c:pt idx="28">
                  <c:v>413.85654830380076</c:v>
                </c:pt>
                <c:pt idx="29">
                  <c:v>405.26011353185726</c:v>
                </c:pt>
                <c:pt idx="30">
                  <c:v>365.83810838823354</c:v>
                </c:pt>
                <c:pt idx="31">
                  <c:v>363.3494446901102</c:v>
                </c:pt>
                <c:pt idx="32">
                  <c:v>340.61787712910399</c:v>
                </c:pt>
                <c:pt idx="33">
                  <c:v>332.88583206956412</c:v>
                </c:pt>
                <c:pt idx="34">
                  <c:v>321.96914458128549</c:v>
                </c:pt>
                <c:pt idx="35">
                  <c:v>319.68309215016956</c:v>
                </c:pt>
                <c:pt idx="36">
                  <c:v>317.02609314185935</c:v>
                </c:pt>
              </c:numCache>
            </c:numRef>
          </c:yVal>
          <c:smooth val="1"/>
          <c:extLst>
            <c:ext xmlns:c16="http://schemas.microsoft.com/office/drawing/2014/chart" uri="{C3380CC4-5D6E-409C-BE32-E72D297353CC}">
              <c16:uniqueId val="{00000001-2FB3-45DD-8F6D-3393790853EE}"/>
            </c:ext>
          </c:extLst>
        </c:ser>
        <c:ser>
          <c:idx val="3"/>
          <c:order val="2"/>
          <c:tx>
            <c:strRef>
              <c:f>Feuil1!$A$15</c:f>
              <c:strCache>
                <c:ptCount val="1"/>
                <c:pt idx="0">
                  <c:v>AMS 2018</c:v>
                </c:pt>
              </c:strCache>
            </c:strRef>
          </c:tx>
          <c:spPr>
            <a:ln w="19050" cap="rnd">
              <a:solidFill>
                <a:schemeClr val="accent4"/>
              </a:solidFill>
              <a:round/>
            </a:ln>
            <a:effectLst/>
          </c:spPr>
          <c:marker>
            <c:symbol val="none"/>
          </c:marker>
          <c:xVal>
            <c:numRef>
              <c:f>Feuil1!$B$11:$AL$11</c:f>
              <c:numCache>
                <c:formatCode>General</c:formatCode>
                <c:ptCount val="3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2025</c:v>
                </c:pt>
                <c:pt idx="32">
                  <c:v>2030</c:v>
                </c:pt>
                <c:pt idx="33">
                  <c:v>2035</c:v>
                </c:pt>
                <c:pt idx="34">
                  <c:v>2040</c:v>
                </c:pt>
                <c:pt idx="35">
                  <c:v>2045</c:v>
                </c:pt>
                <c:pt idx="36">
                  <c:v>2050</c:v>
                </c:pt>
              </c:numCache>
            </c:numRef>
          </c:xVal>
          <c:yVal>
            <c:numRef>
              <c:f>Feuil1!$B$15:$AL$15</c:f>
              <c:numCache>
                <c:formatCode>General</c:formatCode>
                <c:ptCount val="37"/>
                <c:pt idx="25">
                  <c:v>423</c:v>
                </c:pt>
                <c:pt idx="26">
                  <c:v>420</c:v>
                </c:pt>
                <c:pt idx="27">
                  <c:v>416</c:v>
                </c:pt>
                <c:pt idx="28">
                  <c:v>410</c:v>
                </c:pt>
                <c:pt idx="29">
                  <c:v>404</c:v>
                </c:pt>
                <c:pt idx="30">
                  <c:v>397</c:v>
                </c:pt>
                <c:pt idx="31">
                  <c:v>332.65882083722499</c:v>
                </c:pt>
                <c:pt idx="32">
                  <c:v>269.97418729286602</c:v>
                </c:pt>
                <c:pt idx="33">
                  <c:v>201.870785391467</c:v>
                </c:pt>
                <c:pt idx="34">
                  <c:v>133.767383490068</c:v>
                </c:pt>
                <c:pt idx="35">
                  <c:v>65.663981588668904</c:v>
                </c:pt>
                <c:pt idx="36">
                  <c:v>-2.43942031273011</c:v>
                </c:pt>
              </c:numCache>
            </c:numRef>
          </c:yVal>
          <c:smooth val="1"/>
          <c:extLst>
            <c:ext xmlns:c16="http://schemas.microsoft.com/office/drawing/2014/chart" uri="{C3380CC4-5D6E-409C-BE32-E72D297353CC}">
              <c16:uniqueId val="{00000002-2FB3-45DD-8F6D-3393790853EE}"/>
            </c:ext>
          </c:extLst>
        </c:ser>
        <c:ser>
          <c:idx val="2"/>
          <c:order val="3"/>
          <c:tx>
            <c:strRef>
              <c:f>Feuil1!$A$16</c:f>
              <c:strCache>
                <c:ptCount val="1"/>
                <c:pt idx="0">
                  <c:v>AME 2018</c:v>
                </c:pt>
              </c:strCache>
            </c:strRef>
          </c:tx>
          <c:spPr>
            <a:ln w="19050" cap="rnd">
              <a:solidFill>
                <a:schemeClr val="accent3"/>
              </a:solidFill>
              <a:prstDash val="sysDash"/>
              <a:round/>
            </a:ln>
            <a:effectLst/>
          </c:spPr>
          <c:marker>
            <c:symbol val="none"/>
          </c:marker>
          <c:xVal>
            <c:numRef>
              <c:f>Feuil1!$AA$11:$AL$11</c:f>
              <c:numCache>
                <c:formatCode>General</c:formatCode>
                <c:ptCount val="12"/>
                <c:pt idx="0">
                  <c:v>2015</c:v>
                </c:pt>
                <c:pt idx="1">
                  <c:v>2016</c:v>
                </c:pt>
                <c:pt idx="2">
                  <c:v>2017</c:v>
                </c:pt>
                <c:pt idx="3">
                  <c:v>2018</c:v>
                </c:pt>
                <c:pt idx="4">
                  <c:v>2019</c:v>
                </c:pt>
                <c:pt idx="5">
                  <c:v>2020</c:v>
                </c:pt>
                <c:pt idx="6">
                  <c:v>2025</c:v>
                </c:pt>
                <c:pt idx="7">
                  <c:v>2030</c:v>
                </c:pt>
                <c:pt idx="8">
                  <c:v>2035</c:v>
                </c:pt>
                <c:pt idx="9">
                  <c:v>2040</c:v>
                </c:pt>
                <c:pt idx="10">
                  <c:v>2045</c:v>
                </c:pt>
                <c:pt idx="11">
                  <c:v>2050</c:v>
                </c:pt>
              </c:numCache>
            </c:numRef>
          </c:xVal>
          <c:yVal>
            <c:numRef>
              <c:f>Feuil1!$AA$16:$AL$16</c:f>
              <c:numCache>
                <c:formatCode>General</c:formatCode>
                <c:ptCount val="12"/>
                <c:pt idx="0">
                  <c:v>417.23</c:v>
                </c:pt>
                <c:pt idx="1">
                  <c:v>421.59</c:v>
                </c:pt>
                <c:pt idx="2">
                  <c:v>421.90249999999997</c:v>
                </c:pt>
                <c:pt idx="3">
                  <c:v>422.21499999999997</c:v>
                </c:pt>
                <c:pt idx="4">
                  <c:v>422.52749999999997</c:v>
                </c:pt>
                <c:pt idx="5">
                  <c:v>422.84</c:v>
                </c:pt>
                <c:pt idx="6">
                  <c:v>402.84</c:v>
                </c:pt>
                <c:pt idx="7">
                  <c:v>387.41</c:v>
                </c:pt>
                <c:pt idx="8">
                  <c:v>381.02</c:v>
                </c:pt>
                <c:pt idx="9">
                  <c:v>374.63</c:v>
                </c:pt>
                <c:pt idx="10">
                  <c:v>368.24</c:v>
                </c:pt>
                <c:pt idx="11">
                  <c:v>361.85</c:v>
                </c:pt>
              </c:numCache>
            </c:numRef>
          </c:yVal>
          <c:smooth val="1"/>
          <c:extLst>
            <c:ext xmlns:c16="http://schemas.microsoft.com/office/drawing/2014/chart" uri="{C3380CC4-5D6E-409C-BE32-E72D297353CC}">
              <c16:uniqueId val="{00000003-2FB3-45DD-8F6D-3393790853EE}"/>
            </c:ext>
          </c:extLst>
        </c:ser>
        <c:dLbls>
          <c:showLegendKey val="0"/>
          <c:showVal val="0"/>
          <c:showCatName val="0"/>
          <c:showSerName val="0"/>
          <c:showPercent val="0"/>
          <c:showBubbleSize val="0"/>
        </c:dLbls>
        <c:axId val="2087189263"/>
        <c:axId val="2087190511"/>
      </c:scatterChart>
      <c:valAx>
        <c:axId val="20871892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190511"/>
        <c:crosses val="autoZero"/>
        <c:crossBetween val="midCat"/>
      </c:valAx>
      <c:valAx>
        <c:axId val="2087190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1892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 21 par</a:t>
            </a:r>
            <a:r>
              <a:rPr lang="fr-FR" baseline="0"/>
              <a:t> secteurs</a:t>
            </a:r>
            <a:endParaRPr lang="fr-FR"/>
          </a:p>
        </c:rich>
      </c:tx>
      <c:overlay val="0"/>
      <c:spPr>
        <a:noFill/>
        <a:ln>
          <a:noFill/>
        </a:ln>
        <a:effectLst/>
      </c:spPr>
    </c:title>
    <c:autoTitleDeleted val="0"/>
    <c:plotArea>
      <c:layout/>
      <c:scatterChart>
        <c:scatterStyle val="smoothMarker"/>
        <c:varyColors val="0"/>
        <c:ser>
          <c:idx val="20"/>
          <c:order val="0"/>
          <c:tx>
            <c:strRef>
              <c:f>Feuil7!$B$5</c:f>
              <c:strCache>
                <c:ptCount val="1"/>
                <c:pt idx="0">
                  <c:v>Energy </c:v>
                </c:pt>
              </c:strCache>
            </c:strRef>
          </c:tx>
          <c:spPr>
            <a:ln>
              <a:solidFill>
                <a:schemeClr val="accent1"/>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Feuil7!$C$5:$I$5</c:f>
              <c:numCache>
                <c:formatCode>General</c:formatCode>
                <c:ptCount val="7"/>
                <c:pt idx="0">
                  <c:v>367272</c:v>
                </c:pt>
                <c:pt idx="1">
                  <c:v>366079</c:v>
                </c:pt>
                <c:pt idx="2">
                  <c:v>381989</c:v>
                </c:pt>
                <c:pt idx="3">
                  <c:v>390391</c:v>
                </c:pt>
                <c:pt idx="4">
                  <c:v>357711</c:v>
                </c:pt>
                <c:pt idx="5">
                  <c:v>313634</c:v>
                </c:pt>
                <c:pt idx="6">
                  <c:v>297313</c:v>
                </c:pt>
              </c:numCache>
            </c:numRef>
          </c:yVal>
          <c:smooth val="1"/>
          <c:extLst>
            <c:ext xmlns:c16="http://schemas.microsoft.com/office/drawing/2014/chart" uri="{C3380CC4-5D6E-409C-BE32-E72D297353CC}">
              <c16:uniqueId val="{00000000-F498-418D-8933-5B363BA49828}"/>
            </c:ext>
          </c:extLst>
        </c:ser>
        <c:ser>
          <c:idx val="21"/>
          <c:order val="1"/>
          <c:tx>
            <c:strRef>
              <c:f>Feuil7!$B$6</c:f>
              <c:strCache>
                <c:ptCount val="1"/>
                <c:pt idx="0">
                  <c:v>Energy (projections)</c:v>
                </c:pt>
              </c:strCache>
            </c:strRef>
          </c:tx>
          <c:spPr>
            <a:ln>
              <a:solidFill>
                <a:schemeClr val="accent1"/>
              </a:solidFill>
              <a:prstDash val="sysDash"/>
            </a:ln>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Feuil7!$I$6:$N$6</c:f>
              <c:numCache>
                <c:formatCode>General</c:formatCode>
                <c:ptCount val="6"/>
                <c:pt idx="0">
                  <c:v>297313</c:v>
                </c:pt>
                <c:pt idx="1">
                  <c:v>264395</c:v>
                </c:pt>
                <c:pt idx="2">
                  <c:v>261598</c:v>
                </c:pt>
                <c:pt idx="3">
                  <c:v>240639</c:v>
                </c:pt>
                <c:pt idx="4">
                  <c:v>231245</c:v>
                </c:pt>
                <c:pt idx="5">
                  <c:v>211199</c:v>
                </c:pt>
              </c:numCache>
            </c:numRef>
          </c:yVal>
          <c:smooth val="1"/>
          <c:extLst>
            <c:ext xmlns:c16="http://schemas.microsoft.com/office/drawing/2014/chart" uri="{C3380CC4-5D6E-409C-BE32-E72D297353CC}">
              <c16:uniqueId val="{00000001-F498-418D-8933-5B363BA49828}"/>
            </c:ext>
          </c:extLst>
        </c:ser>
        <c:ser>
          <c:idx val="22"/>
          <c:order val="2"/>
          <c:tx>
            <c:strRef>
              <c:f>Feuil7!$B$7</c:f>
              <c:strCache>
                <c:ptCount val="1"/>
                <c:pt idx="0">
                  <c:v>IPPU</c:v>
                </c:pt>
              </c:strCache>
            </c:strRef>
          </c:tx>
          <c:spPr>
            <a:ln>
              <a:solidFill>
                <a:schemeClr val="accent2"/>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Feuil7!$C$7:$I$7</c:f>
              <c:numCache>
                <c:formatCode>General</c:formatCode>
                <c:ptCount val="7"/>
                <c:pt idx="0">
                  <c:v>78729</c:v>
                </c:pt>
                <c:pt idx="1">
                  <c:v>71997</c:v>
                </c:pt>
                <c:pt idx="2">
                  <c:v>64668</c:v>
                </c:pt>
                <c:pt idx="3">
                  <c:v>63620</c:v>
                </c:pt>
                <c:pt idx="4">
                  <c:v>53798</c:v>
                </c:pt>
                <c:pt idx="5">
                  <c:v>50664</c:v>
                </c:pt>
                <c:pt idx="6">
                  <c:v>46564</c:v>
                </c:pt>
              </c:numCache>
            </c:numRef>
          </c:yVal>
          <c:smooth val="1"/>
          <c:extLst>
            <c:ext xmlns:c16="http://schemas.microsoft.com/office/drawing/2014/chart" uri="{C3380CC4-5D6E-409C-BE32-E72D297353CC}">
              <c16:uniqueId val="{00000002-F498-418D-8933-5B363BA49828}"/>
            </c:ext>
          </c:extLst>
        </c:ser>
        <c:ser>
          <c:idx val="0"/>
          <c:order val="3"/>
          <c:tx>
            <c:strRef>
              <c:f>Feuil7!$B$8</c:f>
              <c:strCache>
                <c:ptCount val="1"/>
                <c:pt idx="0">
                  <c:v>IPPU (projections)</c:v>
                </c:pt>
              </c:strCache>
            </c:strRef>
          </c:tx>
          <c:spPr>
            <a:ln>
              <a:solidFill>
                <a:schemeClr val="accent2"/>
              </a:solidFill>
              <a:prstDash val="sysDash"/>
            </a:ln>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Feuil7!$I$8:$N$8</c:f>
              <c:numCache>
                <c:formatCode>General</c:formatCode>
                <c:ptCount val="6"/>
                <c:pt idx="0">
                  <c:v>46564</c:v>
                </c:pt>
                <c:pt idx="1">
                  <c:v>43717</c:v>
                </c:pt>
                <c:pt idx="2">
                  <c:v>41701</c:v>
                </c:pt>
                <c:pt idx="3">
                  <c:v>39058</c:v>
                </c:pt>
                <c:pt idx="4">
                  <c:v>36794</c:v>
                </c:pt>
                <c:pt idx="5">
                  <c:v>33455</c:v>
                </c:pt>
              </c:numCache>
            </c:numRef>
          </c:yVal>
          <c:smooth val="1"/>
          <c:extLst>
            <c:ext xmlns:c16="http://schemas.microsoft.com/office/drawing/2014/chart" uri="{C3380CC4-5D6E-409C-BE32-E72D297353CC}">
              <c16:uniqueId val="{00000003-F498-418D-8933-5B363BA49828}"/>
            </c:ext>
          </c:extLst>
        </c:ser>
        <c:ser>
          <c:idx val="23"/>
          <c:order val="4"/>
          <c:tx>
            <c:strRef>
              <c:f>Feuil7!$B$9</c:f>
              <c:strCache>
                <c:ptCount val="1"/>
                <c:pt idx="0">
                  <c:v>Agriculture (excluding energy) </c:v>
                </c:pt>
              </c:strCache>
            </c:strRef>
          </c:tx>
          <c:spPr>
            <a:ln>
              <a:solidFill>
                <a:schemeClr val="accent3"/>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Feuil7!$C$9:$I$9</c:f>
              <c:numCache>
                <c:formatCode>General</c:formatCode>
                <c:ptCount val="7"/>
                <c:pt idx="0">
                  <c:v>80803</c:v>
                </c:pt>
                <c:pt idx="1">
                  <c:v>78281</c:v>
                </c:pt>
                <c:pt idx="2">
                  <c:v>81292</c:v>
                </c:pt>
                <c:pt idx="3">
                  <c:v>76018</c:v>
                </c:pt>
                <c:pt idx="4">
                  <c:v>75203</c:v>
                </c:pt>
                <c:pt idx="5">
                  <c:v>75720</c:v>
                </c:pt>
                <c:pt idx="6">
                  <c:v>72498</c:v>
                </c:pt>
              </c:numCache>
            </c:numRef>
          </c:yVal>
          <c:smooth val="1"/>
          <c:extLst>
            <c:ext xmlns:c16="http://schemas.microsoft.com/office/drawing/2014/chart" uri="{C3380CC4-5D6E-409C-BE32-E72D297353CC}">
              <c16:uniqueId val="{00000004-F498-418D-8933-5B363BA49828}"/>
            </c:ext>
          </c:extLst>
        </c:ser>
        <c:ser>
          <c:idx val="1"/>
          <c:order val="5"/>
          <c:tx>
            <c:strRef>
              <c:f>Feuil7!$B$10</c:f>
              <c:strCache>
                <c:ptCount val="1"/>
                <c:pt idx="0">
                  <c:v>Agriculture (projections)</c:v>
                </c:pt>
              </c:strCache>
            </c:strRef>
          </c:tx>
          <c:spPr>
            <a:ln w="19050" cap="rnd">
              <a:solidFill>
                <a:schemeClr val="accent3"/>
              </a:solidFill>
              <a:prstDash val="sysDash"/>
              <a:round/>
            </a:ln>
            <a:effectLst/>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Feuil7!$I$10:$N$10</c:f>
              <c:numCache>
                <c:formatCode>General</c:formatCode>
                <c:ptCount val="6"/>
                <c:pt idx="0">
                  <c:v>72498</c:v>
                </c:pt>
                <c:pt idx="1">
                  <c:v>73050</c:v>
                </c:pt>
                <c:pt idx="2">
                  <c:v>72080</c:v>
                </c:pt>
                <c:pt idx="3">
                  <c:v>71043</c:v>
                </c:pt>
                <c:pt idx="4">
                  <c:v>70093</c:v>
                </c:pt>
                <c:pt idx="5">
                  <c:v>68253</c:v>
                </c:pt>
              </c:numCache>
            </c:numRef>
          </c:yVal>
          <c:smooth val="1"/>
          <c:extLst>
            <c:ext xmlns:c16="http://schemas.microsoft.com/office/drawing/2014/chart" uri="{C3380CC4-5D6E-409C-BE32-E72D297353CC}">
              <c16:uniqueId val="{00000005-F498-418D-8933-5B363BA49828}"/>
            </c:ext>
          </c:extLst>
        </c:ser>
        <c:ser>
          <c:idx val="24"/>
          <c:order val="6"/>
          <c:tx>
            <c:strRef>
              <c:f>Feuil7!$B$11</c:f>
              <c:strCache>
                <c:ptCount val="1"/>
                <c:pt idx="0">
                  <c:v>LULUCF </c:v>
                </c:pt>
              </c:strCache>
            </c:strRef>
          </c:tx>
          <c:spPr>
            <a:ln>
              <a:solidFill>
                <a:schemeClr val="accent4"/>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Feuil7!$C$11:$I$11</c:f>
              <c:numCache>
                <c:formatCode>General</c:formatCode>
                <c:ptCount val="7"/>
                <c:pt idx="0">
                  <c:v>-23986</c:v>
                </c:pt>
                <c:pt idx="1">
                  <c:v>-24879</c:v>
                </c:pt>
                <c:pt idx="2">
                  <c:v>-19709</c:v>
                </c:pt>
                <c:pt idx="3">
                  <c:v>-47311</c:v>
                </c:pt>
                <c:pt idx="4">
                  <c:v>-38355</c:v>
                </c:pt>
                <c:pt idx="5">
                  <c:v>-34577</c:v>
                </c:pt>
                <c:pt idx="6">
                  <c:v>-12288</c:v>
                </c:pt>
              </c:numCache>
            </c:numRef>
          </c:yVal>
          <c:smooth val="1"/>
          <c:extLst>
            <c:ext xmlns:c16="http://schemas.microsoft.com/office/drawing/2014/chart" uri="{C3380CC4-5D6E-409C-BE32-E72D297353CC}">
              <c16:uniqueId val="{00000006-F498-418D-8933-5B363BA49828}"/>
            </c:ext>
          </c:extLst>
        </c:ser>
        <c:ser>
          <c:idx val="2"/>
          <c:order val="7"/>
          <c:tx>
            <c:strRef>
              <c:f>Feuil7!$B$12</c:f>
              <c:strCache>
                <c:ptCount val="1"/>
                <c:pt idx="0">
                  <c:v>LULUCF (projections)</c:v>
                </c:pt>
              </c:strCache>
            </c:strRef>
          </c:tx>
          <c:spPr>
            <a:ln>
              <a:solidFill>
                <a:schemeClr val="accent4"/>
              </a:solidFill>
              <a:prstDash val="sysDash"/>
            </a:ln>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Feuil7!$I$12:$N$12</c:f>
              <c:numCache>
                <c:formatCode>General</c:formatCode>
                <c:ptCount val="6"/>
                <c:pt idx="0">
                  <c:v>-12288</c:v>
                </c:pt>
                <c:pt idx="1">
                  <c:v>-32838</c:v>
                </c:pt>
                <c:pt idx="2">
                  <c:v>-28746</c:v>
                </c:pt>
                <c:pt idx="3">
                  <c:v>-26431</c:v>
                </c:pt>
                <c:pt idx="4">
                  <c:v>-21560</c:v>
                </c:pt>
                <c:pt idx="5">
                  <c:v>-12627</c:v>
                </c:pt>
              </c:numCache>
            </c:numRef>
          </c:yVal>
          <c:smooth val="1"/>
          <c:extLst>
            <c:ext xmlns:c16="http://schemas.microsoft.com/office/drawing/2014/chart" uri="{C3380CC4-5D6E-409C-BE32-E72D297353CC}">
              <c16:uniqueId val="{00000007-F498-418D-8933-5B363BA49828}"/>
            </c:ext>
          </c:extLst>
        </c:ser>
        <c:dLbls>
          <c:showLegendKey val="0"/>
          <c:showVal val="0"/>
          <c:showCatName val="0"/>
          <c:showSerName val="0"/>
          <c:showPercent val="0"/>
          <c:showBubbleSize val="0"/>
        </c:dLbls>
        <c:axId val="1424416096"/>
        <c:axId val="1424419424"/>
      </c:scatterChart>
      <c:valAx>
        <c:axId val="1424416096"/>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9424"/>
        <c:crosses val="autoZero"/>
        <c:crossBetween val="midCat"/>
      </c:valAx>
      <c:valAx>
        <c:axId val="142441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1000" b="0" i="0" u="none" strike="noStrike" baseline="0">
                    <a:effectLst/>
                  </a:rPr>
                  <a:t>ktCO</a:t>
                </a:r>
                <a:r>
                  <a:rPr lang="en-GB" sz="1000" b="0" i="0" u="none" strike="noStrike" baseline="-25000">
                    <a:effectLst/>
                  </a:rPr>
                  <a:t>2e</a:t>
                </a:r>
                <a:endParaRPr lang="fr-F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609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a:t>
            </a:r>
            <a:r>
              <a:rPr lang="fr-FR" baseline="0"/>
              <a:t> 18 par secteurs</a:t>
            </a:r>
            <a:endParaRPr lang="fr-FR"/>
          </a:p>
        </c:rich>
      </c:tx>
      <c:overlay val="0"/>
      <c:spPr>
        <a:noFill/>
        <a:ln>
          <a:noFill/>
        </a:ln>
        <a:effectLst/>
      </c:spPr>
    </c:title>
    <c:autoTitleDeleted val="0"/>
    <c:plotArea>
      <c:layout/>
      <c:scatterChart>
        <c:scatterStyle val="smoothMarker"/>
        <c:varyColors val="0"/>
        <c:ser>
          <c:idx val="20"/>
          <c:order val="0"/>
          <c:tx>
            <c:strRef>
              <c:f>'Feuil7 (2)'!$B$5</c:f>
              <c:strCache>
                <c:ptCount val="1"/>
                <c:pt idx="0">
                  <c:v>Energy </c:v>
                </c:pt>
              </c:strCache>
            </c:strRef>
          </c:tx>
          <c:spPr>
            <a:ln>
              <a:solidFill>
                <a:schemeClr val="accent1"/>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(2)'!$C$5:$I$5</c:f>
              <c:numCache>
                <c:formatCode>General</c:formatCode>
                <c:ptCount val="7"/>
                <c:pt idx="0">
                  <c:v>367272</c:v>
                </c:pt>
                <c:pt idx="1">
                  <c:v>366079</c:v>
                </c:pt>
                <c:pt idx="2">
                  <c:v>381989</c:v>
                </c:pt>
                <c:pt idx="3">
                  <c:v>390391</c:v>
                </c:pt>
                <c:pt idx="4">
                  <c:v>357711</c:v>
                </c:pt>
                <c:pt idx="5">
                  <c:v>313634</c:v>
                </c:pt>
                <c:pt idx="6">
                  <c:v>297313</c:v>
                </c:pt>
              </c:numCache>
            </c:numRef>
          </c:yVal>
          <c:smooth val="1"/>
          <c:extLst>
            <c:ext xmlns:c16="http://schemas.microsoft.com/office/drawing/2014/chart" uri="{C3380CC4-5D6E-409C-BE32-E72D297353CC}">
              <c16:uniqueId val="{00000000-13C5-4E17-AE39-20E09414D339}"/>
            </c:ext>
          </c:extLst>
        </c:ser>
        <c:ser>
          <c:idx val="21"/>
          <c:order val="1"/>
          <c:tx>
            <c:strRef>
              <c:f>'Feuil7 (2)'!$B$6</c:f>
              <c:strCache>
                <c:ptCount val="1"/>
                <c:pt idx="0">
                  <c:v>Energy (projections)</c:v>
                </c:pt>
              </c:strCache>
            </c:strRef>
          </c:tx>
          <c:spPr>
            <a:ln>
              <a:solidFill>
                <a:schemeClr val="accent1"/>
              </a:solidFill>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(2)'!$I$6:$N$6</c:f>
              <c:numCache>
                <c:formatCode>General</c:formatCode>
                <c:ptCount val="6"/>
                <c:pt idx="0">
                  <c:v>297313</c:v>
                </c:pt>
                <c:pt idx="1">
                  <c:v>305017</c:v>
                </c:pt>
                <c:pt idx="2">
                  <c:v>253350</c:v>
                </c:pt>
                <c:pt idx="3">
                  <c:v>203515</c:v>
                </c:pt>
                <c:pt idx="4">
                  <c:v>151385</c:v>
                </c:pt>
                <c:pt idx="5">
                  <c:v>-5007</c:v>
                </c:pt>
              </c:numCache>
            </c:numRef>
          </c:yVal>
          <c:smooth val="1"/>
          <c:extLst>
            <c:ext xmlns:c16="http://schemas.microsoft.com/office/drawing/2014/chart" uri="{C3380CC4-5D6E-409C-BE32-E72D297353CC}">
              <c16:uniqueId val="{00000001-13C5-4E17-AE39-20E09414D339}"/>
            </c:ext>
          </c:extLst>
        </c:ser>
        <c:ser>
          <c:idx val="22"/>
          <c:order val="2"/>
          <c:tx>
            <c:strRef>
              <c:f>'Feuil7 (2)'!$B$7</c:f>
              <c:strCache>
                <c:ptCount val="1"/>
                <c:pt idx="0">
                  <c:v>IPPU</c:v>
                </c:pt>
              </c:strCache>
            </c:strRef>
          </c:tx>
          <c:spPr>
            <a:ln>
              <a:solidFill>
                <a:schemeClr val="accent2"/>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(2)'!$C$7:$I$7</c:f>
              <c:numCache>
                <c:formatCode>General</c:formatCode>
                <c:ptCount val="7"/>
                <c:pt idx="0">
                  <c:v>78729</c:v>
                </c:pt>
                <c:pt idx="1">
                  <c:v>71997</c:v>
                </c:pt>
                <c:pt idx="2">
                  <c:v>64668</c:v>
                </c:pt>
                <c:pt idx="3">
                  <c:v>63620</c:v>
                </c:pt>
                <c:pt idx="4">
                  <c:v>53798</c:v>
                </c:pt>
                <c:pt idx="5">
                  <c:v>50664</c:v>
                </c:pt>
                <c:pt idx="6">
                  <c:v>46564</c:v>
                </c:pt>
              </c:numCache>
            </c:numRef>
          </c:yVal>
          <c:smooth val="1"/>
          <c:extLst>
            <c:ext xmlns:c16="http://schemas.microsoft.com/office/drawing/2014/chart" uri="{C3380CC4-5D6E-409C-BE32-E72D297353CC}">
              <c16:uniqueId val="{00000002-13C5-4E17-AE39-20E09414D339}"/>
            </c:ext>
          </c:extLst>
        </c:ser>
        <c:ser>
          <c:idx val="0"/>
          <c:order val="3"/>
          <c:tx>
            <c:strRef>
              <c:f>'Feuil7 (2)'!$B$8</c:f>
              <c:strCache>
                <c:ptCount val="1"/>
                <c:pt idx="0">
                  <c:v>IPPU (projections)</c:v>
                </c:pt>
              </c:strCache>
            </c:strRef>
          </c:tx>
          <c:spPr>
            <a:ln>
              <a:solidFill>
                <a:schemeClr val="accent2"/>
              </a:solidFill>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(2)'!$I$8:$N$8</c:f>
              <c:numCache>
                <c:formatCode>General</c:formatCode>
                <c:ptCount val="6"/>
                <c:pt idx="0">
                  <c:v>46564</c:v>
                </c:pt>
                <c:pt idx="1">
                  <c:v>41371</c:v>
                </c:pt>
                <c:pt idx="2">
                  <c:v>32979</c:v>
                </c:pt>
                <c:pt idx="3">
                  <c:v>27368</c:v>
                </c:pt>
                <c:pt idx="4">
                  <c:v>24409</c:v>
                </c:pt>
                <c:pt idx="5">
                  <c:v>15534</c:v>
                </c:pt>
              </c:numCache>
            </c:numRef>
          </c:yVal>
          <c:smooth val="1"/>
          <c:extLst>
            <c:ext xmlns:c16="http://schemas.microsoft.com/office/drawing/2014/chart" uri="{C3380CC4-5D6E-409C-BE32-E72D297353CC}">
              <c16:uniqueId val="{00000003-13C5-4E17-AE39-20E09414D339}"/>
            </c:ext>
          </c:extLst>
        </c:ser>
        <c:ser>
          <c:idx val="23"/>
          <c:order val="4"/>
          <c:tx>
            <c:strRef>
              <c:f>'Feuil7 (2)'!$B$9</c:f>
              <c:strCache>
                <c:ptCount val="1"/>
                <c:pt idx="0">
                  <c:v>Agriculture (excluding energy) </c:v>
                </c:pt>
              </c:strCache>
            </c:strRef>
          </c:tx>
          <c:spPr>
            <a:ln>
              <a:solidFill>
                <a:schemeClr val="accent3"/>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(2)'!$C$9:$I$9</c:f>
              <c:numCache>
                <c:formatCode>General</c:formatCode>
                <c:ptCount val="7"/>
                <c:pt idx="0">
                  <c:v>80803</c:v>
                </c:pt>
                <c:pt idx="1">
                  <c:v>78281</c:v>
                </c:pt>
                <c:pt idx="2">
                  <c:v>81292</c:v>
                </c:pt>
                <c:pt idx="3">
                  <c:v>76018</c:v>
                </c:pt>
                <c:pt idx="4">
                  <c:v>75203</c:v>
                </c:pt>
                <c:pt idx="5">
                  <c:v>75720</c:v>
                </c:pt>
                <c:pt idx="6">
                  <c:v>72498</c:v>
                </c:pt>
              </c:numCache>
            </c:numRef>
          </c:yVal>
          <c:smooth val="1"/>
          <c:extLst>
            <c:ext xmlns:c16="http://schemas.microsoft.com/office/drawing/2014/chart" uri="{C3380CC4-5D6E-409C-BE32-E72D297353CC}">
              <c16:uniqueId val="{00000004-13C5-4E17-AE39-20E09414D339}"/>
            </c:ext>
          </c:extLst>
        </c:ser>
        <c:ser>
          <c:idx val="1"/>
          <c:order val="5"/>
          <c:tx>
            <c:strRef>
              <c:f>'Feuil7 (2)'!$B$10</c:f>
              <c:strCache>
                <c:ptCount val="1"/>
                <c:pt idx="0">
                  <c:v>Agriculture (projections)</c:v>
                </c:pt>
              </c:strCache>
            </c:strRef>
          </c:tx>
          <c:spPr>
            <a:ln w="19050" cap="rnd">
              <a:solidFill>
                <a:schemeClr val="accent3"/>
              </a:solidFill>
              <a:prstDash val="sysDash"/>
              <a:round/>
            </a:ln>
            <a:effectLst/>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(2)'!$I$10:$N$10</c:f>
              <c:numCache>
                <c:formatCode>General</c:formatCode>
                <c:ptCount val="6"/>
                <c:pt idx="0">
                  <c:v>72498</c:v>
                </c:pt>
                <c:pt idx="1">
                  <c:v>73646</c:v>
                </c:pt>
                <c:pt idx="2">
                  <c:v>69007</c:v>
                </c:pt>
                <c:pt idx="3">
                  <c:v>65227</c:v>
                </c:pt>
                <c:pt idx="4">
                  <c:v>62117</c:v>
                </c:pt>
                <c:pt idx="5">
                  <c:v>47831</c:v>
                </c:pt>
              </c:numCache>
            </c:numRef>
          </c:yVal>
          <c:smooth val="1"/>
          <c:extLst>
            <c:ext xmlns:c16="http://schemas.microsoft.com/office/drawing/2014/chart" uri="{C3380CC4-5D6E-409C-BE32-E72D297353CC}">
              <c16:uniqueId val="{00000005-13C5-4E17-AE39-20E09414D339}"/>
            </c:ext>
          </c:extLst>
        </c:ser>
        <c:ser>
          <c:idx val="24"/>
          <c:order val="6"/>
          <c:tx>
            <c:strRef>
              <c:f>'Feuil7 (2)'!$B$11</c:f>
              <c:strCache>
                <c:ptCount val="1"/>
                <c:pt idx="0">
                  <c:v>LULUCF </c:v>
                </c:pt>
              </c:strCache>
            </c:strRef>
          </c:tx>
          <c:spPr>
            <a:ln>
              <a:solidFill>
                <a:schemeClr val="accent4"/>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(2)'!$C$11:$I$11</c:f>
              <c:numCache>
                <c:formatCode>General</c:formatCode>
                <c:ptCount val="7"/>
                <c:pt idx="0">
                  <c:v>-23986</c:v>
                </c:pt>
                <c:pt idx="1">
                  <c:v>-24879</c:v>
                </c:pt>
                <c:pt idx="2">
                  <c:v>-19709</c:v>
                </c:pt>
                <c:pt idx="3">
                  <c:v>-47311</c:v>
                </c:pt>
                <c:pt idx="4">
                  <c:v>-38355</c:v>
                </c:pt>
                <c:pt idx="5">
                  <c:v>-34577</c:v>
                </c:pt>
                <c:pt idx="6">
                  <c:v>-12288</c:v>
                </c:pt>
              </c:numCache>
            </c:numRef>
          </c:yVal>
          <c:smooth val="1"/>
          <c:extLst>
            <c:ext xmlns:c16="http://schemas.microsoft.com/office/drawing/2014/chart" uri="{C3380CC4-5D6E-409C-BE32-E72D297353CC}">
              <c16:uniqueId val="{00000006-13C5-4E17-AE39-20E09414D339}"/>
            </c:ext>
          </c:extLst>
        </c:ser>
        <c:ser>
          <c:idx val="2"/>
          <c:order val="7"/>
          <c:tx>
            <c:strRef>
              <c:f>'Feuil7 (2)'!$B$12</c:f>
              <c:strCache>
                <c:ptCount val="1"/>
                <c:pt idx="0">
                  <c:v>LULUCF (projections)</c:v>
                </c:pt>
              </c:strCache>
            </c:strRef>
          </c:tx>
          <c:spPr>
            <a:ln>
              <a:solidFill>
                <a:schemeClr val="accent4"/>
              </a:solidFill>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(2)'!$I$12:$N$12</c:f>
              <c:numCache>
                <c:formatCode>General</c:formatCode>
                <c:ptCount val="6"/>
                <c:pt idx="0">
                  <c:v>-12288</c:v>
                </c:pt>
                <c:pt idx="1">
                  <c:v>-38995</c:v>
                </c:pt>
                <c:pt idx="2">
                  <c:v>-37671</c:v>
                </c:pt>
                <c:pt idx="3">
                  <c:v>-40160</c:v>
                </c:pt>
                <c:pt idx="4">
                  <c:v>-45205</c:v>
                </c:pt>
                <c:pt idx="5">
                  <c:v>-67148</c:v>
                </c:pt>
              </c:numCache>
            </c:numRef>
          </c:yVal>
          <c:smooth val="1"/>
          <c:extLst>
            <c:ext xmlns:c16="http://schemas.microsoft.com/office/drawing/2014/chart" uri="{C3380CC4-5D6E-409C-BE32-E72D297353CC}">
              <c16:uniqueId val="{00000007-13C5-4E17-AE39-20E09414D339}"/>
            </c:ext>
          </c:extLst>
        </c:ser>
        <c:ser>
          <c:idx val="3"/>
          <c:order val="8"/>
          <c:tx>
            <c:strRef>
              <c:f>'Feuil7 (2)'!$B$13</c:f>
              <c:strCache>
                <c:ptCount val="1"/>
                <c:pt idx="0">
                  <c:v>Waste </c:v>
                </c:pt>
              </c:strCache>
            </c:strRef>
          </c:tx>
          <c:spPr>
            <a:ln>
              <a:solidFill>
                <a:schemeClr val="accent6"/>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(2)'!$C$13:$I$13</c:f>
              <c:numCache>
                <c:formatCode>General</c:formatCode>
                <c:ptCount val="7"/>
                <c:pt idx="0">
                  <c:v>17283</c:v>
                </c:pt>
                <c:pt idx="1">
                  <c:v>20118</c:v>
                </c:pt>
                <c:pt idx="2">
                  <c:v>21056</c:v>
                </c:pt>
                <c:pt idx="3">
                  <c:v>21362</c:v>
                </c:pt>
                <c:pt idx="4">
                  <c:v>20756</c:v>
                </c:pt>
                <c:pt idx="5">
                  <c:v>17905</c:v>
                </c:pt>
                <c:pt idx="6">
                  <c:v>18165</c:v>
                </c:pt>
              </c:numCache>
            </c:numRef>
          </c:yVal>
          <c:smooth val="1"/>
          <c:extLst>
            <c:ext xmlns:c16="http://schemas.microsoft.com/office/drawing/2014/chart" uri="{C3380CC4-5D6E-409C-BE32-E72D297353CC}">
              <c16:uniqueId val="{00000008-13C5-4E17-AE39-20E09414D339}"/>
            </c:ext>
          </c:extLst>
        </c:ser>
        <c:ser>
          <c:idx val="4"/>
          <c:order val="9"/>
          <c:tx>
            <c:strRef>
              <c:f>'Feuil7 (2)'!$B$14</c:f>
              <c:strCache>
                <c:ptCount val="1"/>
                <c:pt idx="0">
                  <c:v>Waste (projections)</c:v>
                </c:pt>
              </c:strCache>
            </c:strRef>
          </c:tx>
          <c:spPr>
            <a:ln>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(2)'!$I$14:$N$14</c:f>
              <c:numCache>
                <c:formatCode>General</c:formatCode>
                <c:ptCount val="6"/>
                <c:pt idx="0">
                  <c:v>18165</c:v>
                </c:pt>
                <c:pt idx="1">
                  <c:v>14345</c:v>
                </c:pt>
                <c:pt idx="2">
                  <c:v>12325</c:v>
                </c:pt>
                <c:pt idx="3">
                  <c:v>10983</c:v>
                </c:pt>
                <c:pt idx="4">
                  <c:v>9786</c:v>
                </c:pt>
                <c:pt idx="5">
                  <c:v>6193</c:v>
                </c:pt>
              </c:numCache>
            </c:numRef>
          </c:yVal>
          <c:smooth val="1"/>
          <c:extLst>
            <c:ext xmlns:c16="http://schemas.microsoft.com/office/drawing/2014/chart" uri="{C3380CC4-5D6E-409C-BE32-E72D297353CC}">
              <c16:uniqueId val="{00000009-13C5-4E17-AE39-20E09414D339}"/>
            </c:ext>
          </c:extLst>
        </c:ser>
        <c:dLbls>
          <c:showLegendKey val="0"/>
          <c:showVal val="0"/>
          <c:showCatName val="0"/>
          <c:showSerName val="0"/>
          <c:showPercent val="0"/>
          <c:showBubbleSize val="0"/>
        </c:dLbls>
        <c:axId val="1424416096"/>
        <c:axId val="1424419424"/>
      </c:scatterChart>
      <c:valAx>
        <c:axId val="1424416096"/>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9424"/>
        <c:crosses val="autoZero"/>
        <c:crossBetween val="midCat"/>
      </c:valAx>
      <c:valAx>
        <c:axId val="142441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1000" b="0" i="0" u="none" strike="noStrike" baseline="0">
                    <a:effectLst/>
                  </a:rPr>
                  <a:t>ktCO</a:t>
                </a:r>
                <a:r>
                  <a:rPr lang="en-GB" sz="1000" b="0" i="0" u="none" strike="noStrike" baseline="-25000">
                    <a:effectLst/>
                  </a:rPr>
                  <a:t>2e</a:t>
                </a:r>
                <a:endParaRPr lang="fr-F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609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 2021 par secteurs de l'énergie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Feuil9!$C$5</c:f>
              <c:strCache>
                <c:ptCount val="1"/>
                <c:pt idx="0">
                  <c:v>Energy industry </c:v>
                </c:pt>
              </c:strCache>
            </c:strRef>
          </c:tx>
          <c:spPr>
            <a:ln w="19050" cap="rnd">
              <a:solidFill>
                <a:schemeClr val="accent1"/>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Feuil9!$D$5:$O$5</c:f>
              <c:numCache>
                <c:formatCode>General</c:formatCode>
                <c:ptCount val="12"/>
                <c:pt idx="0">
                  <c:v>66338</c:v>
                </c:pt>
                <c:pt idx="1">
                  <c:v>55802</c:v>
                </c:pt>
                <c:pt idx="2">
                  <c:v>62526</c:v>
                </c:pt>
                <c:pt idx="3">
                  <c:v>66972</c:v>
                </c:pt>
                <c:pt idx="4">
                  <c:v>60134</c:v>
                </c:pt>
                <c:pt idx="5">
                  <c:v>44988</c:v>
                </c:pt>
                <c:pt idx="6">
                  <c:v>41680</c:v>
                </c:pt>
                <c:pt idx="7">
                  <c:v>49721</c:v>
                </c:pt>
                <c:pt idx="8">
                  <c:v>49450</c:v>
                </c:pt>
                <c:pt idx="9">
                  <c:v>48836</c:v>
                </c:pt>
                <c:pt idx="10">
                  <c:v>48946</c:v>
                </c:pt>
                <c:pt idx="11">
                  <c:v>30247</c:v>
                </c:pt>
              </c:numCache>
            </c:numRef>
          </c:yVal>
          <c:smooth val="0"/>
          <c:extLst>
            <c:ext xmlns:c16="http://schemas.microsoft.com/office/drawing/2014/chart" uri="{C3380CC4-5D6E-409C-BE32-E72D297353CC}">
              <c16:uniqueId val="{00000000-57BF-418E-954D-2C0B8543D7DB}"/>
            </c:ext>
          </c:extLst>
        </c:ser>
        <c:ser>
          <c:idx val="1"/>
          <c:order val="1"/>
          <c:tx>
            <c:strRef>
              <c:f>Feuil9!$C$6</c:f>
              <c:strCache>
                <c:ptCount val="1"/>
                <c:pt idx="0">
                  <c:v>Manufacturing and construction </c:v>
                </c:pt>
              </c:strCache>
            </c:strRef>
          </c:tx>
          <c:spPr>
            <a:ln w="19050" cap="rnd">
              <a:solidFill>
                <a:schemeClr val="accent2"/>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Feuil9!$D$6:$O$6</c:f>
              <c:numCache>
                <c:formatCode>General</c:formatCode>
                <c:ptCount val="12"/>
                <c:pt idx="0">
                  <c:v>76164</c:v>
                </c:pt>
                <c:pt idx="1">
                  <c:v>80423</c:v>
                </c:pt>
                <c:pt idx="2">
                  <c:v>75532</c:v>
                </c:pt>
                <c:pt idx="3">
                  <c:v>71990</c:v>
                </c:pt>
                <c:pt idx="4">
                  <c:v>62105</c:v>
                </c:pt>
                <c:pt idx="5">
                  <c:v>51963</c:v>
                </c:pt>
                <c:pt idx="6">
                  <c:v>48031</c:v>
                </c:pt>
                <c:pt idx="7">
                  <c:v>47344</c:v>
                </c:pt>
                <c:pt idx="8">
                  <c:v>49895</c:v>
                </c:pt>
                <c:pt idx="9">
                  <c:v>48956</c:v>
                </c:pt>
                <c:pt idx="10">
                  <c:v>49242</c:v>
                </c:pt>
                <c:pt idx="11">
                  <c:v>50182</c:v>
                </c:pt>
              </c:numCache>
            </c:numRef>
          </c:yVal>
          <c:smooth val="0"/>
          <c:extLst>
            <c:ext xmlns:c16="http://schemas.microsoft.com/office/drawing/2014/chart" uri="{C3380CC4-5D6E-409C-BE32-E72D297353CC}">
              <c16:uniqueId val="{00000001-57BF-418E-954D-2C0B8543D7DB}"/>
            </c:ext>
          </c:extLst>
        </c:ser>
        <c:ser>
          <c:idx val="2"/>
          <c:order val="2"/>
          <c:tx>
            <c:strRef>
              <c:f>Feuil9!$C$7</c:f>
              <c:strCache>
                <c:ptCount val="1"/>
                <c:pt idx="0">
                  <c:v>Transport </c:v>
                </c:pt>
              </c:strCache>
            </c:strRef>
          </c:tx>
          <c:spPr>
            <a:ln w="19050" cap="rnd">
              <a:solidFill>
                <a:schemeClr val="accent3"/>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Feuil9!$D$7:$O$7</c:f>
              <c:numCache>
                <c:formatCode>General</c:formatCode>
                <c:ptCount val="12"/>
                <c:pt idx="0">
                  <c:v>122293</c:v>
                </c:pt>
                <c:pt idx="1">
                  <c:v>132329</c:v>
                </c:pt>
                <c:pt idx="2">
                  <c:v>141051</c:v>
                </c:pt>
                <c:pt idx="3">
                  <c:v>142041</c:v>
                </c:pt>
                <c:pt idx="4">
                  <c:v>133750</c:v>
                </c:pt>
                <c:pt idx="5">
                  <c:v>133744</c:v>
                </c:pt>
                <c:pt idx="6">
                  <c:v>131725</c:v>
                </c:pt>
                <c:pt idx="7">
                  <c:v>104084</c:v>
                </c:pt>
                <c:pt idx="8">
                  <c:v>114627</c:v>
                </c:pt>
                <c:pt idx="9">
                  <c:v>102181</c:v>
                </c:pt>
                <c:pt idx="10">
                  <c:v>96593</c:v>
                </c:pt>
                <c:pt idx="11">
                  <c:v>83729</c:v>
                </c:pt>
              </c:numCache>
            </c:numRef>
          </c:yVal>
          <c:smooth val="0"/>
          <c:extLst>
            <c:ext xmlns:c16="http://schemas.microsoft.com/office/drawing/2014/chart" uri="{C3380CC4-5D6E-409C-BE32-E72D297353CC}">
              <c16:uniqueId val="{00000002-57BF-418E-954D-2C0B8543D7DB}"/>
            </c:ext>
          </c:extLst>
        </c:ser>
        <c:ser>
          <c:idx val="3"/>
          <c:order val="3"/>
          <c:tx>
            <c:strRef>
              <c:f>Feuil9!$C$8</c:f>
              <c:strCache>
                <c:ptCount val="1"/>
                <c:pt idx="0">
                  <c:v>Other sectors </c:v>
                </c:pt>
              </c:strCache>
            </c:strRef>
          </c:tx>
          <c:spPr>
            <a:ln w="19050" cap="rnd">
              <a:solidFill>
                <a:schemeClr val="accent4"/>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Feuil9!$D$8:$O$8</c:f>
              <c:numCache>
                <c:formatCode>General</c:formatCode>
                <c:ptCount val="12"/>
                <c:pt idx="0">
                  <c:v>102477</c:v>
                </c:pt>
                <c:pt idx="1">
                  <c:v>97525</c:v>
                </c:pt>
                <c:pt idx="2">
                  <c:v>102881</c:v>
                </c:pt>
                <c:pt idx="3">
                  <c:v>109388</c:v>
                </c:pt>
                <c:pt idx="4">
                  <c:v>101722</c:v>
                </c:pt>
                <c:pt idx="5">
                  <c:v>82940</c:v>
                </c:pt>
                <c:pt idx="6">
                  <c:v>75877</c:v>
                </c:pt>
                <c:pt idx="7">
                  <c:v>73985</c:v>
                </c:pt>
                <c:pt idx="8">
                  <c:v>67291</c:v>
                </c:pt>
                <c:pt idx="9">
                  <c:v>60718</c:v>
                </c:pt>
                <c:pt idx="10">
                  <c:v>57402</c:v>
                </c:pt>
                <c:pt idx="11">
                  <c:v>47041</c:v>
                </c:pt>
              </c:numCache>
            </c:numRef>
          </c:yVal>
          <c:smooth val="0"/>
          <c:extLst>
            <c:ext xmlns:c16="http://schemas.microsoft.com/office/drawing/2014/chart" uri="{C3380CC4-5D6E-409C-BE32-E72D297353CC}">
              <c16:uniqueId val="{00000003-57BF-418E-954D-2C0B8543D7DB}"/>
            </c:ext>
          </c:extLst>
        </c:ser>
        <c:dLbls>
          <c:showLegendKey val="0"/>
          <c:showVal val="0"/>
          <c:showCatName val="0"/>
          <c:showSerName val="0"/>
          <c:showPercent val="0"/>
          <c:showBubbleSize val="0"/>
        </c:dLbls>
        <c:axId val="560246367"/>
        <c:axId val="560246783"/>
      </c:scatterChart>
      <c:valAx>
        <c:axId val="560246367"/>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783"/>
        <c:crosses val="autoZero"/>
        <c:crossBetween val="midCat"/>
      </c:valAx>
      <c:valAx>
        <c:axId val="560246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36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 2018 par secteurs de l'énergie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'Feuil9 (2)'!$C$5</c:f>
              <c:strCache>
                <c:ptCount val="1"/>
                <c:pt idx="0">
                  <c:v>Energy industry </c:v>
                </c:pt>
              </c:strCache>
            </c:strRef>
          </c:tx>
          <c:spPr>
            <a:ln w="19050" cap="rnd">
              <a:solidFill>
                <a:schemeClr val="accent1"/>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(2)'!$D$5:$O$5</c:f>
              <c:numCache>
                <c:formatCode>General</c:formatCode>
                <c:ptCount val="12"/>
                <c:pt idx="0" formatCode="_(* #,##0.00_);_(* \(#,##0.00\);_(* &quot;-&quot;??_);_(@_)">
                  <c:v>66338</c:v>
                </c:pt>
                <c:pt idx="1">
                  <c:v>55802</c:v>
                </c:pt>
                <c:pt idx="2">
                  <c:v>62526</c:v>
                </c:pt>
                <c:pt idx="3">
                  <c:v>66972</c:v>
                </c:pt>
                <c:pt idx="4">
                  <c:v>60134</c:v>
                </c:pt>
                <c:pt idx="5">
                  <c:v>44988</c:v>
                </c:pt>
                <c:pt idx="6">
                  <c:v>41680</c:v>
                </c:pt>
                <c:pt idx="7">
                  <c:v>51390</c:v>
                </c:pt>
                <c:pt idx="8">
                  <c:v>35549</c:v>
                </c:pt>
                <c:pt idx="9">
                  <c:v>30007</c:v>
                </c:pt>
                <c:pt idx="10">
                  <c:v>19242</c:v>
                </c:pt>
                <c:pt idx="11">
                  <c:v>-13050</c:v>
                </c:pt>
              </c:numCache>
            </c:numRef>
          </c:yVal>
          <c:smooth val="0"/>
          <c:extLst>
            <c:ext xmlns:c16="http://schemas.microsoft.com/office/drawing/2014/chart" uri="{C3380CC4-5D6E-409C-BE32-E72D297353CC}">
              <c16:uniqueId val="{00000000-29AE-4C55-80FD-DD25AECE4E38}"/>
            </c:ext>
          </c:extLst>
        </c:ser>
        <c:ser>
          <c:idx val="1"/>
          <c:order val="1"/>
          <c:tx>
            <c:strRef>
              <c:f>'Feuil9 (2)'!$C$6</c:f>
              <c:strCache>
                <c:ptCount val="1"/>
                <c:pt idx="0">
                  <c:v>Manufacturing and construction </c:v>
                </c:pt>
              </c:strCache>
            </c:strRef>
          </c:tx>
          <c:spPr>
            <a:ln w="19050" cap="rnd">
              <a:solidFill>
                <a:schemeClr val="accent2"/>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(2)'!$D$6:$O$6</c:f>
              <c:numCache>
                <c:formatCode>General</c:formatCode>
                <c:ptCount val="12"/>
                <c:pt idx="0">
                  <c:v>76164</c:v>
                </c:pt>
                <c:pt idx="1">
                  <c:v>80423</c:v>
                </c:pt>
                <c:pt idx="2">
                  <c:v>75532</c:v>
                </c:pt>
                <c:pt idx="3">
                  <c:v>71990</c:v>
                </c:pt>
                <c:pt idx="4">
                  <c:v>62105</c:v>
                </c:pt>
                <c:pt idx="5">
                  <c:v>51963</c:v>
                </c:pt>
                <c:pt idx="6">
                  <c:v>48031</c:v>
                </c:pt>
                <c:pt idx="7">
                  <c:v>43570</c:v>
                </c:pt>
                <c:pt idx="8">
                  <c:v>38146</c:v>
                </c:pt>
                <c:pt idx="9">
                  <c:v>30122</c:v>
                </c:pt>
                <c:pt idx="10">
                  <c:v>23105</c:v>
                </c:pt>
                <c:pt idx="11">
                  <c:v>2056</c:v>
                </c:pt>
              </c:numCache>
            </c:numRef>
          </c:yVal>
          <c:smooth val="0"/>
          <c:extLst>
            <c:ext xmlns:c16="http://schemas.microsoft.com/office/drawing/2014/chart" uri="{C3380CC4-5D6E-409C-BE32-E72D297353CC}">
              <c16:uniqueId val="{00000001-29AE-4C55-80FD-DD25AECE4E38}"/>
            </c:ext>
          </c:extLst>
        </c:ser>
        <c:ser>
          <c:idx val="2"/>
          <c:order val="2"/>
          <c:tx>
            <c:strRef>
              <c:f>'Feuil9 (2)'!$C$7</c:f>
              <c:strCache>
                <c:ptCount val="1"/>
                <c:pt idx="0">
                  <c:v>Transport </c:v>
                </c:pt>
              </c:strCache>
            </c:strRef>
          </c:tx>
          <c:spPr>
            <a:ln w="19050" cap="rnd">
              <a:solidFill>
                <a:schemeClr val="accent3"/>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(2)'!$D$7:$O$7</c:f>
              <c:numCache>
                <c:formatCode>General</c:formatCode>
                <c:ptCount val="12"/>
                <c:pt idx="0">
                  <c:v>122293</c:v>
                </c:pt>
                <c:pt idx="1">
                  <c:v>132329</c:v>
                </c:pt>
                <c:pt idx="2">
                  <c:v>141051</c:v>
                </c:pt>
                <c:pt idx="3">
                  <c:v>142041</c:v>
                </c:pt>
                <c:pt idx="4">
                  <c:v>133750</c:v>
                </c:pt>
                <c:pt idx="5">
                  <c:v>133744</c:v>
                </c:pt>
                <c:pt idx="6">
                  <c:v>131725</c:v>
                </c:pt>
                <c:pt idx="7">
                  <c:v>126491</c:v>
                </c:pt>
                <c:pt idx="8">
                  <c:v>110958</c:v>
                </c:pt>
                <c:pt idx="9">
                  <c:v>94288</c:v>
                </c:pt>
                <c:pt idx="10">
                  <c:v>71522</c:v>
                </c:pt>
                <c:pt idx="11">
                  <c:v>3221</c:v>
                </c:pt>
              </c:numCache>
            </c:numRef>
          </c:yVal>
          <c:smooth val="0"/>
          <c:extLst>
            <c:ext xmlns:c16="http://schemas.microsoft.com/office/drawing/2014/chart" uri="{C3380CC4-5D6E-409C-BE32-E72D297353CC}">
              <c16:uniqueId val="{00000002-29AE-4C55-80FD-DD25AECE4E38}"/>
            </c:ext>
          </c:extLst>
        </c:ser>
        <c:ser>
          <c:idx val="3"/>
          <c:order val="3"/>
          <c:tx>
            <c:strRef>
              <c:f>'Feuil9 (2)'!$C$8</c:f>
              <c:strCache>
                <c:ptCount val="1"/>
                <c:pt idx="0">
                  <c:v>Other sectors </c:v>
                </c:pt>
              </c:strCache>
            </c:strRef>
          </c:tx>
          <c:spPr>
            <a:ln w="19050" cap="rnd">
              <a:solidFill>
                <a:schemeClr val="accent4"/>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(2)'!$D$8:$O$8</c:f>
              <c:numCache>
                <c:formatCode>General</c:formatCode>
                <c:ptCount val="12"/>
                <c:pt idx="0">
                  <c:v>102477</c:v>
                </c:pt>
                <c:pt idx="1">
                  <c:v>97525</c:v>
                </c:pt>
                <c:pt idx="2">
                  <c:v>102881</c:v>
                </c:pt>
                <c:pt idx="3">
                  <c:v>109388</c:v>
                </c:pt>
                <c:pt idx="4">
                  <c:v>101722</c:v>
                </c:pt>
                <c:pt idx="5">
                  <c:v>82940</c:v>
                </c:pt>
                <c:pt idx="6">
                  <c:v>75877</c:v>
                </c:pt>
                <c:pt idx="7">
                  <c:v>83566</c:v>
                </c:pt>
                <c:pt idx="8">
                  <c:v>68697</c:v>
                </c:pt>
                <c:pt idx="9">
                  <c:v>49099</c:v>
                </c:pt>
                <c:pt idx="10">
                  <c:v>37516</c:v>
                </c:pt>
                <c:pt idx="11">
                  <c:v>2766</c:v>
                </c:pt>
              </c:numCache>
            </c:numRef>
          </c:yVal>
          <c:smooth val="0"/>
          <c:extLst>
            <c:ext xmlns:c16="http://schemas.microsoft.com/office/drawing/2014/chart" uri="{C3380CC4-5D6E-409C-BE32-E72D297353CC}">
              <c16:uniqueId val="{00000003-29AE-4C55-80FD-DD25AECE4E38}"/>
            </c:ext>
          </c:extLst>
        </c:ser>
        <c:dLbls>
          <c:showLegendKey val="0"/>
          <c:showVal val="0"/>
          <c:showCatName val="0"/>
          <c:showSerName val="0"/>
          <c:showPercent val="0"/>
          <c:showBubbleSize val="0"/>
        </c:dLbls>
        <c:axId val="560246367"/>
        <c:axId val="560246783"/>
      </c:scatterChart>
      <c:valAx>
        <c:axId val="560246367"/>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783"/>
        <c:crosses val="autoZero"/>
        <c:crossBetween val="midCat"/>
      </c:valAx>
      <c:valAx>
        <c:axId val="560246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36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AME21</a:t>
            </a:r>
            <a:r>
              <a:rPr lang="fr-FR" baseline="0"/>
              <a:t> hors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1950802661295"/>
          <c:y val="0.17155110819480898"/>
          <c:w val="0.86383553073307695"/>
          <c:h val="0.50301326917468647"/>
        </c:manualLayout>
      </c:layout>
      <c:scatterChart>
        <c:scatterStyle val="lineMarker"/>
        <c:varyColors val="0"/>
        <c:ser>
          <c:idx val="0"/>
          <c:order val="0"/>
          <c:tx>
            <c:strRef>
              <c:f>Feuil11!$B$5</c:f>
              <c:strCache>
                <c:ptCount val="1"/>
                <c:pt idx="0">
                  <c:v>CO2 excluding LULUCF </c:v>
                </c:pt>
              </c:strCache>
            </c:strRef>
          </c:tx>
          <c:spPr>
            <a:ln w="19050" cap="rnd">
              <a:solidFill>
                <a:schemeClr val="accent1"/>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Feuil11!$C$5:$I$5</c:f>
              <c:numCache>
                <c:formatCode>General</c:formatCode>
                <c:ptCount val="7"/>
                <c:pt idx="0">
                  <c:v>398425</c:v>
                </c:pt>
                <c:pt idx="1">
                  <c:v>392916</c:v>
                </c:pt>
                <c:pt idx="2">
                  <c:v>414788</c:v>
                </c:pt>
                <c:pt idx="3">
                  <c:v>425444</c:v>
                </c:pt>
                <c:pt idx="4">
                  <c:v>386872</c:v>
                </c:pt>
                <c:pt idx="5">
                  <c:v>341631</c:v>
                </c:pt>
                <c:pt idx="6">
                  <c:v>326725</c:v>
                </c:pt>
              </c:numCache>
            </c:numRef>
          </c:yVal>
          <c:smooth val="0"/>
          <c:extLst>
            <c:ext xmlns:c16="http://schemas.microsoft.com/office/drawing/2014/chart" uri="{C3380CC4-5D6E-409C-BE32-E72D297353CC}">
              <c16:uniqueId val="{00000000-D769-4A93-A345-656848862914}"/>
            </c:ext>
          </c:extLst>
        </c:ser>
        <c:ser>
          <c:idx val="1"/>
          <c:order val="1"/>
          <c:tx>
            <c:strRef>
              <c:f>Feuil11!$B$7</c:f>
              <c:strCache>
                <c:ptCount val="1"/>
                <c:pt idx="0">
                  <c:v>CH4 excluding LULUCF </c:v>
                </c:pt>
              </c:strCache>
            </c:strRef>
          </c:tx>
          <c:spPr>
            <a:ln w="19050" cap="rnd">
              <a:solidFill>
                <a:schemeClr val="accent2"/>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Feuil11!$C$7:$I$7</c:f>
              <c:numCache>
                <c:formatCode>General</c:formatCode>
                <c:ptCount val="7"/>
                <c:pt idx="0">
                  <c:v>69161</c:v>
                </c:pt>
                <c:pt idx="1">
                  <c:v>70383</c:v>
                </c:pt>
                <c:pt idx="2">
                  <c:v>68603</c:v>
                </c:pt>
                <c:pt idx="3">
                  <c:v>63632</c:v>
                </c:pt>
                <c:pt idx="4">
                  <c:v>61663</c:v>
                </c:pt>
                <c:pt idx="5">
                  <c:v>57862</c:v>
                </c:pt>
                <c:pt idx="6">
                  <c:v>55740</c:v>
                </c:pt>
              </c:numCache>
            </c:numRef>
          </c:yVal>
          <c:smooth val="0"/>
          <c:extLst>
            <c:ext xmlns:c16="http://schemas.microsoft.com/office/drawing/2014/chart" uri="{C3380CC4-5D6E-409C-BE32-E72D297353CC}">
              <c16:uniqueId val="{00000001-D769-4A93-A345-656848862914}"/>
            </c:ext>
          </c:extLst>
        </c:ser>
        <c:ser>
          <c:idx val="2"/>
          <c:order val="2"/>
          <c:tx>
            <c:strRef>
              <c:f>Feuil11!$B$9</c:f>
              <c:strCache>
                <c:ptCount val="1"/>
                <c:pt idx="0">
                  <c:v>N2O excluding LULUCF </c:v>
                </c:pt>
              </c:strCache>
            </c:strRef>
          </c:tx>
          <c:spPr>
            <a:ln w="19050" cap="rnd">
              <a:solidFill>
                <a:schemeClr val="accent3"/>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Feuil11!$C$9:$I$9</c:f>
              <c:numCache>
                <c:formatCode>General</c:formatCode>
                <c:ptCount val="7"/>
                <c:pt idx="0">
                  <c:v>64725</c:v>
                </c:pt>
                <c:pt idx="1">
                  <c:v>65937</c:v>
                </c:pt>
                <c:pt idx="2">
                  <c:v>53681</c:v>
                </c:pt>
                <c:pt idx="3">
                  <c:v>46307</c:v>
                </c:pt>
                <c:pt idx="4">
                  <c:v>40478</c:v>
                </c:pt>
                <c:pt idx="5">
                  <c:v>39895</c:v>
                </c:pt>
                <c:pt idx="6">
                  <c:v>38071</c:v>
                </c:pt>
              </c:numCache>
            </c:numRef>
          </c:yVal>
          <c:smooth val="0"/>
          <c:extLst>
            <c:ext xmlns:c16="http://schemas.microsoft.com/office/drawing/2014/chart" uri="{C3380CC4-5D6E-409C-BE32-E72D297353CC}">
              <c16:uniqueId val="{00000002-D769-4A93-A345-656848862914}"/>
            </c:ext>
          </c:extLst>
        </c:ser>
        <c:ser>
          <c:idx val="3"/>
          <c:order val="3"/>
          <c:tx>
            <c:strRef>
              <c:f>Feuil11!$B$11</c:f>
              <c:strCache>
                <c:ptCount val="1"/>
                <c:pt idx="0">
                  <c:v>HFCs </c:v>
                </c:pt>
              </c:strCache>
            </c:strRef>
          </c:tx>
          <c:spPr>
            <a:ln w="19050" cap="rnd">
              <a:solidFill>
                <a:schemeClr val="accent4"/>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D769-4A93-A345-656848862914}"/>
            </c:ext>
          </c:extLst>
        </c:ser>
        <c:ser>
          <c:idx val="4"/>
          <c:order val="4"/>
          <c:tx>
            <c:strRef>
              <c:f>Feuil11!$B$13</c:f>
              <c:strCache>
                <c:ptCount val="1"/>
                <c:pt idx="0">
                  <c:v>PFCs </c:v>
                </c:pt>
              </c:strCache>
            </c:strRef>
          </c:tx>
          <c:spPr>
            <a:ln w="19050" cap="rnd">
              <a:solidFill>
                <a:schemeClr val="accent5"/>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D769-4A93-A345-656848862914}"/>
            </c:ext>
          </c:extLst>
        </c:ser>
        <c:ser>
          <c:idx val="5"/>
          <c:order val="5"/>
          <c:tx>
            <c:strRef>
              <c:f>Feuil11!$B$15</c:f>
              <c:strCache>
                <c:ptCount val="1"/>
                <c:pt idx="0">
                  <c:v>SF6 </c:v>
                </c:pt>
              </c:strCache>
            </c:strRef>
          </c:tx>
          <c:spPr>
            <a:ln w="19050" cap="rnd">
              <a:solidFill>
                <a:schemeClr val="accent6"/>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D769-4A93-A345-656848862914}"/>
            </c:ext>
          </c:extLst>
        </c:ser>
        <c:ser>
          <c:idx val="6"/>
          <c:order val="6"/>
          <c:tx>
            <c:strRef>
              <c:f>Feuil11!$B$17</c:f>
              <c:strCache>
                <c:ptCount val="1"/>
                <c:pt idx="0">
                  <c:v>NF3 </c:v>
                </c:pt>
              </c:strCache>
            </c:strRef>
          </c:tx>
          <c:spPr>
            <a:ln w="19050" cap="rnd">
              <a:solidFill>
                <a:schemeClr val="accent1">
                  <a:lumMod val="60000"/>
                </a:schemeClr>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D769-4A93-A345-656848862914}"/>
            </c:ext>
          </c:extLst>
        </c:ser>
        <c:ser>
          <c:idx val="7"/>
          <c:order val="7"/>
          <c:tx>
            <c:strRef>
              <c:f>Feuil11!$B$6</c:f>
              <c:strCache>
                <c:ptCount val="1"/>
                <c:pt idx="0">
                  <c:v>CO2 excluding LULUCF (projections)</c:v>
                </c:pt>
              </c:strCache>
            </c:strRef>
          </c:tx>
          <c:spPr>
            <a:ln w="19050" cap="rnd">
              <a:solidFill>
                <a:schemeClr val="accent1"/>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Feuil11!$I$6:$N$6</c:f>
              <c:numCache>
                <c:formatCode>General</c:formatCode>
                <c:ptCount val="6"/>
                <c:pt idx="0">
                  <c:v>326725</c:v>
                </c:pt>
                <c:pt idx="1">
                  <c:v>291487</c:v>
                </c:pt>
                <c:pt idx="2">
                  <c:v>292205</c:v>
                </c:pt>
                <c:pt idx="3">
                  <c:v>272039</c:v>
                </c:pt>
                <c:pt idx="4">
                  <c:v>262355</c:v>
                </c:pt>
                <c:pt idx="5">
                  <c:v>241265</c:v>
                </c:pt>
              </c:numCache>
            </c:numRef>
          </c:yVal>
          <c:smooth val="0"/>
          <c:extLst>
            <c:ext xmlns:c16="http://schemas.microsoft.com/office/drawing/2014/chart" uri="{C3380CC4-5D6E-409C-BE32-E72D297353CC}">
              <c16:uniqueId val="{00000007-D769-4A93-A345-656848862914}"/>
            </c:ext>
          </c:extLst>
        </c:ser>
        <c:ser>
          <c:idx val="8"/>
          <c:order val="8"/>
          <c:tx>
            <c:strRef>
              <c:f>Feuil11!$B$8</c:f>
              <c:strCache>
                <c:ptCount val="1"/>
                <c:pt idx="0">
                  <c:v>CH4 excluding LULUCF (projections)</c:v>
                </c:pt>
              </c:strCache>
            </c:strRef>
          </c:tx>
          <c:spPr>
            <a:ln w="19050" cap="rnd">
              <a:solidFill>
                <a:schemeClr val="accent2"/>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Feuil11!$I$8:$N$8</c:f>
              <c:numCache>
                <c:formatCode>General</c:formatCode>
                <c:ptCount val="6"/>
                <c:pt idx="0">
                  <c:v>55740</c:v>
                </c:pt>
                <c:pt idx="1">
                  <c:v>55161</c:v>
                </c:pt>
                <c:pt idx="2">
                  <c:v>53575</c:v>
                </c:pt>
                <c:pt idx="3">
                  <c:v>52448</c:v>
                </c:pt>
                <c:pt idx="4">
                  <c:v>51718</c:v>
                </c:pt>
                <c:pt idx="5">
                  <c:v>51049</c:v>
                </c:pt>
              </c:numCache>
            </c:numRef>
          </c:yVal>
          <c:smooth val="0"/>
          <c:extLst>
            <c:ext xmlns:c16="http://schemas.microsoft.com/office/drawing/2014/chart" uri="{C3380CC4-5D6E-409C-BE32-E72D297353CC}">
              <c16:uniqueId val="{00000008-D769-4A93-A345-656848862914}"/>
            </c:ext>
          </c:extLst>
        </c:ser>
        <c:ser>
          <c:idx val="9"/>
          <c:order val="9"/>
          <c:tx>
            <c:strRef>
              <c:f>Feuil11!$B$10</c:f>
              <c:strCache>
                <c:ptCount val="1"/>
                <c:pt idx="0">
                  <c:v>N2O excluding LULUCF (projections)</c:v>
                </c:pt>
              </c:strCache>
            </c:strRef>
          </c:tx>
          <c:spPr>
            <a:ln w="19050" cap="rnd">
              <a:solidFill>
                <a:schemeClr val="accent3"/>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Feuil11!$I$10:$N$10</c:f>
              <c:numCache>
                <c:formatCode>General</c:formatCode>
                <c:ptCount val="6"/>
                <c:pt idx="0">
                  <c:v>38071</c:v>
                </c:pt>
                <c:pt idx="1">
                  <c:v>38446</c:v>
                </c:pt>
                <c:pt idx="2">
                  <c:v>37839</c:v>
                </c:pt>
                <c:pt idx="3">
                  <c:v>36921</c:v>
                </c:pt>
                <c:pt idx="4">
                  <c:v>36417</c:v>
                </c:pt>
                <c:pt idx="5">
                  <c:v>35003</c:v>
                </c:pt>
              </c:numCache>
            </c:numRef>
          </c:yVal>
          <c:smooth val="0"/>
          <c:extLst>
            <c:ext xmlns:c16="http://schemas.microsoft.com/office/drawing/2014/chart" uri="{C3380CC4-5D6E-409C-BE32-E72D297353CC}">
              <c16:uniqueId val="{00000009-D769-4A93-A345-656848862914}"/>
            </c:ext>
          </c:extLst>
        </c:ser>
        <c:ser>
          <c:idx val="10"/>
          <c:order val="10"/>
          <c:tx>
            <c:strRef>
              <c:f>Feuil11!$B$12</c:f>
              <c:strCache>
                <c:ptCount val="1"/>
                <c:pt idx="0">
                  <c:v>HFCs (projections)</c:v>
                </c:pt>
              </c:strCache>
            </c:strRef>
          </c:tx>
          <c:spPr>
            <a:ln w="19050" cap="rnd">
              <a:solidFill>
                <a:schemeClr val="accent4"/>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Feuil11!$I$12:$N$12</c:f>
              <c:numCache>
                <c:formatCode>General</c:formatCode>
                <c:ptCount val="6"/>
                <c:pt idx="0">
                  <c:v>12992</c:v>
                </c:pt>
                <c:pt idx="1">
                  <c:v>12721</c:v>
                </c:pt>
                <c:pt idx="2">
                  <c:v>7816</c:v>
                </c:pt>
                <c:pt idx="3">
                  <c:v>5052</c:v>
                </c:pt>
                <c:pt idx="4">
                  <c:v>3427</c:v>
                </c:pt>
                <c:pt idx="5">
                  <c:v>1830</c:v>
                </c:pt>
              </c:numCache>
            </c:numRef>
          </c:yVal>
          <c:smooth val="0"/>
          <c:extLst>
            <c:ext xmlns:c16="http://schemas.microsoft.com/office/drawing/2014/chart" uri="{C3380CC4-5D6E-409C-BE32-E72D297353CC}">
              <c16:uniqueId val="{0000000A-D769-4A93-A345-656848862914}"/>
            </c:ext>
          </c:extLst>
        </c:ser>
        <c:ser>
          <c:idx val="11"/>
          <c:order val="11"/>
          <c:tx>
            <c:strRef>
              <c:f>Feuil11!$B$14</c:f>
              <c:strCache>
                <c:ptCount val="1"/>
                <c:pt idx="0">
                  <c:v>PFCs (projections)</c:v>
                </c:pt>
              </c:strCache>
            </c:strRef>
          </c:tx>
          <c:spPr>
            <a:ln w="19050" cap="rnd">
              <a:solidFill>
                <a:schemeClr val="accent6">
                  <a:lumMod val="6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Feuil11!$I$14:$N$14</c:f>
              <c:numCache>
                <c:formatCode>General</c:formatCode>
                <c:ptCount val="6"/>
                <c:pt idx="0">
                  <c:v>615</c:v>
                </c:pt>
                <c:pt idx="1">
                  <c:v>462</c:v>
                </c:pt>
                <c:pt idx="2">
                  <c:v>290</c:v>
                </c:pt>
                <c:pt idx="3">
                  <c:v>217</c:v>
                </c:pt>
                <c:pt idx="4">
                  <c:v>156</c:v>
                </c:pt>
                <c:pt idx="5">
                  <c:v>130</c:v>
                </c:pt>
              </c:numCache>
            </c:numRef>
          </c:yVal>
          <c:smooth val="0"/>
          <c:extLst>
            <c:ext xmlns:c16="http://schemas.microsoft.com/office/drawing/2014/chart" uri="{C3380CC4-5D6E-409C-BE32-E72D297353CC}">
              <c16:uniqueId val="{0000000B-D769-4A93-A345-656848862914}"/>
            </c:ext>
          </c:extLst>
        </c:ser>
        <c:ser>
          <c:idx val="12"/>
          <c:order val="12"/>
          <c:tx>
            <c:strRef>
              <c:f>Feuil11!$B$16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Feuil11!$I$16:$N$16</c:f>
              <c:numCache>
                <c:formatCode>General</c:formatCode>
                <c:ptCount val="6"/>
                <c:pt idx="0">
                  <c:v>385</c:v>
                </c:pt>
                <c:pt idx="1">
                  <c:v>387</c:v>
                </c:pt>
                <c:pt idx="2">
                  <c:v>358</c:v>
                </c:pt>
                <c:pt idx="3">
                  <c:v>359</c:v>
                </c:pt>
                <c:pt idx="4">
                  <c:v>360</c:v>
                </c:pt>
                <c:pt idx="5">
                  <c:v>363</c:v>
                </c:pt>
              </c:numCache>
            </c:numRef>
          </c:yVal>
          <c:smooth val="0"/>
          <c:extLst>
            <c:ext xmlns:c16="http://schemas.microsoft.com/office/drawing/2014/chart" uri="{C3380CC4-5D6E-409C-BE32-E72D297353CC}">
              <c16:uniqueId val="{0000000C-D769-4A93-A345-656848862914}"/>
            </c:ext>
          </c:extLst>
        </c:ser>
        <c:ser>
          <c:idx val="13"/>
          <c:order val="13"/>
          <c:tx>
            <c:strRef>
              <c:f>Feuil11!$B$18</c:f>
              <c:strCache>
                <c:ptCount val="1"/>
                <c:pt idx="0">
                  <c:v>NF3 (projections)</c:v>
                </c:pt>
              </c:strCache>
            </c:strRef>
          </c:tx>
          <c:spPr>
            <a:ln w="19050" cap="rnd">
              <a:solidFill>
                <a:schemeClr val="accent2">
                  <a:lumMod val="80000"/>
                  <a:lumOff val="20000"/>
                </a:schemeClr>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Feuil11!$I$18:$N$18</c:f>
              <c:numCache>
                <c:formatCode>General</c:formatCode>
                <c:ptCount val="6"/>
                <c:pt idx="0">
                  <c:v>10</c:v>
                </c:pt>
                <c:pt idx="1">
                  <c:v>9</c:v>
                </c:pt>
                <c:pt idx="2">
                  <c:v>10</c:v>
                </c:pt>
                <c:pt idx="3">
                  <c:v>10</c:v>
                </c:pt>
                <c:pt idx="4">
                  <c:v>10</c:v>
                </c:pt>
                <c:pt idx="5">
                  <c:v>10</c:v>
                </c:pt>
              </c:numCache>
            </c:numRef>
          </c:yVal>
          <c:smooth val="0"/>
          <c:extLst>
            <c:ext xmlns:c16="http://schemas.microsoft.com/office/drawing/2014/chart" uri="{C3380CC4-5D6E-409C-BE32-E72D297353CC}">
              <c16:uniqueId val="{0000000D-D769-4A93-A345-656848862914}"/>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6626166520851557"/>
          <c:w val="1"/>
          <c:h val="0.205960557013706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AME21</a:t>
            </a:r>
            <a:r>
              <a:rPr lang="fr-FR" baseline="0"/>
              <a:t> avec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0259398018796"/>
          <c:y val="0.17155110819480898"/>
          <c:w val="0.81802244729489459"/>
          <c:h val="0.51227252843394577"/>
        </c:manualLayout>
      </c:layout>
      <c:scatterChart>
        <c:scatterStyle val="lineMarker"/>
        <c:varyColors val="0"/>
        <c:ser>
          <c:idx val="0"/>
          <c:order val="0"/>
          <c:tx>
            <c:strRef>
              <c:f>'Feuil11 (2)'!$B$5</c:f>
              <c:strCache>
                <c:ptCount val="1"/>
                <c:pt idx="0">
                  <c:v>CO2 including LULUCF </c:v>
                </c:pt>
              </c:strCache>
            </c:strRef>
          </c:tx>
          <c:spPr>
            <a:ln w="19050" cap="rnd">
              <a:solidFill>
                <a:schemeClr val="accent1"/>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(2)'!$C$5:$I$5</c:f>
              <c:numCache>
                <c:formatCode>General</c:formatCode>
                <c:ptCount val="7"/>
                <c:pt idx="0">
                  <c:v>370280</c:v>
                </c:pt>
                <c:pt idx="1">
                  <c:v>361121</c:v>
                </c:pt>
                <c:pt idx="2">
                  <c:v>390194</c:v>
                </c:pt>
                <c:pt idx="3">
                  <c:v>373972</c:v>
                </c:pt>
                <c:pt idx="4">
                  <c:v>344171</c:v>
                </c:pt>
                <c:pt idx="5">
                  <c:v>303032</c:v>
                </c:pt>
                <c:pt idx="6">
                  <c:v>310432</c:v>
                </c:pt>
              </c:numCache>
            </c:numRef>
          </c:yVal>
          <c:smooth val="0"/>
          <c:extLst>
            <c:ext xmlns:c16="http://schemas.microsoft.com/office/drawing/2014/chart" uri="{C3380CC4-5D6E-409C-BE32-E72D297353CC}">
              <c16:uniqueId val="{00000000-68FB-416C-A216-81109B7AF865}"/>
            </c:ext>
          </c:extLst>
        </c:ser>
        <c:ser>
          <c:idx val="1"/>
          <c:order val="1"/>
          <c:tx>
            <c:strRef>
              <c:f>'Feuil11 (2)'!$B$7</c:f>
              <c:strCache>
                <c:ptCount val="1"/>
                <c:pt idx="0">
                  <c:v>CH4 including LULUCF </c:v>
                </c:pt>
              </c:strCache>
            </c:strRef>
          </c:tx>
          <c:spPr>
            <a:ln w="19050" cap="rnd">
              <a:solidFill>
                <a:schemeClr val="accent2"/>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(2)'!$C$7:$I$7</c:f>
              <c:numCache>
                <c:formatCode>General</c:formatCode>
                <c:ptCount val="7"/>
                <c:pt idx="0">
                  <c:v>70094</c:v>
                </c:pt>
                <c:pt idx="1">
                  <c:v>74053</c:v>
                </c:pt>
                <c:pt idx="2">
                  <c:v>70296</c:v>
                </c:pt>
                <c:pt idx="3">
                  <c:v>64820</c:v>
                </c:pt>
                <c:pt idx="4">
                  <c:v>62793</c:v>
                </c:pt>
                <c:pt idx="5">
                  <c:v>58940</c:v>
                </c:pt>
                <c:pt idx="6">
                  <c:v>56877</c:v>
                </c:pt>
              </c:numCache>
            </c:numRef>
          </c:yVal>
          <c:smooth val="0"/>
          <c:extLst>
            <c:ext xmlns:c16="http://schemas.microsoft.com/office/drawing/2014/chart" uri="{C3380CC4-5D6E-409C-BE32-E72D297353CC}">
              <c16:uniqueId val="{00000001-68FB-416C-A216-81109B7AF865}"/>
            </c:ext>
          </c:extLst>
        </c:ser>
        <c:ser>
          <c:idx val="2"/>
          <c:order val="2"/>
          <c:tx>
            <c:strRef>
              <c:f>'Feuil11 (2)'!$B$9</c:f>
              <c:strCache>
                <c:ptCount val="1"/>
                <c:pt idx="0">
                  <c:v>N2O including LULUCF </c:v>
                </c:pt>
              </c:strCache>
            </c:strRef>
          </c:tx>
          <c:spPr>
            <a:ln w="19050" cap="rnd">
              <a:solidFill>
                <a:schemeClr val="accent3"/>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(2)'!$C$9:$I$9</c:f>
              <c:numCache>
                <c:formatCode>General</c:formatCode>
                <c:ptCount val="7"/>
                <c:pt idx="0">
                  <c:v>67951</c:v>
                </c:pt>
                <c:pt idx="1">
                  <c:v>69183</c:v>
                </c:pt>
                <c:pt idx="2">
                  <c:v>56873</c:v>
                </c:pt>
                <c:pt idx="3">
                  <c:v>49279</c:v>
                </c:pt>
                <c:pt idx="4">
                  <c:v>43694</c:v>
                </c:pt>
                <c:pt idx="5">
                  <c:v>42840</c:v>
                </c:pt>
                <c:pt idx="6">
                  <c:v>40939</c:v>
                </c:pt>
              </c:numCache>
            </c:numRef>
          </c:yVal>
          <c:smooth val="0"/>
          <c:extLst>
            <c:ext xmlns:c16="http://schemas.microsoft.com/office/drawing/2014/chart" uri="{C3380CC4-5D6E-409C-BE32-E72D297353CC}">
              <c16:uniqueId val="{00000002-68FB-416C-A216-81109B7AF865}"/>
            </c:ext>
          </c:extLst>
        </c:ser>
        <c:ser>
          <c:idx val="3"/>
          <c:order val="3"/>
          <c:tx>
            <c:strRef>
              <c:f>'Feuil11 (2)'!$B$11</c:f>
              <c:strCache>
                <c:ptCount val="1"/>
                <c:pt idx="0">
                  <c:v>HFCs </c:v>
                </c:pt>
              </c:strCache>
            </c:strRef>
          </c:tx>
          <c:spPr>
            <a:ln w="19050" cap="rnd">
              <a:solidFill>
                <a:schemeClr val="accent4"/>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68FB-416C-A216-81109B7AF865}"/>
            </c:ext>
          </c:extLst>
        </c:ser>
        <c:ser>
          <c:idx val="4"/>
          <c:order val="4"/>
          <c:tx>
            <c:strRef>
              <c:f>'Feuil11 (2)'!$B$13</c:f>
              <c:strCache>
                <c:ptCount val="1"/>
                <c:pt idx="0">
                  <c:v>PFCs </c:v>
                </c:pt>
              </c:strCache>
            </c:strRef>
          </c:tx>
          <c:spPr>
            <a:ln w="19050" cap="rnd">
              <a:solidFill>
                <a:schemeClr val="accent5"/>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68FB-416C-A216-81109B7AF865}"/>
            </c:ext>
          </c:extLst>
        </c:ser>
        <c:ser>
          <c:idx val="5"/>
          <c:order val="5"/>
          <c:tx>
            <c:strRef>
              <c:f>'Feuil11 (2)'!$B$15</c:f>
              <c:strCache>
                <c:ptCount val="1"/>
                <c:pt idx="0">
                  <c:v>SF6 </c:v>
                </c:pt>
              </c:strCache>
            </c:strRef>
          </c:tx>
          <c:spPr>
            <a:ln w="19050" cap="rnd">
              <a:solidFill>
                <a:schemeClr val="accent6"/>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68FB-416C-A216-81109B7AF865}"/>
            </c:ext>
          </c:extLst>
        </c:ser>
        <c:ser>
          <c:idx val="6"/>
          <c:order val="6"/>
          <c:tx>
            <c:strRef>
              <c:f>'Feuil11 (2)'!$B$17</c:f>
              <c:strCache>
                <c:ptCount val="1"/>
                <c:pt idx="0">
                  <c:v>NF3 </c:v>
                </c:pt>
              </c:strCache>
            </c:strRef>
          </c:tx>
          <c:spPr>
            <a:ln w="19050" cap="rnd">
              <a:solidFill>
                <a:schemeClr val="accent1">
                  <a:lumMod val="60000"/>
                </a:schemeClr>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68FB-416C-A216-81109B7AF865}"/>
            </c:ext>
          </c:extLst>
        </c:ser>
        <c:ser>
          <c:idx val="7"/>
          <c:order val="7"/>
          <c:tx>
            <c:strRef>
              <c:f>'Feuil11 (2)'!$B$6</c:f>
              <c:strCache>
                <c:ptCount val="1"/>
                <c:pt idx="0">
                  <c:v>CO2 including LULUCF (projections)</c:v>
                </c:pt>
              </c:strCache>
            </c:strRef>
          </c:tx>
          <c:spPr>
            <a:ln w="19050" cap="rnd">
              <a:solidFill>
                <a:schemeClr val="accent1"/>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(2)'!$I$6:$N$6</c:f>
              <c:numCache>
                <c:formatCode>General</c:formatCode>
                <c:ptCount val="6"/>
                <c:pt idx="0">
                  <c:v>310432</c:v>
                </c:pt>
                <c:pt idx="1">
                  <c:v>254402</c:v>
                </c:pt>
                <c:pt idx="2">
                  <c:v>259213</c:v>
                </c:pt>
                <c:pt idx="3">
                  <c:v>241362</c:v>
                </c:pt>
                <c:pt idx="4">
                  <c:v>236549</c:v>
                </c:pt>
                <c:pt idx="5">
                  <c:v>224391</c:v>
                </c:pt>
              </c:numCache>
            </c:numRef>
          </c:yVal>
          <c:smooth val="0"/>
          <c:extLst>
            <c:ext xmlns:c16="http://schemas.microsoft.com/office/drawing/2014/chart" uri="{C3380CC4-5D6E-409C-BE32-E72D297353CC}">
              <c16:uniqueId val="{00000007-68FB-416C-A216-81109B7AF865}"/>
            </c:ext>
          </c:extLst>
        </c:ser>
        <c:ser>
          <c:idx val="8"/>
          <c:order val="8"/>
          <c:tx>
            <c:strRef>
              <c:f>'Feuil11 (2)'!$B$8</c:f>
              <c:strCache>
                <c:ptCount val="1"/>
                <c:pt idx="0">
                  <c:v>CH4 including LULUCF (projections)</c:v>
                </c:pt>
              </c:strCache>
            </c:strRef>
          </c:tx>
          <c:spPr>
            <a:ln w="19050" cap="rnd">
              <a:solidFill>
                <a:schemeClr val="accent2"/>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(2)'!$I$8:$N$8</c:f>
              <c:numCache>
                <c:formatCode>General</c:formatCode>
                <c:ptCount val="6"/>
                <c:pt idx="0">
                  <c:v>56877</c:v>
                </c:pt>
                <c:pt idx="1">
                  <c:v>56289</c:v>
                </c:pt>
                <c:pt idx="2">
                  <c:v>54702</c:v>
                </c:pt>
                <c:pt idx="3">
                  <c:v>53575</c:v>
                </c:pt>
                <c:pt idx="4">
                  <c:v>52845</c:v>
                </c:pt>
                <c:pt idx="5">
                  <c:v>52176</c:v>
                </c:pt>
              </c:numCache>
            </c:numRef>
          </c:yVal>
          <c:smooth val="0"/>
          <c:extLst>
            <c:ext xmlns:c16="http://schemas.microsoft.com/office/drawing/2014/chart" uri="{C3380CC4-5D6E-409C-BE32-E72D297353CC}">
              <c16:uniqueId val="{00000008-68FB-416C-A216-81109B7AF865}"/>
            </c:ext>
          </c:extLst>
        </c:ser>
        <c:ser>
          <c:idx val="9"/>
          <c:order val="9"/>
          <c:tx>
            <c:strRef>
              <c:f>'Feuil11 (2)'!$B$10</c:f>
              <c:strCache>
                <c:ptCount val="1"/>
                <c:pt idx="0">
                  <c:v>N2O including LULUCF (projections)</c:v>
                </c:pt>
              </c:strCache>
            </c:strRef>
          </c:tx>
          <c:spPr>
            <a:ln w="19050" cap="rnd">
              <a:solidFill>
                <a:schemeClr val="accent3"/>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(2)'!$I$10:$N$10</c:f>
              <c:numCache>
                <c:formatCode>General</c:formatCode>
                <c:ptCount val="6"/>
                <c:pt idx="0">
                  <c:v>40939</c:v>
                </c:pt>
                <c:pt idx="1">
                  <c:v>41566</c:v>
                </c:pt>
                <c:pt idx="2">
                  <c:v>40958</c:v>
                </c:pt>
                <c:pt idx="3">
                  <c:v>40040</c:v>
                </c:pt>
                <c:pt idx="4">
                  <c:v>39537</c:v>
                </c:pt>
                <c:pt idx="5">
                  <c:v>38123</c:v>
                </c:pt>
              </c:numCache>
            </c:numRef>
          </c:yVal>
          <c:smooth val="0"/>
          <c:extLst>
            <c:ext xmlns:c16="http://schemas.microsoft.com/office/drawing/2014/chart" uri="{C3380CC4-5D6E-409C-BE32-E72D297353CC}">
              <c16:uniqueId val="{00000009-68FB-416C-A216-81109B7AF865}"/>
            </c:ext>
          </c:extLst>
        </c:ser>
        <c:ser>
          <c:idx val="10"/>
          <c:order val="10"/>
          <c:tx>
            <c:strRef>
              <c:f>'Feuil11 (2)'!$B$12</c:f>
              <c:strCache>
                <c:ptCount val="1"/>
                <c:pt idx="0">
                  <c:v>HFCs (projections)</c:v>
                </c:pt>
              </c:strCache>
            </c:strRef>
          </c:tx>
          <c:spPr>
            <a:ln w="19050" cap="rnd">
              <a:solidFill>
                <a:schemeClr val="accent4"/>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(2)'!$I$12:$N$12</c:f>
              <c:numCache>
                <c:formatCode>General</c:formatCode>
                <c:ptCount val="6"/>
                <c:pt idx="0">
                  <c:v>12992</c:v>
                </c:pt>
                <c:pt idx="1">
                  <c:v>12721</c:v>
                </c:pt>
                <c:pt idx="2">
                  <c:v>7816</c:v>
                </c:pt>
                <c:pt idx="3">
                  <c:v>5052</c:v>
                </c:pt>
                <c:pt idx="4">
                  <c:v>3427</c:v>
                </c:pt>
                <c:pt idx="5">
                  <c:v>1830</c:v>
                </c:pt>
              </c:numCache>
            </c:numRef>
          </c:yVal>
          <c:smooth val="0"/>
          <c:extLst>
            <c:ext xmlns:c16="http://schemas.microsoft.com/office/drawing/2014/chart" uri="{C3380CC4-5D6E-409C-BE32-E72D297353CC}">
              <c16:uniqueId val="{0000000A-68FB-416C-A216-81109B7AF865}"/>
            </c:ext>
          </c:extLst>
        </c:ser>
        <c:ser>
          <c:idx val="11"/>
          <c:order val="11"/>
          <c:tx>
            <c:strRef>
              <c:f>'Feuil11 (2)'!$B$14</c:f>
              <c:strCache>
                <c:ptCount val="1"/>
                <c:pt idx="0">
                  <c:v>PFCs (projections)</c:v>
                </c:pt>
              </c:strCache>
            </c:strRef>
          </c:tx>
          <c:spPr>
            <a:ln w="19050" cap="rnd">
              <a:solidFill>
                <a:schemeClr val="accent6">
                  <a:lumMod val="60000"/>
                </a:schemeClr>
              </a:solidFill>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(2)'!$I$14:$N$14</c:f>
              <c:numCache>
                <c:formatCode>General</c:formatCode>
                <c:ptCount val="6"/>
                <c:pt idx="0">
                  <c:v>615</c:v>
                </c:pt>
                <c:pt idx="1">
                  <c:v>462</c:v>
                </c:pt>
                <c:pt idx="2">
                  <c:v>290</c:v>
                </c:pt>
                <c:pt idx="3">
                  <c:v>217</c:v>
                </c:pt>
                <c:pt idx="4">
                  <c:v>156</c:v>
                </c:pt>
                <c:pt idx="5">
                  <c:v>130</c:v>
                </c:pt>
              </c:numCache>
            </c:numRef>
          </c:yVal>
          <c:smooth val="0"/>
          <c:extLst>
            <c:ext xmlns:c16="http://schemas.microsoft.com/office/drawing/2014/chart" uri="{C3380CC4-5D6E-409C-BE32-E72D297353CC}">
              <c16:uniqueId val="{0000000B-68FB-416C-A216-81109B7AF865}"/>
            </c:ext>
          </c:extLst>
        </c:ser>
        <c:ser>
          <c:idx val="12"/>
          <c:order val="12"/>
          <c:tx>
            <c:strRef>
              <c:f>'Feuil11 (2)'!$B$16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(2)'!$I$16:$N$16</c:f>
              <c:numCache>
                <c:formatCode>General</c:formatCode>
                <c:ptCount val="6"/>
                <c:pt idx="0">
                  <c:v>385</c:v>
                </c:pt>
                <c:pt idx="1">
                  <c:v>387</c:v>
                </c:pt>
                <c:pt idx="2">
                  <c:v>358</c:v>
                </c:pt>
                <c:pt idx="3">
                  <c:v>359</c:v>
                </c:pt>
                <c:pt idx="4">
                  <c:v>360</c:v>
                </c:pt>
                <c:pt idx="5">
                  <c:v>363</c:v>
                </c:pt>
              </c:numCache>
            </c:numRef>
          </c:yVal>
          <c:smooth val="0"/>
          <c:extLst>
            <c:ext xmlns:c16="http://schemas.microsoft.com/office/drawing/2014/chart" uri="{C3380CC4-5D6E-409C-BE32-E72D297353CC}">
              <c16:uniqueId val="{0000000C-68FB-416C-A216-81109B7AF865}"/>
            </c:ext>
          </c:extLst>
        </c:ser>
        <c:ser>
          <c:idx val="13"/>
          <c:order val="13"/>
          <c:tx>
            <c:strRef>
              <c:f>'Feuil11 (2)'!$B$18</c:f>
              <c:strCache>
                <c:ptCount val="1"/>
                <c:pt idx="0">
                  <c:v>NF3 (projections)</c:v>
                </c:pt>
              </c:strCache>
            </c:strRef>
          </c:tx>
          <c:spPr>
            <a:ln w="19050" cap="rnd">
              <a:solidFill>
                <a:schemeClr val="accent5"/>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(2)'!$I$18:$N$18</c:f>
              <c:numCache>
                <c:formatCode>General</c:formatCode>
                <c:ptCount val="6"/>
                <c:pt idx="0">
                  <c:v>10</c:v>
                </c:pt>
                <c:pt idx="1">
                  <c:v>9</c:v>
                </c:pt>
                <c:pt idx="2">
                  <c:v>10</c:v>
                </c:pt>
                <c:pt idx="3">
                  <c:v>10</c:v>
                </c:pt>
                <c:pt idx="4">
                  <c:v>10</c:v>
                </c:pt>
                <c:pt idx="5">
                  <c:v>10</c:v>
                </c:pt>
              </c:numCache>
            </c:numRef>
          </c:yVal>
          <c:smooth val="0"/>
          <c:extLst>
            <c:ext xmlns:c16="http://schemas.microsoft.com/office/drawing/2014/chart" uri="{C3380CC4-5D6E-409C-BE32-E72D297353CC}">
              <c16:uniqueId val="{0000000D-68FB-416C-A216-81109B7AF865}"/>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7299832312627592"/>
          <c:w val="1"/>
          <c:h val="0.199223899095946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AMS18</a:t>
            </a:r>
            <a:r>
              <a:rPr lang="fr-FR" baseline="0"/>
              <a:t> hors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11369145149666"/>
          <c:y val="0.13267110408191457"/>
          <c:w val="0.8192251829726972"/>
          <c:h val="0.57626518489700063"/>
        </c:manualLayout>
      </c:layout>
      <c:scatterChart>
        <c:scatterStyle val="lineMarker"/>
        <c:varyColors val="0"/>
        <c:ser>
          <c:idx val="0"/>
          <c:order val="0"/>
          <c:tx>
            <c:strRef>
              <c:f>'Feuil11 (3)'!$B$5</c:f>
              <c:strCache>
                <c:ptCount val="1"/>
                <c:pt idx="0">
                  <c:v>CO2 excluding LULUCF </c:v>
                </c:pt>
              </c:strCache>
            </c:strRef>
          </c:tx>
          <c:spPr>
            <a:ln w="19050" cap="rnd">
              <a:solidFill>
                <a:schemeClr val="accent1"/>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(3)'!$C$5:$I$5</c:f>
              <c:numCache>
                <c:formatCode>General</c:formatCode>
                <c:ptCount val="7"/>
                <c:pt idx="0">
                  <c:v>398425</c:v>
                </c:pt>
                <c:pt idx="1">
                  <c:v>392916</c:v>
                </c:pt>
                <c:pt idx="2">
                  <c:v>414788</c:v>
                </c:pt>
                <c:pt idx="3">
                  <c:v>425444</c:v>
                </c:pt>
                <c:pt idx="4">
                  <c:v>386872</c:v>
                </c:pt>
                <c:pt idx="5">
                  <c:v>341631</c:v>
                </c:pt>
                <c:pt idx="6">
                  <c:v>326725</c:v>
                </c:pt>
              </c:numCache>
            </c:numRef>
          </c:yVal>
          <c:smooth val="0"/>
          <c:extLst>
            <c:ext xmlns:c16="http://schemas.microsoft.com/office/drawing/2014/chart" uri="{C3380CC4-5D6E-409C-BE32-E72D297353CC}">
              <c16:uniqueId val="{00000000-114B-4E6C-98CC-E79868A36227}"/>
            </c:ext>
          </c:extLst>
        </c:ser>
        <c:ser>
          <c:idx val="1"/>
          <c:order val="1"/>
          <c:tx>
            <c:strRef>
              <c:f>'Feuil11 (3)'!$B$7</c:f>
              <c:strCache>
                <c:ptCount val="1"/>
                <c:pt idx="0">
                  <c:v>CH4 excluding LULUCF </c:v>
                </c:pt>
              </c:strCache>
            </c:strRef>
          </c:tx>
          <c:spPr>
            <a:ln w="19050" cap="rnd">
              <a:solidFill>
                <a:schemeClr val="accent2"/>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(3)'!$C$7:$I$7</c:f>
              <c:numCache>
                <c:formatCode>General</c:formatCode>
                <c:ptCount val="7"/>
                <c:pt idx="0">
                  <c:v>69161</c:v>
                </c:pt>
                <c:pt idx="1">
                  <c:v>70383</c:v>
                </c:pt>
                <c:pt idx="2">
                  <c:v>68603</c:v>
                </c:pt>
                <c:pt idx="3">
                  <c:v>63632</c:v>
                </c:pt>
                <c:pt idx="4">
                  <c:v>61663</c:v>
                </c:pt>
                <c:pt idx="5">
                  <c:v>57862</c:v>
                </c:pt>
                <c:pt idx="6">
                  <c:v>55740</c:v>
                </c:pt>
              </c:numCache>
            </c:numRef>
          </c:yVal>
          <c:smooth val="0"/>
          <c:extLst>
            <c:ext xmlns:c16="http://schemas.microsoft.com/office/drawing/2014/chart" uri="{C3380CC4-5D6E-409C-BE32-E72D297353CC}">
              <c16:uniqueId val="{00000001-114B-4E6C-98CC-E79868A36227}"/>
            </c:ext>
          </c:extLst>
        </c:ser>
        <c:ser>
          <c:idx val="2"/>
          <c:order val="2"/>
          <c:tx>
            <c:strRef>
              <c:f>'Feuil11 (3)'!$B$9</c:f>
              <c:strCache>
                <c:ptCount val="1"/>
                <c:pt idx="0">
                  <c:v>N2O excluding LULUCF </c:v>
                </c:pt>
              </c:strCache>
            </c:strRef>
          </c:tx>
          <c:spPr>
            <a:ln w="19050" cap="rnd">
              <a:solidFill>
                <a:schemeClr val="accent3"/>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(3)'!$C$9:$I$9</c:f>
              <c:numCache>
                <c:formatCode>General</c:formatCode>
                <c:ptCount val="7"/>
                <c:pt idx="0">
                  <c:v>64725</c:v>
                </c:pt>
                <c:pt idx="1">
                  <c:v>65937</c:v>
                </c:pt>
                <c:pt idx="2">
                  <c:v>53681</c:v>
                </c:pt>
                <c:pt idx="3">
                  <c:v>46307</c:v>
                </c:pt>
                <c:pt idx="4">
                  <c:v>40478</c:v>
                </c:pt>
                <c:pt idx="5">
                  <c:v>39895</c:v>
                </c:pt>
                <c:pt idx="6">
                  <c:v>38071</c:v>
                </c:pt>
              </c:numCache>
            </c:numRef>
          </c:yVal>
          <c:smooth val="0"/>
          <c:extLst>
            <c:ext xmlns:c16="http://schemas.microsoft.com/office/drawing/2014/chart" uri="{C3380CC4-5D6E-409C-BE32-E72D297353CC}">
              <c16:uniqueId val="{00000002-114B-4E6C-98CC-E79868A36227}"/>
            </c:ext>
          </c:extLst>
        </c:ser>
        <c:ser>
          <c:idx val="3"/>
          <c:order val="3"/>
          <c:tx>
            <c:strRef>
              <c:f>'Feuil11 (3)'!$B$11</c:f>
              <c:strCache>
                <c:ptCount val="1"/>
                <c:pt idx="0">
                  <c:v>HFCs </c:v>
                </c:pt>
              </c:strCache>
            </c:strRef>
          </c:tx>
          <c:spPr>
            <a:ln w="19050" cap="rnd">
              <a:solidFill>
                <a:schemeClr val="accent4"/>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114B-4E6C-98CC-E79868A36227}"/>
            </c:ext>
          </c:extLst>
        </c:ser>
        <c:ser>
          <c:idx val="4"/>
          <c:order val="4"/>
          <c:tx>
            <c:strRef>
              <c:f>'Feuil11 (3)'!$B$13</c:f>
              <c:strCache>
                <c:ptCount val="1"/>
                <c:pt idx="0">
                  <c:v>PFCs </c:v>
                </c:pt>
              </c:strCache>
            </c:strRef>
          </c:tx>
          <c:spPr>
            <a:ln w="19050" cap="rnd">
              <a:solidFill>
                <a:schemeClr val="accent5"/>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114B-4E6C-98CC-E79868A36227}"/>
            </c:ext>
          </c:extLst>
        </c:ser>
        <c:ser>
          <c:idx val="5"/>
          <c:order val="5"/>
          <c:tx>
            <c:strRef>
              <c:f>'Feuil11 (3)'!$B$15</c:f>
              <c:strCache>
                <c:ptCount val="1"/>
                <c:pt idx="0">
                  <c:v>SF6 </c:v>
                </c:pt>
              </c:strCache>
            </c:strRef>
          </c:tx>
          <c:spPr>
            <a:ln w="19050" cap="rnd">
              <a:solidFill>
                <a:schemeClr val="accent6"/>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114B-4E6C-98CC-E79868A36227}"/>
            </c:ext>
          </c:extLst>
        </c:ser>
        <c:ser>
          <c:idx val="6"/>
          <c:order val="6"/>
          <c:tx>
            <c:strRef>
              <c:f>'Feuil11 (3)'!$B$17</c:f>
              <c:strCache>
                <c:ptCount val="1"/>
                <c:pt idx="0">
                  <c:v>NF3 </c:v>
                </c:pt>
              </c:strCache>
            </c:strRef>
          </c:tx>
          <c:spPr>
            <a:ln w="19050" cap="rnd">
              <a:solidFill>
                <a:schemeClr val="accent1">
                  <a:lumMod val="60000"/>
                </a:schemeClr>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114B-4E6C-98CC-E79868A36227}"/>
            </c:ext>
          </c:extLst>
        </c:ser>
        <c:ser>
          <c:idx val="7"/>
          <c:order val="7"/>
          <c:tx>
            <c:strRef>
              <c:f>'Feuil11 (3)'!$B$6</c:f>
              <c:strCache>
                <c:ptCount val="1"/>
                <c:pt idx="0">
                  <c:v>CO2 excluding LULUCF (projections)</c:v>
                </c:pt>
              </c:strCache>
            </c:strRef>
          </c:tx>
          <c:spPr>
            <a:ln w="19050" cap="rnd">
              <a:solidFill>
                <a:schemeClr val="accent1"/>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(3)'!$I$6:$N$6</c:f>
              <c:numCache>
                <c:formatCode>General</c:formatCode>
                <c:ptCount val="6"/>
                <c:pt idx="0">
                  <c:v>326725</c:v>
                </c:pt>
                <c:pt idx="1">
                  <c:v>325904</c:v>
                </c:pt>
                <c:pt idx="2">
                  <c:v>273167</c:v>
                </c:pt>
                <c:pt idx="3">
                  <c:v>220992</c:v>
                </c:pt>
                <c:pt idx="4">
                  <c:v>167257</c:v>
                </c:pt>
                <c:pt idx="5">
                  <c:v>6447</c:v>
                </c:pt>
              </c:numCache>
            </c:numRef>
          </c:yVal>
          <c:smooth val="0"/>
          <c:extLst>
            <c:ext xmlns:c16="http://schemas.microsoft.com/office/drawing/2014/chart" uri="{C3380CC4-5D6E-409C-BE32-E72D297353CC}">
              <c16:uniqueId val="{00000007-114B-4E6C-98CC-E79868A36227}"/>
            </c:ext>
          </c:extLst>
        </c:ser>
        <c:ser>
          <c:idx val="8"/>
          <c:order val="8"/>
          <c:tx>
            <c:strRef>
              <c:f>'Feuil11 (3)'!$B$8</c:f>
              <c:strCache>
                <c:ptCount val="1"/>
                <c:pt idx="0">
                  <c:v>CH4 excluding LULUCF (projections)</c:v>
                </c:pt>
              </c:strCache>
            </c:strRef>
          </c:tx>
          <c:spPr>
            <a:ln w="19050" cap="rnd">
              <a:solidFill>
                <a:schemeClr val="accent2"/>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(3)'!$I$8:$N$8</c:f>
              <c:numCache>
                <c:formatCode>General</c:formatCode>
                <c:ptCount val="6"/>
                <c:pt idx="0">
                  <c:v>55740</c:v>
                </c:pt>
                <c:pt idx="1">
                  <c:v>52531</c:v>
                </c:pt>
                <c:pt idx="2">
                  <c:v>47947</c:v>
                </c:pt>
                <c:pt idx="3">
                  <c:v>44507</c:v>
                </c:pt>
                <c:pt idx="4">
                  <c:v>41496</c:v>
                </c:pt>
                <c:pt idx="5">
                  <c:v>32465</c:v>
                </c:pt>
              </c:numCache>
            </c:numRef>
          </c:yVal>
          <c:smooth val="0"/>
          <c:extLst>
            <c:ext xmlns:c16="http://schemas.microsoft.com/office/drawing/2014/chart" uri="{C3380CC4-5D6E-409C-BE32-E72D297353CC}">
              <c16:uniqueId val="{00000008-114B-4E6C-98CC-E79868A36227}"/>
            </c:ext>
          </c:extLst>
        </c:ser>
        <c:ser>
          <c:idx val="9"/>
          <c:order val="9"/>
          <c:tx>
            <c:strRef>
              <c:f>'Feuil11 (3)'!$B$10</c:f>
              <c:strCache>
                <c:ptCount val="1"/>
                <c:pt idx="0">
                  <c:v>N2O excluding LULUCF (projections)</c:v>
                </c:pt>
              </c:strCache>
            </c:strRef>
          </c:tx>
          <c:spPr>
            <a:ln w="19050" cap="rnd">
              <a:solidFill>
                <a:schemeClr val="accent3"/>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(3)'!$I$10:$N$10</c:f>
              <c:numCache>
                <c:formatCode>General</c:formatCode>
                <c:ptCount val="6"/>
                <c:pt idx="0">
                  <c:v>38071</c:v>
                </c:pt>
                <c:pt idx="1">
                  <c:v>40268</c:v>
                </c:pt>
                <c:pt idx="2">
                  <c:v>37693</c:v>
                </c:pt>
                <c:pt idx="3">
                  <c:v>35559</c:v>
                </c:pt>
                <c:pt idx="4">
                  <c:v>33721</c:v>
                </c:pt>
                <c:pt idx="5">
                  <c:v>22856</c:v>
                </c:pt>
              </c:numCache>
            </c:numRef>
          </c:yVal>
          <c:smooth val="0"/>
          <c:extLst>
            <c:ext xmlns:c16="http://schemas.microsoft.com/office/drawing/2014/chart" uri="{C3380CC4-5D6E-409C-BE32-E72D297353CC}">
              <c16:uniqueId val="{00000009-114B-4E6C-98CC-E79868A36227}"/>
            </c:ext>
          </c:extLst>
        </c:ser>
        <c:ser>
          <c:idx val="10"/>
          <c:order val="10"/>
          <c:tx>
            <c:strRef>
              <c:f>'Feuil11 (3)'!$B$12</c:f>
              <c:strCache>
                <c:ptCount val="1"/>
                <c:pt idx="0">
                  <c:v>HFCs (projections)</c:v>
                </c:pt>
              </c:strCache>
            </c:strRef>
          </c:tx>
          <c:spPr>
            <a:ln w="19050" cap="rnd">
              <a:solidFill>
                <a:schemeClr val="accent4"/>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(3)'!$I$12:$N$12</c:f>
              <c:numCache>
                <c:formatCode>General</c:formatCode>
                <c:ptCount val="6"/>
                <c:pt idx="0">
                  <c:v>12992</c:v>
                </c:pt>
                <c:pt idx="1">
                  <c:v>14731</c:v>
                </c:pt>
                <c:pt idx="2">
                  <c:v>7995</c:v>
                </c:pt>
                <c:pt idx="3">
                  <c:v>5241</c:v>
                </c:pt>
                <c:pt idx="4">
                  <c:v>4458</c:v>
                </c:pt>
                <c:pt idx="5">
                  <c:v>2109</c:v>
                </c:pt>
              </c:numCache>
            </c:numRef>
          </c:yVal>
          <c:smooth val="0"/>
          <c:extLst>
            <c:ext xmlns:c16="http://schemas.microsoft.com/office/drawing/2014/chart" uri="{C3380CC4-5D6E-409C-BE32-E72D297353CC}">
              <c16:uniqueId val="{0000000A-114B-4E6C-98CC-E79868A36227}"/>
            </c:ext>
          </c:extLst>
        </c:ser>
        <c:ser>
          <c:idx val="11"/>
          <c:order val="11"/>
          <c:tx>
            <c:strRef>
              <c:f>'Feuil11 (3)'!$B$14</c:f>
              <c:strCache>
                <c:ptCount val="1"/>
                <c:pt idx="0">
                  <c:v>PFCs (projections)</c:v>
                </c:pt>
              </c:strCache>
            </c:strRef>
          </c:tx>
          <c:spPr>
            <a:ln w="19050" cap="rnd">
              <a:solidFill>
                <a:schemeClr val="accent6">
                  <a:lumMod val="60000"/>
                </a:schemeClr>
              </a:solidFill>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(3)'!$I$14:$N$14</c:f>
              <c:numCache>
                <c:formatCode>General</c:formatCode>
                <c:ptCount val="6"/>
                <c:pt idx="0">
                  <c:v>615</c:v>
                </c:pt>
                <c:pt idx="1">
                  <c:v>479</c:v>
                </c:pt>
                <c:pt idx="2">
                  <c:v>395</c:v>
                </c:pt>
                <c:pt idx="3">
                  <c:v>330</c:v>
                </c:pt>
                <c:pt idx="4">
                  <c:v>299</c:v>
                </c:pt>
                <c:pt idx="5">
                  <c:v>205</c:v>
                </c:pt>
              </c:numCache>
            </c:numRef>
          </c:yVal>
          <c:smooth val="0"/>
          <c:extLst>
            <c:ext xmlns:c16="http://schemas.microsoft.com/office/drawing/2014/chart" uri="{C3380CC4-5D6E-409C-BE32-E72D297353CC}">
              <c16:uniqueId val="{0000000B-114B-4E6C-98CC-E79868A36227}"/>
            </c:ext>
          </c:extLst>
        </c:ser>
        <c:ser>
          <c:idx val="12"/>
          <c:order val="12"/>
          <c:tx>
            <c:strRef>
              <c:f>'Feuil11 (3)'!$B$16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(3)'!$I$16:$N$16</c:f>
              <c:numCache>
                <c:formatCode>General</c:formatCode>
                <c:ptCount val="6"/>
                <c:pt idx="0">
                  <c:v>385</c:v>
                </c:pt>
                <c:pt idx="1">
                  <c:v>458</c:v>
                </c:pt>
                <c:pt idx="2">
                  <c:v>459</c:v>
                </c:pt>
                <c:pt idx="3">
                  <c:v>460</c:v>
                </c:pt>
                <c:pt idx="4">
                  <c:v>460</c:v>
                </c:pt>
                <c:pt idx="5">
                  <c:v>463</c:v>
                </c:pt>
              </c:numCache>
            </c:numRef>
          </c:yVal>
          <c:smooth val="0"/>
          <c:extLst>
            <c:ext xmlns:c16="http://schemas.microsoft.com/office/drawing/2014/chart" uri="{C3380CC4-5D6E-409C-BE32-E72D297353CC}">
              <c16:uniqueId val="{0000000C-114B-4E6C-98CC-E79868A36227}"/>
            </c:ext>
          </c:extLst>
        </c:ser>
        <c:ser>
          <c:idx val="13"/>
          <c:order val="13"/>
          <c:tx>
            <c:strRef>
              <c:f>'Feuil11 (3)'!$B$18</c:f>
              <c:strCache>
                <c:ptCount val="1"/>
                <c:pt idx="0">
                  <c:v>NF3 (projections)</c:v>
                </c:pt>
              </c:strCache>
            </c:strRef>
          </c:tx>
          <c:spPr>
            <a:ln w="19050" cap="rnd">
              <a:solidFill>
                <a:schemeClr val="accent5"/>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(3)'!$I$18:$N$18</c:f>
              <c:numCache>
                <c:formatCode>General</c:formatCode>
                <c:ptCount val="6"/>
                <c:pt idx="0">
                  <c:v>10</c:v>
                </c:pt>
                <c:pt idx="1">
                  <c:v>6</c:v>
                </c:pt>
                <c:pt idx="2">
                  <c:v>6</c:v>
                </c:pt>
                <c:pt idx="3">
                  <c:v>6</c:v>
                </c:pt>
                <c:pt idx="4">
                  <c:v>6</c:v>
                </c:pt>
                <c:pt idx="5">
                  <c:v>6</c:v>
                </c:pt>
              </c:numCache>
            </c:numRef>
          </c:yVal>
          <c:smooth val="0"/>
          <c:extLst>
            <c:ext xmlns:c16="http://schemas.microsoft.com/office/drawing/2014/chart" uri="{C3380CC4-5D6E-409C-BE32-E72D297353CC}">
              <c16:uniqueId val="{0000000D-114B-4E6C-98CC-E79868A36227}"/>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9417300281073888"/>
          <c:w val="1"/>
          <c:h val="0.1843447200678862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AMS18</a:t>
            </a:r>
            <a:r>
              <a:rPr lang="fr-FR" baseline="0"/>
              <a:t> avec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'Feuil11 (4)'!$B$5</c:f>
              <c:strCache>
                <c:ptCount val="1"/>
                <c:pt idx="0">
                  <c:v>CO2 including LULUCF </c:v>
                </c:pt>
              </c:strCache>
            </c:strRef>
          </c:tx>
          <c:spPr>
            <a:ln w="19050" cap="rnd">
              <a:solidFill>
                <a:schemeClr val="accent1"/>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(4)'!$C$5:$I$5</c:f>
              <c:numCache>
                <c:formatCode>General</c:formatCode>
                <c:ptCount val="7"/>
                <c:pt idx="0">
                  <c:v>370280</c:v>
                </c:pt>
                <c:pt idx="1">
                  <c:v>361121</c:v>
                </c:pt>
                <c:pt idx="2">
                  <c:v>390194</c:v>
                </c:pt>
                <c:pt idx="3">
                  <c:v>373972</c:v>
                </c:pt>
                <c:pt idx="4">
                  <c:v>344171</c:v>
                </c:pt>
                <c:pt idx="5">
                  <c:v>303032</c:v>
                </c:pt>
                <c:pt idx="6">
                  <c:v>310432</c:v>
                </c:pt>
              </c:numCache>
            </c:numRef>
          </c:yVal>
          <c:smooth val="1"/>
          <c:extLst>
            <c:ext xmlns:c16="http://schemas.microsoft.com/office/drawing/2014/chart" uri="{C3380CC4-5D6E-409C-BE32-E72D297353CC}">
              <c16:uniqueId val="{00000000-89C5-4030-88AA-F54C2C355344}"/>
            </c:ext>
          </c:extLst>
        </c:ser>
        <c:ser>
          <c:idx val="1"/>
          <c:order val="1"/>
          <c:tx>
            <c:strRef>
              <c:f>'Feuil11 (4)'!$B$7</c:f>
              <c:strCache>
                <c:ptCount val="1"/>
                <c:pt idx="0">
                  <c:v>CH4 including LULUCF </c:v>
                </c:pt>
              </c:strCache>
            </c:strRef>
          </c:tx>
          <c:spPr>
            <a:ln w="19050" cap="rnd">
              <a:solidFill>
                <a:schemeClr val="accent2"/>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(4)'!$C$7:$I$7</c:f>
              <c:numCache>
                <c:formatCode>General</c:formatCode>
                <c:ptCount val="7"/>
                <c:pt idx="0">
                  <c:v>70094</c:v>
                </c:pt>
                <c:pt idx="1">
                  <c:v>74053</c:v>
                </c:pt>
                <c:pt idx="2">
                  <c:v>70296</c:v>
                </c:pt>
                <c:pt idx="3">
                  <c:v>64820</c:v>
                </c:pt>
                <c:pt idx="4">
                  <c:v>62793</c:v>
                </c:pt>
                <c:pt idx="5">
                  <c:v>58940</c:v>
                </c:pt>
                <c:pt idx="6">
                  <c:v>56877</c:v>
                </c:pt>
              </c:numCache>
            </c:numRef>
          </c:yVal>
          <c:smooth val="1"/>
          <c:extLst>
            <c:ext xmlns:c16="http://schemas.microsoft.com/office/drawing/2014/chart" uri="{C3380CC4-5D6E-409C-BE32-E72D297353CC}">
              <c16:uniqueId val="{00000001-89C5-4030-88AA-F54C2C355344}"/>
            </c:ext>
          </c:extLst>
        </c:ser>
        <c:ser>
          <c:idx val="2"/>
          <c:order val="2"/>
          <c:tx>
            <c:strRef>
              <c:f>'Feuil11 (4)'!$B$9</c:f>
              <c:strCache>
                <c:ptCount val="1"/>
                <c:pt idx="0">
                  <c:v>N2O including LULUCF </c:v>
                </c:pt>
              </c:strCache>
            </c:strRef>
          </c:tx>
          <c:spPr>
            <a:ln w="19050" cap="rnd">
              <a:solidFill>
                <a:schemeClr val="accent3"/>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(4)'!$C$9:$I$9</c:f>
              <c:numCache>
                <c:formatCode>General</c:formatCode>
                <c:ptCount val="7"/>
                <c:pt idx="0">
                  <c:v>67951</c:v>
                </c:pt>
                <c:pt idx="1">
                  <c:v>69183</c:v>
                </c:pt>
                <c:pt idx="2">
                  <c:v>56873</c:v>
                </c:pt>
                <c:pt idx="3">
                  <c:v>49279</c:v>
                </c:pt>
                <c:pt idx="4">
                  <c:v>43694</c:v>
                </c:pt>
                <c:pt idx="5">
                  <c:v>42840</c:v>
                </c:pt>
                <c:pt idx="6">
                  <c:v>40939</c:v>
                </c:pt>
              </c:numCache>
            </c:numRef>
          </c:yVal>
          <c:smooth val="1"/>
          <c:extLst>
            <c:ext xmlns:c16="http://schemas.microsoft.com/office/drawing/2014/chart" uri="{C3380CC4-5D6E-409C-BE32-E72D297353CC}">
              <c16:uniqueId val="{00000002-89C5-4030-88AA-F54C2C355344}"/>
            </c:ext>
          </c:extLst>
        </c:ser>
        <c:ser>
          <c:idx val="3"/>
          <c:order val="3"/>
          <c:tx>
            <c:strRef>
              <c:f>'Feuil11 (4)'!$B$11</c:f>
              <c:strCache>
                <c:ptCount val="1"/>
                <c:pt idx="0">
                  <c:v>HFCs </c:v>
                </c:pt>
              </c:strCache>
            </c:strRef>
          </c:tx>
          <c:spPr>
            <a:ln w="19050" cap="rnd">
              <a:solidFill>
                <a:schemeClr val="accent4"/>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(4)'!$C$11:$I$11</c:f>
              <c:numCache>
                <c:formatCode>General</c:formatCode>
                <c:ptCount val="7"/>
                <c:pt idx="0">
                  <c:v>4402</c:v>
                </c:pt>
                <c:pt idx="1">
                  <c:v>1702</c:v>
                </c:pt>
                <c:pt idx="2">
                  <c:v>6736</c:v>
                </c:pt>
                <c:pt idx="3">
                  <c:v>12862</c:v>
                </c:pt>
                <c:pt idx="4">
                  <c:v>16930</c:v>
                </c:pt>
                <c:pt idx="5">
                  <c:v>17494</c:v>
                </c:pt>
                <c:pt idx="6">
                  <c:v>12992</c:v>
                </c:pt>
              </c:numCache>
            </c:numRef>
          </c:yVal>
          <c:smooth val="1"/>
          <c:extLst>
            <c:ext xmlns:c16="http://schemas.microsoft.com/office/drawing/2014/chart" uri="{C3380CC4-5D6E-409C-BE32-E72D297353CC}">
              <c16:uniqueId val="{00000003-89C5-4030-88AA-F54C2C355344}"/>
            </c:ext>
          </c:extLst>
        </c:ser>
        <c:ser>
          <c:idx val="4"/>
          <c:order val="4"/>
          <c:tx>
            <c:strRef>
              <c:f>'Feuil11 (4)'!$B$13</c:f>
              <c:strCache>
                <c:ptCount val="1"/>
                <c:pt idx="0">
                  <c:v>PFCs </c:v>
                </c:pt>
              </c:strCache>
            </c:strRef>
          </c:tx>
          <c:spPr>
            <a:ln w="19050" cap="rnd">
              <a:solidFill>
                <a:schemeClr val="accent5"/>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(4)'!$C$13:$I$13</c:f>
              <c:numCache>
                <c:formatCode>General</c:formatCode>
                <c:ptCount val="7"/>
                <c:pt idx="0">
                  <c:v>5202</c:v>
                </c:pt>
                <c:pt idx="1">
                  <c:v>3065</c:v>
                </c:pt>
                <c:pt idx="2">
                  <c:v>2997</c:v>
                </c:pt>
                <c:pt idx="3">
                  <c:v>1760</c:v>
                </c:pt>
                <c:pt idx="4">
                  <c:v>617</c:v>
                </c:pt>
                <c:pt idx="5">
                  <c:v>537</c:v>
                </c:pt>
                <c:pt idx="6">
                  <c:v>615</c:v>
                </c:pt>
              </c:numCache>
            </c:numRef>
          </c:yVal>
          <c:smooth val="1"/>
          <c:extLst>
            <c:ext xmlns:c16="http://schemas.microsoft.com/office/drawing/2014/chart" uri="{C3380CC4-5D6E-409C-BE32-E72D297353CC}">
              <c16:uniqueId val="{00000004-89C5-4030-88AA-F54C2C355344}"/>
            </c:ext>
          </c:extLst>
        </c:ser>
        <c:ser>
          <c:idx val="5"/>
          <c:order val="5"/>
          <c:tx>
            <c:strRef>
              <c:f>'Feuil11 (4)'!$B$15</c:f>
              <c:strCache>
                <c:ptCount val="1"/>
                <c:pt idx="0">
                  <c:v>SF6 </c:v>
                </c:pt>
              </c:strCache>
            </c:strRef>
          </c:tx>
          <c:spPr>
            <a:ln w="19050" cap="rnd">
              <a:solidFill>
                <a:schemeClr val="accent6"/>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(4)'!$C$15:$I$15</c:f>
              <c:numCache>
                <c:formatCode>General</c:formatCode>
                <c:ptCount val="7"/>
                <c:pt idx="0">
                  <c:v>2155</c:v>
                </c:pt>
                <c:pt idx="1">
                  <c:v>2467</c:v>
                </c:pt>
                <c:pt idx="2">
                  <c:v>2180</c:v>
                </c:pt>
                <c:pt idx="3">
                  <c:v>1355</c:v>
                </c:pt>
                <c:pt idx="4">
                  <c:v>875</c:v>
                </c:pt>
                <c:pt idx="5">
                  <c:v>498</c:v>
                </c:pt>
                <c:pt idx="6">
                  <c:v>385</c:v>
                </c:pt>
              </c:numCache>
            </c:numRef>
          </c:yVal>
          <c:smooth val="1"/>
          <c:extLst>
            <c:ext xmlns:c16="http://schemas.microsoft.com/office/drawing/2014/chart" uri="{C3380CC4-5D6E-409C-BE32-E72D297353CC}">
              <c16:uniqueId val="{00000005-89C5-4030-88AA-F54C2C355344}"/>
            </c:ext>
          </c:extLst>
        </c:ser>
        <c:ser>
          <c:idx val="6"/>
          <c:order val="6"/>
          <c:tx>
            <c:strRef>
              <c:f>'Feuil11 (4)'!$B$17</c:f>
              <c:strCache>
                <c:ptCount val="1"/>
                <c:pt idx="0">
                  <c:v>NF3 </c:v>
                </c:pt>
              </c:strCache>
            </c:strRef>
          </c:tx>
          <c:spPr>
            <a:ln w="19050" cap="rnd">
              <a:solidFill>
                <a:schemeClr val="accent1">
                  <a:lumMod val="60000"/>
                </a:schemeClr>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(4)'!$C$17:$I$17</c:f>
              <c:numCache>
                <c:formatCode>General</c:formatCode>
                <c:ptCount val="7"/>
                <c:pt idx="0">
                  <c:v>16</c:v>
                </c:pt>
                <c:pt idx="1">
                  <c:v>6</c:v>
                </c:pt>
                <c:pt idx="2">
                  <c:v>20</c:v>
                </c:pt>
                <c:pt idx="3">
                  <c:v>31</c:v>
                </c:pt>
                <c:pt idx="4">
                  <c:v>32</c:v>
                </c:pt>
                <c:pt idx="5">
                  <c:v>6</c:v>
                </c:pt>
                <c:pt idx="6">
                  <c:v>10</c:v>
                </c:pt>
              </c:numCache>
            </c:numRef>
          </c:yVal>
          <c:smooth val="1"/>
          <c:extLst>
            <c:ext xmlns:c16="http://schemas.microsoft.com/office/drawing/2014/chart" uri="{C3380CC4-5D6E-409C-BE32-E72D297353CC}">
              <c16:uniqueId val="{00000006-89C5-4030-88AA-F54C2C355344}"/>
            </c:ext>
          </c:extLst>
        </c:ser>
        <c:ser>
          <c:idx val="7"/>
          <c:order val="7"/>
          <c:tx>
            <c:strRef>
              <c:f>'Feuil11 (4)'!$B$6</c:f>
              <c:strCache>
                <c:ptCount val="1"/>
                <c:pt idx="0">
                  <c:v>CO2 including LULUCF (projections)</c:v>
                </c:pt>
              </c:strCache>
            </c:strRef>
          </c:tx>
          <c:spPr>
            <a:ln w="19050" cap="rnd">
              <a:solidFill>
                <a:schemeClr val="accent1"/>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(4)'!$I$6:$N$6</c:f>
              <c:numCache>
                <c:formatCode>General</c:formatCode>
                <c:ptCount val="6"/>
                <c:pt idx="0">
                  <c:v>310432</c:v>
                </c:pt>
                <c:pt idx="1">
                  <c:v>282686</c:v>
                </c:pt>
                <c:pt idx="2">
                  <c:v>231263</c:v>
                </c:pt>
                <c:pt idx="3">
                  <c:v>176617</c:v>
                </c:pt>
                <c:pt idx="4">
                  <c:v>117863</c:v>
                </c:pt>
                <c:pt idx="5">
                  <c:v>-64813</c:v>
                </c:pt>
              </c:numCache>
            </c:numRef>
          </c:yVal>
          <c:smooth val="1"/>
          <c:extLst>
            <c:ext xmlns:c16="http://schemas.microsoft.com/office/drawing/2014/chart" uri="{C3380CC4-5D6E-409C-BE32-E72D297353CC}">
              <c16:uniqueId val="{00000007-89C5-4030-88AA-F54C2C355344}"/>
            </c:ext>
          </c:extLst>
        </c:ser>
        <c:ser>
          <c:idx val="8"/>
          <c:order val="8"/>
          <c:tx>
            <c:strRef>
              <c:f>'Feuil11 (4)'!$B$8</c:f>
              <c:strCache>
                <c:ptCount val="1"/>
                <c:pt idx="0">
                  <c:v>CH4 including LULUCF (projections)</c:v>
                </c:pt>
              </c:strCache>
            </c:strRef>
          </c:tx>
          <c:spPr>
            <a:ln w="19050" cap="rnd">
              <a:solidFill>
                <a:schemeClr val="tx2"/>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(4)'!$I$8:$N$8</c:f>
              <c:numCache>
                <c:formatCode>General</c:formatCode>
                <c:ptCount val="6"/>
                <c:pt idx="0">
                  <c:v>56877</c:v>
                </c:pt>
                <c:pt idx="1">
                  <c:v>53671</c:v>
                </c:pt>
                <c:pt idx="2">
                  <c:v>49093</c:v>
                </c:pt>
                <c:pt idx="3">
                  <c:v>45641</c:v>
                </c:pt>
                <c:pt idx="4">
                  <c:v>42610</c:v>
                </c:pt>
                <c:pt idx="5">
                  <c:v>33519</c:v>
                </c:pt>
              </c:numCache>
            </c:numRef>
          </c:yVal>
          <c:smooth val="1"/>
          <c:extLst>
            <c:ext xmlns:c16="http://schemas.microsoft.com/office/drawing/2014/chart" uri="{C3380CC4-5D6E-409C-BE32-E72D297353CC}">
              <c16:uniqueId val="{00000008-89C5-4030-88AA-F54C2C355344}"/>
            </c:ext>
          </c:extLst>
        </c:ser>
        <c:ser>
          <c:idx val="9"/>
          <c:order val="9"/>
          <c:tx>
            <c:strRef>
              <c:f>'Feuil11 (4)'!$B$10</c:f>
              <c:strCache>
                <c:ptCount val="1"/>
                <c:pt idx="0">
                  <c:v>N2O including LULUCF (projections)</c:v>
                </c:pt>
              </c:strCache>
            </c:strRef>
          </c:tx>
          <c:spPr>
            <a:ln w="19050" cap="rnd">
              <a:solidFill>
                <a:schemeClr val="accent3"/>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(4)'!$I$10:$N$10</c:f>
              <c:numCache>
                <c:formatCode>General</c:formatCode>
                <c:ptCount val="6"/>
                <c:pt idx="0">
                  <c:v>40939</c:v>
                </c:pt>
                <c:pt idx="1">
                  <c:v>43352</c:v>
                </c:pt>
                <c:pt idx="2">
                  <c:v>40778</c:v>
                </c:pt>
                <c:pt idx="3">
                  <c:v>38641</c:v>
                </c:pt>
                <c:pt idx="4">
                  <c:v>36797</c:v>
                </c:pt>
                <c:pt idx="5">
                  <c:v>25914</c:v>
                </c:pt>
              </c:numCache>
            </c:numRef>
          </c:yVal>
          <c:smooth val="1"/>
          <c:extLst>
            <c:ext xmlns:c16="http://schemas.microsoft.com/office/drawing/2014/chart" uri="{C3380CC4-5D6E-409C-BE32-E72D297353CC}">
              <c16:uniqueId val="{00000009-89C5-4030-88AA-F54C2C355344}"/>
            </c:ext>
          </c:extLst>
        </c:ser>
        <c:ser>
          <c:idx val="10"/>
          <c:order val="10"/>
          <c:tx>
            <c:strRef>
              <c:f>'Feuil11 (4)'!$B$12</c:f>
              <c:strCache>
                <c:ptCount val="1"/>
                <c:pt idx="0">
                  <c:v>HFCs (projections)</c:v>
                </c:pt>
              </c:strCache>
            </c:strRef>
          </c:tx>
          <c:spPr>
            <a:ln w="19050" cap="rnd">
              <a:solidFill>
                <a:schemeClr val="accent4"/>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(4)'!$I$12:$N$12</c:f>
              <c:numCache>
                <c:formatCode>General</c:formatCode>
                <c:ptCount val="6"/>
                <c:pt idx="0">
                  <c:v>12992</c:v>
                </c:pt>
                <c:pt idx="1">
                  <c:v>14731</c:v>
                </c:pt>
                <c:pt idx="2">
                  <c:v>7995</c:v>
                </c:pt>
                <c:pt idx="3">
                  <c:v>5241</c:v>
                </c:pt>
                <c:pt idx="4">
                  <c:v>4458</c:v>
                </c:pt>
                <c:pt idx="5">
                  <c:v>2109</c:v>
                </c:pt>
              </c:numCache>
            </c:numRef>
          </c:yVal>
          <c:smooth val="1"/>
          <c:extLst>
            <c:ext xmlns:c16="http://schemas.microsoft.com/office/drawing/2014/chart" uri="{C3380CC4-5D6E-409C-BE32-E72D297353CC}">
              <c16:uniqueId val="{0000000A-89C5-4030-88AA-F54C2C355344}"/>
            </c:ext>
          </c:extLst>
        </c:ser>
        <c:ser>
          <c:idx val="11"/>
          <c:order val="11"/>
          <c:tx>
            <c:strRef>
              <c:f>'Feuil11 (4)'!$B$14</c:f>
              <c:strCache>
                <c:ptCount val="1"/>
                <c:pt idx="0">
                  <c:v>PFCs (projections)</c:v>
                </c:pt>
              </c:strCache>
            </c:strRef>
          </c:tx>
          <c:spPr>
            <a:ln w="19050" cap="rnd">
              <a:solidFill>
                <a:schemeClr val="accent6"/>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(4)'!$I$14:$N$14</c:f>
              <c:numCache>
                <c:formatCode>General</c:formatCode>
                <c:ptCount val="6"/>
                <c:pt idx="0">
                  <c:v>615</c:v>
                </c:pt>
                <c:pt idx="1">
                  <c:v>479</c:v>
                </c:pt>
                <c:pt idx="2">
                  <c:v>395</c:v>
                </c:pt>
                <c:pt idx="3">
                  <c:v>330</c:v>
                </c:pt>
                <c:pt idx="4">
                  <c:v>299</c:v>
                </c:pt>
                <c:pt idx="5">
                  <c:v>205</c:v>
                </c:pt>
              </c:numCache>
            </c:numRef>
          </c:yVal>
          <c:smooth val="1"/>
          <c:extLst>
            <c:ext xmlns:c16="http://schemas.microsoft.com/office/drawing/2014/chart" uri="{C3380CC4-5D6E-409C-BE32-E72D297353CC}">
              <c16:uniqueId val="{0000000B-89C5-4030-88AA-F54C2C355344}"/>
            </c:ext>
          </c:extLst>
        </c:ser>
        <c:ser>
          <c:idx val="12"/>
          <c:order val="12"/>
          <c:tx>
            <c:strRef>
              <c:f>'Feuil11 (4)'!$B$16</c:f>
              <c:strCache>
                <c:ptCount val="1"/>
                <c:pt idx="0">
                  <c:v>SF6 (projections)</c:v>
                </c:pt>
              </c:strCache>
            </c:strRef>
          </c:tx>
          <c:spPr>
            <a:ln w="19050" cap="rnd">
              <a:solidFill>
                <a:schemeClr val="accent6">
                  <a:lumMod val="75000"/>
                </a:schemeClr>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(4)'!$I$16:$N$16</c:f>
              <c:numCache>
                <c:formatCode>General</c:formatCode>
                <c:ptCount val="6"/>
                <c:pt idx="0">
                  <c:v>385</c:v>
                </c:pt>
                <c:pt idx="1">
                  <c:v>458</c:v>
                </c:pt>
                <c:pt idx="2">
                  <c:v>459</c:v>
                </c:pt>
                <c:pt idx="3">
                  <c:v>460</c:v>
                </c:pt>
                <c:pt idx="4">
                  <c:v>460</c:v>
                </c:pt>
                <c:pt idx="5">
                  <c:v>463</c:v>
                </c:pt>
              </c:numCache>
            </c:numRef>
          </c:yVal>
          <c:smooth val="1"/>
          <c:extLst>
            <c:ext xmlns:c16="http://schemas.microsoft.com/office/drawing/2014/chart" uri="{C3380CC4-5D6E-409C-BE32-E72D297353CC}">
              <c16:uniqueId val="{0000000C-89C5-4030-88AA-F54C2C355344}"/>
            </c:ext>
          </c:extLst>
        </c:ser>
        <c:ser>
          <c:idx val="13"/>
          <c:order val="13"/>
          <c:tx>
            <c:strRef>
              <c:f>'Feuil11 (4)'!$B$18</c:f>
              <c:strCache>
                <c:ptCount val="1"/>
                <c:pt idx="0">
                  <c:v>NF3 (projections)</c:v>
                </c:pt>
              </c:strCache>
            </c:strRef>
          </c:tx>
          <c:spPr>
            <a:ln w="19050" cap="rnd">
              <a:solidFill>
                <a:schemeClr val="accent1">
                  <a:lumMod val="90000"/>
                  <a:lumOff val="10000"/>
                </a:schemeClr>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(4)'!$I$18:$N$18</c:f>
              <c:numCache>
                <c:formatCode>General</c:formatCode>
                <c:ptCount val="6"/>
                <c:pt idx="0">
                  <c:v>10</c:v>
                </c:pt>
                <c:pt idx="1">
                  <c:v>6</c:v>
                </c:pt>
                <c:pt idx="2">
                  <c:v>6</c:v>
                </c:pt>
                <c:pt idx="3">
                  <c:v>6</c:v>
                </c:pt>
                <c:pt idx="4">
                  <c:v>6</c:v>
                </c:pt>
                <c:pt idx="5">
                  <c:v>6</c:v>
                </c:pt>
              </c:numCache>
            </c:numRef>
          </c:yVal>
          <c:smooth val="1"/>
          <c:extLst>
            <c:ext xmlns:c16="http://schemas.microsoft.com/office/drawing/2014/chart" uri="{C3380CC4-5D6E-409C-BE32-E72D297353CC}">
              <c16:uniqueId val="{0000000D-89C5-4030-88AA-F54C2C355344}"/>
            </c:ext>
          </c:extLst>
        </c:ser>
        <c:dLbls>
          <c:showLegendKey val="0"/>
          <c:showVal val="0"/>
          <c:showCatName val="0"/>
          <c:showSerName val="0"/>
          <c:showPercent val="0"/>
          <c:showBubbleSize val="0"/>
        </c:dLbls>
        <c:axId val="563831263"/>
        <c:axId val="563830015"/>
      </c:scatterChart>
      <c:valAx>
        <c:axId val="5638312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a:t>
            </a:r>
            <a:r>
              <a:rPr lang="fr-FR" baseline="0"/>
              <a:t> des émissions au périmètre "Kyoto"</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Energie</c:v>
          </c:tx>
          <c:spPr>
            <a:solidFill>
              <a:schemeClr val="accent1"/>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KP'!$C$9:$AG$9</c:f>
              <c:numCache>
                <c:formatCode>#,##0.00</c:formatCode>
                <c:ptCount val="31"/>
                <c:pt idx="0">
                  <c:v>367271.5310938991</c:v>
                </c:pt>
                <c:pt idx="1">
                  <c:v>394533.18354350975</c:v>
                </c:pt>
                <c:pt idx="2">
                  <c:v>385160.48853970726</c:v>
                </c:pt>
                <c:pt idx="3">
                  <c:v>367776.21827908116</c:v>
                </c:pt>
                <c:pt idx="4">
                  <c:v>360506.13199585147</c:v>
                </c:pt>
                <c:pt idx="5">
                  <c:v>366078.71257929679</c:v>
                </c:pt>
                <c:pt idx="6">
                  <c:v>381561.06908105419</c:v>
                </c:pt>
                <c:pt idx="7">
                  <c:v>372313.05137010716</c:v>
                </c:pt>
                <c:pt idx="8">
                  <c:v>391873.18111203978</c:v>
                </c:pt>
                <c:pt idx="9">
                  <c:v>389117.71564486262</c:v>
                </c:pt>
                <c:pt idx="10">
                  <c:v>381989.36593502422</c:v>
                </c:pt>
                <c:pt idx="11">
                  <c:v>388404.26976978575</c:v>
                </c:pt>
                <c:pt idx="12">
                  <c:v>383201.83763850544</c:v>
                </c:pt>
                <c:pt idx="13">
                  <c:v>389162.95711500751</c:v>
                </c:pt>
                <c:pt idx="14">
                  <c:v>388427.57576236868</c:v>
                </c:pt>
                <c:pt idx="15">
                  <c:v>390391.25643569452</c:v>
                </c:pt>
                <c:pt idx="16">
                  <c:v>378610.66165124811</c:v>
                </c:pt>
                <c:pt idx="17">
                  <c:v>367851.47907145665</c:v>
                </c:pt>
                <c:pt idx="18">
                  <c:v>366207.13652993954</c:v>
                </c:pt>
                <c:pt idx="19">
                  <c:v>355582.33881583513</c:v>
                </c:pt>
                <c:pt idx="20">
                  <c:v>357710.89288884855</c:v>
                </c:pt>
                <c:pt idx="21">
                  <c:v>335266.81229169434</c:v>
                </c:pt>
                <c:pt idx="22">
                  <c:v>339614.88204197236</c:v>
                </c:pt>
                <c:pt idx="23">
                  <c:v>339477.61535135843</c:v>
                </c:pt>
                <c:pt idx="24">
                  <c:v>307240.29714220279</c:v>
                </c:pt>
                <c:pt idx="25">
                  <c:v>313634.1730531418</c:v>
                </c:pt>
                <c:pt idx="26">
                  <c:v>316599.30984826753</c:v>
                </c:pt>
                <c:pt idx="27">
                  <c:v>317967.49486411543</c:v>
                </c:pt>
                <c:pt idx="28">
                  <c:v>303117.06760390179</c:v>
                </c:pt>
                <c:pt idx="29">
                  <c:v>297313.21135180577</c:v>
                </c:pt>
                <c:pt idx="30">
                  <c:v>264729.61405415577</c:v>
                </c:pt>
              </c:numCache>
            </c:numRef>
          </c:val>
          <c:extLst>
            <c:ext xmlns:c16="http://schemas.microsoft.com/office/drawing/2014/chart" uri="{C3380CC4-5D6E-409C-BE32-E72D297353CC}">
              <c16:uniqueId val="{00000000-38DE-43C6-8432-15193931B429}"/>
            </c:ext>
          </c:extLst>
        </c:ser>
        <c:ser>
          <c:idx val="1"/>
          <c:order val="1"/>
          <c:tx>
            <c:v>Procédés industriels</c:v>
          </c:tx>
          <c:spPr>
            <a:solidFill>
              <a:schemeClr val="accent2"/>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KP'!$C$20:$AG$20</c:f>
              <c:numCache>
                <c:formatCode>#,##0.00</c:formatCode>
                <c:ptCount val="31"/>
                <c:pt idx="0">
                  <c:v>78728.795632780049</c:v>
                </c:pt>
                <c:pt idx="1">
                  <c:v>78117.082112352611</c:v>
                </c:pt>
                <c:pt idx="2">
                  <c:v>75934.733276053215</c:v>
                </c:pt>
                <c:pt idx="3">
                  <c:v>73386.063918922955</c:v>
                </c:pt>
                <c:pt idx="4">
                  <c:v>73285.101335978805</c:v>
                </c:pt>
                <c:pt idx="5">
                  <c:v>71997.344837922123</c:v>
                </c:pt>
                <c:pt idx="6">
                  <c:v>73026.160559261669</c:v>
                </c:pt>
                <c:pt idx="7">
                  <c:v>74401.403195742561</c:v>
                </c:pt>
                <c:pt idx="8">
                  <c:v>68993.567666397517</c:v>
                </c:pt>
                <c:pt idx="9">
                  <c:v>65608.704446735646</c:v>
                </c:pt>
                <c:pt idx="10">
                  <c:v>64667.547521814617</c:v>
                </c:pt>
                <c:pt idx="11">
                  <c:v>63751.840304823141</c:v>
                </c:pt>
                <c:pt idx="12">
                  <c:v>64547.903919629622</c:v>
                </c:pt>
                <c:pt idx="13">
                  <c:v>64180.288423730613</c:v>
                </c:pt>
                <c:pt idx="14">
                  <c:v>63725.620341731061</c:v>
                </c:pt>
                <c:pt idx="15">
                  <c:v>63619.984063057695</c:v>
                </c:pt>
                <c:pt idx="16">
                  <c:v>65257.955366884016</c:v>
                </c:pt>
                <c:pt idx="17">
                  <c:v>65954.98122668259</c:v>
                </c:pt>
                <c:pt idx="18">
                  <c:v>61336.680124201768</c:v>
                </c:pt>
                <c:pt idx="19">
                  <c:v>50819.842647969599</c:v>
                </c:pt>
                <c:pt idx="20">
                  <c:v>53798.09416067096</c:v>
                </c:pt>
                <c:pt idx="21">
                  <c:v>53201.261657636314</c:v>
                </c:pt>
                <c:pt idx="22">
                  <c:v>51105.720255396045</c:v>
                </c:pt>
                <c:pt idx="23">
                  <c:v>52655.980522390222</c:v>
                </c:pt>
                <c:pt idx="24">
                  <c:v>52291.136909828288</c:v>
                </c:pt>
                <c:pt idx="25">
                  <c:v>50664.463823308848</c:v>
                </c:pt>
                <c:pt idx="26">
                  <c:v>50434.965687881042</c:v>
                </c:pt>
                <c:pt idx="27">
                  <c:v>51927.982212496543</c:v>
                </c:pt>
                <c:pt idx="28">
                  <c:v>49059.03588751403</c:v>
                </c:pt>
                <c:pt idx="29">
                  <c:v>46563.635067714313</c:v>
                </c:pt>
                <c:pt idx="30">
                  <c:v>40188.671176334523</c:v>
                </c:pt>
              </c:numCache>
            </c:numRef>
          </c:val>
          <c:extLst>
            <c:ext xmlns:c16="http://schemas.microsoft.com/office/drawing/2014/chart" uri="{C3380CC4-5D6E-409C-BE32-E72D297353CC}">
              <c16:uniqueId val="{00000001-38DE-43C6-8432-15193931B429}"/>
            </c:ext>
          </c:extLst>
        </c:ser>
        <c:ser>
          <c:idx val="2"/>
          <c:order val="2"/>
          <c:tx>
            <c:v>Agriculture</c:v>
          </c:tx>
          <c:spPr>
            <a:solidFill>
              <a:srgbClr val="92D050"/>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KP'!$C$29:$AG$29</c:f>
              <c:numCache>
                <c:formatCode>#,##0.00</c:formatCode>
                <c:ptCount val="31"/>
                <c:pt idx="0">
                  <c:v>80802.953265215052</c:v>
                </c:pt>
                <c:pt idx="1">
                  <c:v>80374.631663473687</c:v>
                </c:pt>
                <c:pt idx="2">
                  <c:v>78942.774926313476</c:v>
                </c:pt>
                <c:pt idx="3">
                  <c:v>77947.278540644184</c:v>
                </c:pt>
                <c:pt idx="4">
                  <c:v>77554.064390828513</c:v>
                </c:pt>
                <c:pt idx="5">
                  <c:v>78281.181982325899</c:v>
                </c:pt>
                <c:pt idx="6">
                  <c:v>78712.994220438108</c:v>
                </c:pt>
                <c:pt idx="7">
                  <c:v>79039.321783564665</c:v>
                </c:pt>
                <c:pt idx="8">
                  <c:v>78985.606886978945</c:v>
                </c:pt>
                <c:pt idx="9">
                  <c:v>79443.121246241819</c:v>
                </c:pt>
                <c:pt idx="10">
                  <c:v>81291.756115092649</c:v>
                </c:pt>
                <c:pt idx="11">
                  <c:v>80805.040563287694</c:v>
                </c:pt>
                <c:pt idx="12">
                  <c:v>79441.263105378646</c:v>
                </c:pt>
                <c:pt idx="13">
                  <c:v>76751.703879356137</c:v>
                </c:pt>
                <c:pt idx="14">
                  <c:v>77065.843058929211</c:v>
                </c:pt>
                <c:pt idx="15">
                  <c:v>76018.263994655077</c:v>
                </c:pt>
                <c:pt idx="16">
                  <c:v>75650.489444385908</c:v>
                </c:pt>
                <c:pt idx="17">
                  <c:v>76521.580076952247</c:v>
                </c:pt>
                <c:pt idx="18">
                  <c:v>77250.383396552847</c:v>
                </c:pt>
                <c:pt idx="19">
                  <c:v>76387.936241333111</c:v>
                </c:pt>
                <c:pt idx="20">
                  <c:v>75203.043708588841</c:v>
                </c:pt>
                <c:pt idx="21">
                  <c:v>74482.220035613544</c:v>
                </c:pt>
                <c:pt idx="22">
                  <c:v>74420.303116562543</c:v>
                </c:pt>
                <c:pt idx="23">
                  <c:v>73954.163572029167</c:v>
                </c:pt>
                <c:pt idx="24">
                  <c:v>75908.882633976507</c:v>
                </c:pt>
                <c:pt idx="25">
                  <c:v>75719.975553043376</c:v>
                </c:pt>
                <c:pt idx="26">
                  <c:v>74487.916075259724</c:v>
                </c:pt>
                <c:pt idx="27">
                  <c:v>74835.73657154903</c:v>
                </c:pt>
                <c:pt idx="28">
                  <c:v>73549.476120628548</c:v>
                </c:pt>
                <c:pt idx="29">
                  <c:v>72497.687321744728</c:v>
                </c:pt>
                <c:pt idx="30">
                  <c:v>70386.146800510964</c:v>
                </c:pt>
              </c:numCache>
            </c:numRef>
          </c:val>
          <c:extLst>
            <c:ext xmlns:c16="http://schemas.microsoft.com/office/drawing/2014/chart" uri="{C3380CC4-5D6E-409C-BE32-E72D297353CC}">
              <c16:uniqueId val="{00000002-38DE-43C6-8432-15193931B429}"/>
            </c:ext>
          </c:extLst>
        </c:ser>
        <c:ser>
          <c:idx val="3"/>
          <c:order val="3"/>
          <c:tx>
            <c:v>UTCATF</c:v>
          </c:tx>
          <c:spPr>
            <a:solidFill>
              <a:schemeClr val="accent3">
                <a:lumMod val="75000"/>
              </a:schemeClr>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KP'!$C$40:$AG$40</c:f>
              <c:numCache>
                <c:formatCode>#,##0.00</c:formatCode>
                <c:ptCount val="31"/>
                <c:pt idx="0">
                  <c:v>-23986.190044063049</c:v>
                </c:pt>
                <c:pt idx="1">
                  <c:v>-24071.181144565588</c:v>
                </c:pt>
                <c:pt idx="2">
                  <c:v>-21933.213805869753</c:v>
                </c:pt>
                <c:pt idx="3">
                  <c:v>-24996.386105425881</c:v>
                </c:pt>
                <c:pt idx="4">
                  <c:v>-22537.161548473268</c:v>
                </c:pt>
                <c:pt idx="5">
                  <c:v>-24879.274306605388</c:v>
                </c:pt>
                <c:pt idx="6">
                  <c:v>-31267.071292427663</c:v>
                </c:pt>
                <c:pt idx="7">
                  <c:v>-31529.24077062061</c:v>
                </c:pt>
                <c:pt idx="8">
                  <c:v>-33439.549497900844</c:v>
                </c:pt>
                <c:pt idx="9">
                  <c:v>-36731.880206375681</c:v>
                </c:pt>
                <c:pt idx="10">
                  <c:v>-19709.21860242663</c:v>
                </c:pt>
                <c:pt idx="11">
                  <c:v>-31656.774084809906</c:v>
                </c:pt>
                <c:pt idx="12">
                  <c:v>-40527.332217248797</c:v>
                </c:pt>
                <c:pt idx="13">
                  <c:v>-43386.732092332226</c:v>
                </c:pt>
                <c:pt idx="14">
                  <c:v>-46630.143311768195</c:v>
                </c:pt>
                <c:pt idx="15">
                  <c:v>-47311.183942958116</c:v>
                </c:pt>
                <c:pt idx="16">
                  <c:v>-49000.555290663986</c:v>
                </c:pt>
                <c:pt idx="17">
                  <c:v>-48361.692797660296</c:v>
                </c:pt>
                <c:pt idx="18">
                  <c:v>-48153.35212232871</c:v>
                </c:pt>
                <c:pt idx="19">
                  <c:v>-37607.627698198827</c:v>
                </c:pt>
                <c:pt idx="20">
                  <c:v>-38355.036077551595</c:v>
                </c:pt>
                <c:pt idx="21">
                  <c:v>-38457.382988349709</c:v>
                </c:pt>
                <c:pt idx="22">
                  <c:v>-40993.966448920772</c:v>
                </c:pt>
                <c:pt idx="23">
                  <c:v>-44590.905861918814</c:v>
                </c:pt>
                <c:pt idx="24">
                  <c:v>-38414.379418075041</c:v>
                </c:pt>
                <c:pt idx="25">
                  <c:v>-34577.330205463353</c:v>
                </c:pt>
                <c:pt idx="26">
                  <c:v>-25565.058119995952</c:v>
                </c:pt>
                <c:pt idx="27">
                  <c:v>-16742.818933044291</c:v>
                </c:pt>
                <c:pt idx="28">
                  <c:v>-14091.453046693301</c:v>
                </c:pt>
                <c:pt idx="29">
                  <c:v>-12288.159304805687</c:v>
                </c:pt>
                <c:pt idx="30">
                  <c:v>-14005.484118695638</c:v>
                </c:pt>
              </c:numCache>
            </c:numRef>
          </c:val>
          <c:extLst>
            <c:ext xmlns:c16="http://schemas.microsoft.com/office/drawing/2014/chart" uri="{C3380CC4-5D6E-409C-BE32-E72D297353CC}">
              <c16:uniqueId val="{00000003-38DE-43C6-8432-15193931B429}"/>
            </c:ext>
          </c:extLst>
        </c:ser>
        <c:ser>
          <c:idx val="4"/>
          <c:order val="4"/>
          <c:tx>
            <c:v>Déchets</c:v>
          </c:tx>
          <c:spPr>
            <a:solidFill>
              <a:srgbClr val="7030A0"/>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KP'!$C$49:$AG$49</c:f>
              <c:numCache>
                <c:formatCode>#,##0.00</c:formatCode>
                <c:ptCount val="31"/>
                <c:pt idx="0">
                  <c:v>17283.125057216876</c:v>
                </c:pt>
                <c:pt idx="1">
                  <c:v>17937.130702647679</c:v>
                </c:pt>
                <c:pt idx="2">
                  <c:v>18723.484647948702</c:v>
                </c:pt>
                <c:pt idx="3">
                  <c:v>19497.445853727058</c:v>
                </c:pt>
                <c:pt idx="4">
                  <c:v>19880.612522029372</c:v>
                </c:pt>
                <c:pt idx="5">
                  <c:v>20118.294304103845</c:v>
                </c:pt>
                <c:pt idx="6">
                  <c:v>20185.71973235334</c:v>
                </c:pt>
                <c:pt idx="7">
                  <c:v>20168.89415527281</c:v>
                </c:pt>
                <c:pt idx="8">
                  <c:v>20533.79477241114</c:v>
                </c:pt>
                <c:pt idx="9">
                  <c:v>20697.578603753052</c:v>
                </c:pt>
                <c:pt idx="10">
                  <c:v>21056.496402542416</c:v>
                </c:pt>
                <c:pt idx="11">
                  <c:v>21231.981139594991</c:v>
                </c:pt>
                <c:pt idx="12">
                  <c:v>21418.737319775712</c:v>
                </c:pt>
                <c:pt idx="13">
                  <c:v>21551.213744065746</c:v>
                </c:pt>
                <c:pt idx="14">
                  <c:v>21401.63511450939</c:v>
                </c:pt>
                <c:pt idx="15">
                  <c:v>21361.620738096681</c:v>
                </c:pt>
                <c:pt idx="16">
                  <c:v>21388.705025966978</c:v>
                </c:pt>
                <c:pt idx="17">
                  <c:v>21245.93458832736</c:v>
                </c:pt>
                <c:pt idx="18">
                  <c:v>21266.451616564762</c:v>
                </c:pt>
                <c:pt idx="19">
                  <c:v>20644.907140854502</c:v>
                </c:pt>
                <c:pt idx="20">
                  <c:v>20755.979894966877</c:v>
                </c:pt>
                <c:pt idx="21">
                  <c:v>20313.527129292255</c:v>
                </c:pt>
                <c:pt idx="22">
                  <c:v>19624.990855547007</c:v>
                </c:pt>
                <c:pt idx="23">
                  <c:v>19517.570885085854</c:v>
                </c:pt>
                <c:pt idx="24">
                  <c:v>19173.362753388061</c:v>
                </c:pt>
                <c:pt idx="25">
                  <c:v>17905.133284236312</c:v>
                </c:pt>
                <c:pt idx="26">
                  <c:v>17806.66695624742</c:v>
                </c:pt>
                <c:pt idx="27">
                  <c:v>17860.003126442934</c:v>
                </c:pt>
                <c:pt idx="28">
                  <c:v>17595.780202266556</c:v>
                </c:pt>
                <c:pt idx="29">
                  <c:v>18165.239778035582</c:v>
                </c:pt>
                <c:pt idx="30">
                  <c:v>17658.136144495693</c:v>
                </c:pt>
              </c:numCache>
            </c:numRef>
          </c:val>
          <c:extLst>
            <c:ext xmlns:c16="http://schemas.microsoft.com/office/drawing/2014/chart" uri="{C3380CC4-5D6E-409C-BE32-E72D297353CC}">
              <c16:uniqueId val="{00000004-38DE-43C6-8432-15193931B429}"/>
            </c:ext>
          </c:extLst>
        </c:ser>
        <c:dLbls>
          <c:showLegendKey val="0"/>
          <c:showVal val="0"/>
          <c:showCatName val="0"/>
          <c:showSerName val="0"/>
          <c:showPercent val="0"/>
          <c:showBubbleSize val="0"/>
        </c:dLbls>
        <c:gapWidth val="150"/>
        <c:overlap val="100"/>
        <c:axId val="9128495"/>
        <c:axId val="9139727"/>
      </c:barChart>
      <c:catAx>
        <c:axId val="912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9727"/>
        <c:crossesAt val="-30000"/>
        <c:auto val="1"/>
        <c:lblAlgn val="ctr"/>
        <c:lblOffset val="100"/>
        <c:noMultiLvlLbl val="0"/>
      </c:catAx>
      <c:valAx>
        <c:axId val="9139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ktCO2e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AME21</a:t>
            </a:r>
            <a:r>
              <a:rPr lang="fr-FR" baseline="0"/>
              <a:t> hors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1950802661295"/>
          <c:y val="0.17155110819480898"/>
          <c:w val="0.86383553073307695"/>
          <c:h val="0.50301326917468647"/>
        </c:manualLayout>
      </c:layout>
      <c:scatterChart>
        <c:scatterStyle val="lineMarker"/>
        <c:varyColors val="0"/>
        <c:ser>
          <c:idx val="0"/>
          <c:order val="0"/>
          <c:tx>
            <c:strRef>
              <c:f>Feuil11!$B$5</c:f>
              <c:strCache>
                <c:ptCount val="1"/>
                <c:pt idx="0">
                  <c:v>CO2 excluding LULUCF </c:v>
                </c:pt>
              </c:strCache>
            </c:strRef>
          </c:tx>
          <c:spPr>
            <a:ln w="19050" cap="rnd">
              <a:solidFill>
                <a:schemeClr val="accent1"/>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Feuil11!$C$5:$I$5</c:f>
              <c:numCache>
                <c:formatCode>General</c:formatCode>
                <c:ptCount val="7"/>
                <c:pt idx="0">
                  <c:v>398425</c:v>
                </c:pt>
                <c:pt idx="1">
                  <c:v>392916</c:v>
                </c:pt>
                <c:pt idx="2">
                  <c:v>414788</c:v>
                </c:pt>
                <c:pt idx="3">
                  <c:v>425444</c:v>
                </c:pt>
                <c:pt idx="4">
                  <c:v>386872</c:v>
                </c:pt>
                <c:pt idx="5">
                  <c:v>341631</c:v>
                </c:pt>
                <c:pt idx="6">
                  <c:v>326725</c:v>
                </c:pt>
              </c:numCache>
            </c:numRef>
          </c:yVal>
          <c:smooth val="0"/>
          <c:extLst>
            <c:ext xmlns:c16="http://schemas.microsoft.com/office/drawing/2014/chart" uri="{C3380CC4-5D6E-409C-BE32-E72D297353CC}">
              <c16:uniqueId val="{00000000-B6CE-41B1-850E-5B54FB866DBE}"/>
            </c:ext>
          </c:extLst>
        </c:ser>
        <c:ser>
          <c:idx val="1"/>
          <c:order val="1"/>
          <c:tx>
            <c:strRef>
              <c:f>Feuil11!$B$7</c:f>
              <c:strCache>
                <c:ptCount val="1"/>
                <c:pt idx="0">
                  <c:v>CH4 excluding LULUCF </c:v>
                </c:pt>
              </c:strCache>
            </c:strRef>
          </c:tx>
          <c:spPr>
            <a:ln w="19050" cap="rnd">
              <a:solidFill>
                <a:schemeClr val="accent2"/>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Feuil11!$C$7:$I$7</c:f>
              <c:numCache>
                <c:formatCode>General</c:formatCode>
                <c:ptCount val="7"/>
                <c:pt idx="0">
                  <c:v>69161</c:v>
                </c:pt>
                <c:pt idx="1">
                  <c:v>70383</c:v>
                </c:pt>
                <c:pt idx="2">
                  <c:v>68603</c:v>
                </c:pt>
                <c:pt idx="3">
                  <c:v>63632</c:v>
                </c:pt>
                <c:pt idx="4">
                  <c:v>61663</c:v>
                </c:pt>
                <c:pt idx="5">
                  <c:v>57862</c:v>
                </c:pt>
                <c:pt idx="6">
                  <c:v>55740</c:v>
                </c:pt>
              </c:numCache>
            </c:numRef>
          </c:yVal>
          <c:smooth val="0"/>
          <c:extLst>
            <c:ext xmlns:c16="http://schemas.microsoft.com/office/drawing/2014/chart" uri="{C3380CC4-5D6E-409C-BE32-E72D297353CC}">
              <c16:uniqueId val="{00000001-B6CE-41B1-850E-5B54FB866DBE}"/>
            </c:ext>
          </c:extLst>
        </c:ser>
        <c:ser>
          <c:idx val="2"/>
          <c:order val="2"/>
          <c:tx>
            <c:strRef>
              <c:f>Feuil11!$B$9</c:f>
              <c:strCache>
                <c:ptCount val="1"/>
                <c:pt idx="0">
                  <c:v>N2O excluding LULUCF </c:v>
                </c:pt>
              </c:strCache>
            </c:strRef>
          </c:tx>
          <c:spPr>
            <a:ln w="19050" cap="rnd">
              <a:solidFill>
                <a:schemeClr val="accent3"/>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Feuil11!$C$9:$I$9</c:f>
              <c:numCache>
                <c:formatCode>General</c:formatCode>
                <c:ptCount val="7"/>
                <c:pt idx="0">
                  <c:v>64725</c:v>
                </c:pt>
                <c:pt idx="1">
                  <c:v>65937</c:v>
                </c:pt>
                <c:pt idx="2">
                  <c:v>53681</c:v>
                </c:pt>
                <c:pt idx="3">
                  <c:v>46307</c:v>
                </c:pt>
                <c:pt idx="4">
                  <c:v>40478</c:v>
                </c:pt>
                <c:pt idx="5">
                  <c:v>39895</c:v>
                </c:pt>
                <c:pt idx="6">
                  <c:v>38071</c:v>
                </c:pt>
              </c:numCache>
            </c:numRef>
          </c:yVal>
          <c:smooth val="0"/>
          <c:extLst>
            <c:ext xmlns:c16="http://schemas.microsoft.com/office/drawing/2014/chart" uri="{C3380CC4-5D6E-409C-BE32-E72D297353CC}">
              <c16:uniqueId val="{00000002-B6CE-41B1-850E-5B54FB866DBE}"/>
            </c:ext>
          </c:extLst>
        </c:ser>
        <c:ser>
          <c:idx val="3"/>
          <c:order val="3"/>
          <c:tx>
            <c:strRef>
              <c:f>Feuil11!$B$11</c:f>
              <c:strCache>
                <c:ptCount val="1"/>
                <c:pt idx="0">
                  <c:v>HFCs </c:v>
                </c:pt>
              </c:strCache>
            </c:strRef>
          </c:tx>
          <c:spPr>
            <a:ln w="19050" cap="rnd">
              <a:solidFill>
                <a:schemeClr val="accent4"/>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B6CE-41B1-850E-5B54FB866DBE}"/>
            </c:ext>
          </c:extLst>
        </c:ser>
        <c:ser>
          <c:idx val="4"/>
          <c:order val="4"/>
          <c:tx>
            <c:strRef>
              <c:f>Feuil11!$B$13</c:f>
              <c:strCache>
                <c:ptCount val="1"/>
                <c:pt idx="0">
                  <c:v>PFCs </c:v>
                </c:pt>
              </c:strCache>
            </c:strRef>
          </c:tx>
          <c:spPr>
            <a:ln w="19050" cap="rnd">
              <a:solidFill>
                <a:schemeClr val="accent5"/>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B6CE-41B1-850E-5B54FB866DBE}"/>
            </c:ext>
          </c:extLst>
        </c:ser>
        <c:ser>
          <c:idx val="5"/>
          <c:order val="5"/>
          <c:tx>
            <c:strRef>
              <c:f>Feuil11!$B$15</c:f>
              <c:strCache>
                <c:ptCount val="1"/>
                <c:pt idx="0">
                  <c:v>SF6 </c:v>
                </c:pt>
              </c:strCache>
            </c:strRef>
          </c:tx>
          <c:spPr>
            <a:ln w="19050" cap="rnd">
              <a:solidFill>
                <a:schemeClr val="accent6"/>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B6CE-41B1-850E-5B54FB866DBE}"/>
            </c:ext>
          </c:extLst>
        </c:ser>
        <c:ser>
          <c:idx val="6"/>
          <c:order val="6"/>
          <c:tx>
            <c:strRef>
              <c:f>Feuil11!$B$17</c:f>
              <c:strCache>
                <c:ptCount val="1"/>
                <c:pt idx="0">
                  <c:v>NF3 </c:v>
                </c:pt>
              </c:strCache>
            </c:strRef>
          </c:tx>
          <c:spPr>
            <a:ln w="19050" cap="rnd">
              <a:solidFill>
                <a:schemeClr val="accent1">
                  <a:lumMod val="60000"/>
                </a:schemeClr>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B6CE-41B1-850E-5B54FB866DBE}"/>
            </c:ext>
          </c:extLst>
        </c:ser>
        <c:ser>
          <c:idx val="7"/>
          <c:order val="7"/>
          <c:tx>
            <c:strRef>
              <c:f>Feuil11!$B$6</c:f>
              <c:strCache>
                <c:ptCount val="1"/>
                <c:pt idx="0">
                  <c:v>CO2 excluding LULUCF (projections)</c:v>
                </c:pt>
              </c:strCache>
            </c:strRef>
          </c:tx>
          <c:spPr>
            <a:ln w="19050" cap="rnd">
              <a:solidFill>
                <a:schemeClr val="accent1"/>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Feuil11!$I$6:$N$6</c:f>
              <c:numCache>
                <c:formatCode>General</c:formatCode>
                <c:ptCount val="6"/>
                <c:pt idx="0">
                  <c:v>326725</c:v>
                </c:pt>
                <c:pt idx="1">
                  <c:v>291487</c:v>
                </c:pt>
                <c:pt idx="2">
                  <c:v>292205</c:v>
                </c:pt>
                <c:pt idx="3">
                  <c:v>272039</c:v>
                </c:pt>
                <c:pt idx="4">
                  <c:v>262355</c:v>
                </c:pt>
                <c:pt idx="5">
                  <c:v>241265</c:v>
                </c:pt>
              </c:numCache>
            </c:numRef>
          </c:yVal>
          <c:smooth val="0"/>
          <c:extLst>
            <c:ext xmlns:c16="http://schemas.microsoft.com/office/drawing/2014/chart" uri="{C3380CC4-5D6E-409C-BE32-E72D297353CC}">
              <c16:uniqueId val="{00000007-B6CE-41B1-850E-5B54FB866DBE}"/>
            </c:ext>
          </c:extLst>
        </c:ser>
        <c:ser>
          <c:idx val="8"/>
          <c:order val="8"/>
          <c:tx>
            <c:strRef>
              <c:f>Feuil11!$B$8</c:f>
              <c:strCache>
                <c:ptCount val="1"/>
                <c:pt idx="0">
                  <c:v>CH4 excluding LULUCF (projections)</c:v>
                </c:pt>
              </c:strCache>
            </c:strRef>
          </c:tx>
          <c:spPr>
            <a:ln w="19050" cap="rnd">
              <a:solidFill>
                <a:schemeClr val="accent2"/>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Feuil11!$I$8:$N$8</c:f>
              <c:numCache>
                <c:formatCode>General</c:formatCode>
                <c:ptCount val="6"/>
                <c:pt idx="0">
                  <c:v>55740</c:v>
                </c:pt>
                <c:pt idx="1">
                  <c:v>55161</c:v>
                </c:pt>
                <c:pt idx="2">
                  <c:v>53575</c:v>
                </c:pt>
                <c:pt idx="3">
                  <c:v>52448</c:v>
                </c:pt>
                <c:pt idx="4">
                  <c:v>51718</c:v>
                </c:pt>
                <c:pt idx="5">
                  <c:v>51049</c:v>
                </c:pt>
              </c:numCache>
            </c:numRef>
          </c:yVal>
          <c:smooth val="0"/>
          <c:extLst>
            <c:ext xmlns:c16="http://schemas.microsoft.com/office/drawing/2014/chart" uri="{C3380CC4-5D6E-409C-BE32-E72D297353CC}">
              <c16:uniqueId val="{00000008-B6CE-41B1-850E-5B54FB866DBE}"/>
            </c:ext>
          </c:extLst>
        </c:ser>
        <c:ser>
          <c:idx val="9"/>
          <c:order val="9"/>
          <c:tx>
            <c:strRef>
              <c:f>Feuil11!$B$10</c:f>
              <c:strCache>
                <c:ptCount val="1"/>
                <c:pt idx="0">
                  <c:v>N2O excluding LULUCF (projections)</c:v>
                </c:pt>
              </c:strCache>
            </c:strRef>
          </c:tx>
          <c:spPr>
            <a:ln w="19050" cap="rnd">
              <a:solidFill>
                <a:schemeClr val="accent3"/>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Feuil11!$I$10:$N$10</c:f>
              <c:numCache>
                <c:formatCode>General</c:formatCode>
                <c:ptCount val="6"/>
                <c:pt idx="0">
                  <c:v>38071</c:v>
                </c:pt>
                <c:pt idx="1">
                  <c:v>38446</c:v>
                </c:pt>
                <c:pt idx="2">
                  <c:v>37839</c:v>
                </c:pt>
                <c:pt idx="3">
                  <c:v>36921</c:v>
                </c:pt>
                <c:pt idx="4">
                  <c:v>36417</c:v>
                </c:pt>
                <c:pt idx="5">
                  <c:v>35003</c:v>
                </c:pt>
              </c:numCache>
            </c:numRef>
          </c:yVal>
          <c:smooth val="0"/>
          <c:extLst>
            <c:ext xmlns:c16="http://schemas.microsoft.com/office/drawing/2014/chart" uri="{C3380CC4-5D6E-409C-BE32-E72D297353CC}">
              <c16:uniqueId val="{00000009-B6CE-41B1-850E-5B54FB866DBE}"/>
            </c:ext>
          </c:extLst>
        </c:ser>
        <c:ser>
          <c:idx val="10"/>
          <c:order val="10"/>
          <c:tx>
            <c:strRef>
              <c:f>Feuil11!$B$12</c:f>
              <c:strCache>
                <c:ptCount val="1"/>
                <c:pt idx="0">
                  <c:v>HFCs (projections)</c:v>
                </c:pt>
              </c:strCache>
            </c:strRef>
          </c:tx>
          <c:spPr>
            <a:ln w="19050" cap="rnd">
              <a:solidFill>
                <a:schemeClr val="accent4"/>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Feuil11!$I$12:$N$12</c:f>
              <c:numCache>
                <c:formatCode>General</c:formatCode>
                <c:ptCount val="6"/>
                <c:pt idx="0">
                  <c:v>12992</c:v>
                </c:pt>
                <c:pt idx="1">
                  <c:v>12721</c:v>
                </c:pt>
                <c:pt idx="2">
                  <c:v>7816</c:v>
                </c:pt>
                <c:pt idx="3">
                  <c:v>5052</c:v>
                </c:pt>
                <c:pt idx="4">
                  <c:v>3427</c:v>
                </c:pt>
                <c:pt idx="5">
                  <c:v>1830</c:v>
                </c:pt>
              </c:numCache>
            </c:numRef>
          </c:yVal>
          <c:smooth val="0"/>
          <c:extLst>
            <c:ext xmlns:c16="http://schemas.microsoft.com/office/drawing/2014/chart" uri="{C3380CC4-5D6E-409C-BE32-E72D297353CC}">
              <c16:uniqueId val="{0000000A-B6CE-41B1-850E-5B54FB866DBE}"/>
            </c:ext>
          </c:extLst>
        </c:ser>
        <c:ser>
          <c:idx val="11"/>
          <c:order val="11"/>
          <c:tx>
            <c:strRef>
              <c:f>Feuil11!$B$14</c:f>
              <c:strCache>
                <c:ptCount val="1"/>
                <c:pt idx="0">
                  <c:v>PFCs (projections)</c:v>
                </c:pt>
              </c:strCache>
            </c:strRef>
          </c:tx>
          <c:spPr>
            <a:ln w="19050" cap="rnd">
              <a:solidFill>
                <a:schemeClr val="accent6">
                  <a:lumMod val="6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Feuil11!$I$14:$N$14</c:f>
              <c:numCache>
                <c:formatCode>General</c:formatCode>
                <c:ptCount val="6"/>
                <c:pt idx="0">
                  <c:v>615</c:v>
                </c:pt>
                <c:pt idx="1">
                  <c:v>462</c:v>
                </c:pt>
                <c:pt idx="2">
                  <c:v>290</c:v>
                </c:pt>
                <c:pt idx="3">
                  <c:v>217</c:v>
                </c:pt>
                <c:pt idx="4">
                  <c:v>156</c:v>
                </c:pt>
                <c:pt idx="5">
                  <c:v>130</c:v>
                </c:pt>
              </c:numCache>
            </c:numRef>
          </c:yVal>
          <c:smooth val="0"/>
          <c:extLst>
            <c:ext xmlns:c16="http://schemas.microsoft.com/office/drawing/2014/chart" uri="{C3380CC4-5D6E-409C-BE32-E72D297353CC}">
              <c16:uniqueId val="{0000000B-B6CE-41B1-850E-5B54FB866DBE}"/>
            </c:ext>
          </c:extLst>
        </c:ser>
        <c:ser>
          <c:idx val="12"/>
          <c:order val="12"/>
          <c:tx>
            <c:strRef>
              <c:f>Feuil11!$B$16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Feuil11!$I$16:$N$16</c:f>
              <c:numCache>
                <c:formatCode>General</c:formatCode>
                <c:ptCount val="6"/>
                <c:pt idx="0">
                  <c:v>385</c:v>
                </c:pt>
                <c:pt idx="1">
                  <c:v>387</c:v>
                </c:pt>
                <c:pt idx="2">
                  <c:v>358</c:v>
                </c:pt>
                <c:pt idx="3">
                  <c:v>359</c:v>
                </c:pt>
                <c:pt idx="4">
                  <c:v>360</c:v>
                </c:pt>
                <c:pt idx="5">
                  <c:v>363</c:v>
                </c:pt>
              </c:numCache>
            </c:numRef>
          </c:yVal>
          <c:smooth val="0"/>
          <c:extLst>
            <c:ext xmlns:c16="http://schemas.microsoft.com/office/drawing/2014/chart" uri="{C3380CC4-5D6E-409C-BE32-E72D297353CC}">
              <c16:uniqueId val="{0000000C-B6CE-41B1-850E-5B54FB866DBE}"/>
            </c:ext>
          </c:extLst>
        </c:ser>
        <c:ser>
          <c:idx val="13"/>
          <c:order val="13"/>
          <c:tx>
            <c:strRef>
              <c:f>Feuil11!$B$18</c:f>
              <c:strCache>
                <c:ptCount val="1"/>
                <c:pt idx="0">
                  <c:v>NF3 (projections)</c:v>
                </c:pt>
              </c:strCache>
            </c:strRef>
          </c:tx>
          <c:spPr>
            <a:ln w="19050" cap="rnd">
              <a:solidFill>
                <a:schemeClr val="accent2">
                  <a:lumMod val="80000"/>
                  <a:lumOff val="20000"/>
                </a:schemeClr>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Feuil11!$I$18:$N$18</c:f>
              <c:numCache>
                <c:formatCode>General</c:formatCode>
                <c:ptCount val="6"/>
                <c:pt idx="0">
                  <c:v>10</c:v>
                </c:pt>
                <c:pt idx="1">
                  <c:v>9</c:v>
                </c:pt>
                <c:pt idx="2">
                  <c:v>10</c:v>
                </c:pt>
                <c:pt idx="3">
                  <c:v>10</c:v>
                </c:pt>
                <c:pt idx="4">
                  <c:v>10</c:v>
                </c:pt>
                <c:pt idx="5">
                  <c:v>10</c:v>
                </c:pt>
              </c:numCache>
            </c:numRef>
          </c:yVal>
          <c:smooth val="0"/>
          <c:extLst>
            <c:ext xmlns:c16="http://schemas.microsoft.com/office/drawing/2014/chart" uri="{C3380CC4-5D6E-409C-BE32-E72D297353CC}">
              <c16:uniqueId val="{0000000D-B6CE-41B1-850E-5B54FB866DBE}"/>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6626166520851557"/>
          <c:w val="1"/>
          <c:h val="0.205960557013706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'1. Population'!$R$48</c:f>
              <c:strCache>
                <c:ptCount val="1"/>
                <c:pt idx="0">
                  <c:v>AME/AMS 2018</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Population'!$B$16:$AH$16</c:f>
              <c:numCache>
                <c:formatCode>General</c:formatCode>
                <c:ptCount val="33"/>
                <c:pt idx="2">
                  <c:v>67.819999999999993</c:v>
                </c:pt>
                <c:pt idx="7">
                  <c:v>69.093000000000004</c:v>
                </c:pt>
                <c:pt idx="12">
                  <c:v>70.281000000000006</c:v>
                </c:pt>
                <c:pt idx="17">
                  <c:v>71.417000000000002</c:v>
                </c:pt>
                <c:pt idx="22">
                  <c:v>72.448999999999998</c:v>
                </c:pt>
                <c:pt idx="27">
                  <c:v>73.311999999999998</c:v>
                </c:pt>
                <c:pt idx="32">
                  <c:v>74.025000000000006</c:v>
                </c:pt>
              </c:numCache>
            </c:numRef>
          </c:yVal>
          <c:smooth val="1"/>
          <c:extLst>
            <c:ext xmlns:c16="http://schemas.microsoft.com/office/drawing/2014/chart" uri="{C3380CC4-5D6E-409C-BE32-E72D297353CC}">
              <c16:uniqueId val="{00000000-A9F6-4459-B5B8-4ECF57135A45}"/>
            </c:ext>
          </c:extLst>
        </c:ser>
        <c:ser>
          <c:idx val="2"/>
          <c:order val="1"/>
          <c:tx>
            <c:strRef>
              <c:f>'1. Population'!$A$18</c:f>
              <c:strCache>
                <c:ptCount val="1"/>
                <c:pt idx="0">
                  <c:v>insee fécondité basse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Population'!$B$18:$AH$18</c:f>
              <c:numCache>
                <c:formatCode>#\ ##0.000</c:formatCode>
                <c:ptCount val="33"/>
                <c:pt idx="0">
                  <c:v>67.240666000000004</c:v>
                </c:pt>
                <c:pt idx="1">
                  <c:v>67.483286000000007</c:v>
                </c:pt>
                <c:pt idx="2">
                  <c:v>67.707069000000004</c:v>
                </c:pt>
                <c:pt idx="3">
                  <c:v>67.911946</c:v>
                </c:pt>
                <c:pt idx="4">
                  <c:v>68.111450000000005</c:v>
                </c:pt>
                <c:pt idx="5">
                  <c:v>68.305942000000002</c:v>
                </c:pt>
                <c:pt idx="6">
                  <c:v>68.495774999999995</c:v>
                </c:pt>
                <c:pt idx="7">
                  <c:v>68.681546999999995</c:v>
                </c:pt>
                <c:pt idx="8">
                  <c:v>68.863999000000007</c:v>
                </c:pt>
                <c:pt idx="9">
                  <c:v>69.043799000000007</c:v>
                </c:pt>
                <c:pt idx="10">
                  <c:v>69.221366000000003</c:v>
                </c:pt>
                <c:pt idx="11">
                  <c:v>69.396844000000002</c:v>
                </c:pt>
                <c:pt idx="12">
                  <c:v>69.570370999999994</c:v>
                </c:pt>
                <c:pt idx="13">
                  <c:v>69.742040000000003</c:v>
                </c:pt>
                <c:pt idx="14">
                  <c:v>69.911619999999999</c:v>
                </c:pt>
                <c:pt idx="15">
                  <c:v>70.078540000000004</c:v>
                </c:pt>
                <c:pt idx="16">
                  <c:v>70.242058</c:v>
                </c:pt>
                <c:pt idx="17">
                  <c:v>70.401514000000006</c:v>
                </c:pt>
                <c:pt idx="18">
                  <c:v>70.556419000000005</c:v>
                </c:pt>
                <c:pt idx="19">
                  <c:v>70.706194999999994</c:v>
                </c:pt>
                <c:pt idx="20">
                  <c:v>70.850144</c:v>
                </c:pt>
                <c:pt idx="21">
                  <c:v>70.987558000000007</c:v>
                </c:pt>
                <c:pt idx="22">
                  <c:v>71.117945000000006</c:v>
                </c:pt>
                <c:pt idx="23">
                  <c:v>71.240915999999999</c:v>
                </c:pt>
                <c:pt idx="24">
                  <c:v>71.355704000000003</c:v>
                </c:pt>
                <c:pt idx="25">
                  <c:v>71.461843000000002</c:v>
                </c:pt>
                <c:pt idx="26">
                  <c:v>71.559078</c:v>
                </c:pt>
                <c:pt idx="27">
                  <c:v>71.647525000000002</c:v>
                </c:pt>
                <c:pt idx="28">
                  <c:v>71.727486999999996</c:v>
                </c:pt>
                <c:pt idx="29">
                  <c:v>71.799098000000001</c:v>
                </c:pt>
                <c:pt idx="30">
                  <c:v>71.862482999999997</c:v>
                </c:pt>
                <c:pt idx="31">
                  <c:v>71.917776000000003</c:v>
                </c:pt>
                <c:pt idx="32">
                  <c:v>71.965277999999998</c:v>
                </c:pt>
              </c:numCache>
            </c:numRef>
          </c:yVal>
          <c:smooth val="1"/>
          <c:extLst>
            <c:ext xmlns:c16="http://schemas.microsoft.com/office/drawing/2014/chart" uri="{C3380CC4-5D6E-409C-BE32-E72D297353CC}">
              <c16:uniqueId val="{00000001-A9F6-4459-B5B8-4ECF57135A45}"/>
            </c:ext>
          </c:extLst>
        </c:ser>
        <c:ser>
          <c:idx val="1"/>
          <c:order val="2"/>
          <c:tx>
            <c:strRef>
              <c:f>'1. Population'!$R$49</c:f>
              <c:strCache>
                <c:ptCount val="1"/>
                <c:pt idx="0">
                  <c:v>AME 2021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Population'!$B$35:$AH$35</c:f>
              <c:numCache>
                <c:formatCode>0.0</c:formatCode>
                <c:ptCount val="33"/>
                <c:pt idx="0" formatCode="#\ ##0.000">
                  <c:v>66.98</c:v>
                </c:pt>
                <c:pt idx="1">
                  <c:v>67.012883000000002</c:v>
                </c:pt>
                <c:pt idx="2" formatCode="0.00">
                  <c:v>67.204763</c:v>
                </c:pt>
                <c:pt idx="3" formatCode="0.00">
                  <c:v>67.388433000000006</c:v>
                </c:pt>
                <c:pt idx="4" formatCode="0.00">
                  <c:v>67.575000000000003</c:v>
                </c:pt>
                <c:pt idx="5" formatCode="0.00">
                  <c:v>67.765465000000006</c:v>
                </c:pt>
                <c:pt idx="6" formatCode="0.00">
                  <c:v>67.955439999999996</c:v>
                </c:pt>
                <c:pt idx="7" formatCode="0.00">
                  <c:v>68.145742999999996</c:v>
                </c:pt>
                <c:pt idx="8" formatCode="0.00">
                  <c:v>68.335445000000007</c:v>
                </c:pt>
                <c:pt idx="9" formatCode="0.00">
                  <c:v>68.526661000000004</c:v>
                </c:pt>
                <c:pt idx="10" formatCode="0.00">
                  <c:v>68.718934000000004</c:v>
                </c:pt>
                <c:pt idx="11" formatCode="0.00">
                  <c:v>68.916612999999998</c:v>
                </c:pt>
                <c:pt idx="12" formatCode="0.00">
                  <c:v>69.116879999999995</c:v>
                </c:pt>
                <c:pt idx="13" formatCode="0.00">
                  <c:v>69.319056000000003</c:v>
                </c:pt>
                <c:pt idx="14" formatCode="0.00">
                  <c:v>69.521761999999995</c:v>
                </c:pt>
                <c:pt idx="15" formatCode="0.00">
                  <c:v>69.722271000000006</c:v>
                </c:pt>
                <c:pt idx="16" formatCode="0.00">
                  <c:v>69.91583</c:v>
                </c:pt>
                <c:pt idx="17" formatCode="0.00">
                  <c:v>70.104962</c:v>
                </c:pt>
                <c:pt idx="18" formatCode="0.00">
                  <c:v>70.288808000000003</c:v>
                </c:pt>
                <c:pt idx="19" formatCode="0.00">
                  <c:v>70.465976999999995</c:v>
                </c:pt>
                <c:pt idx="20" formatCode="0.00">
                  <c:v>70.633769999999998</c:v>
                </c:pt>
                <c:pt idx="21" formatCode="0.00">
                  <c:v>70.788492000000005</c:v>
                </c:pt>
                <c:pt idx="22" formatCode="0.00">
                  <c:v>70.926210999999995</c:v>
                </c:pt>
                <c:pt idx="23" formatCode="General">
                  <c:v>71.046882993855363</c:v>
                </c:pt>
                <c:pt idx="24" formatCode="General">
                  <c:v>71.166557698505329</c:v>
                </c:pt>
                <c:pt idx="25" formatCode="General">
                  <c:v>71.269278486663197</c:v>
                </c:pt>
                <c:pt idx="26" formatCode="General">
                  <c:v>71.366015539588574</c:v>
                </c:pt>
                <c:pt idx="27" formatCode="General">
                  <c:v>71.459760724897706</c:v>
                </c:pt>
                <c:pt idx="28" formatCode="General">
                  <c:v>71.533560126098507</c:v>
                </c:pt>
                <c:pt idx="29" formatCode="General">
                  <c:v>71.606362238093894</c:v>
                </c:pt>
                <c:pt idx="30" formatCode="General">
                  <c:v>71.671186036445945</c:v>
                </c:pt>
                <c:pt idx="31" formatCode="General">
                  <c:v>71.726036942743846</c:v>
                </c:pt>
                <c:pt idx="32" formatCode="General">
                  <c:v>71.776898692220072</c:v>
                </c:pt>
              </c:numCache>
            </c:numRef>
          </c:yVal>
          <c:smooth val="1"/>
          <c:extLst>
            <c:ext xmlns:c16="http://schemas.microsoft.com/office/drawing/2014/chart" uri="{C3380CC4-5D6E-409C-BE32-E72D297353CC}">
              <c16:uniqueId val="{00000002-A9F6-4459-B5B8-4ECF57135A45}"/>
            </c:ext>
          </c:extLst>
        </c:ser>
        <c:ser>
          <c:idx val="3"/>
          <c:order val="3"/>
          <c:tx>
            <c:strRef>
              <c:f>'1. Population'!$A$19</c:f>
              <c:strCache>
                <c:ptCount val="1"/>
                <c:pt idx="0">
                  <c:v>Observé</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Population'!$B$19:$AH$19</c:f>
              <c:numCache>
                <c:formatCode>#\ ##0.000</c:formatCode>
                <c:ptCount val="33"/>
                <c:pt idx="0">
                  <c:v>66.98</c:v>
                </c:pt>
                <c:pt idx="1">
                  <c:v>67.06</c:v>
                </c:pt>
              </c:numCache>
            </c:numRef>
          </c:yVal>
          <c:smooth val="1"/>
          <c:extLst>
            <c:ext xmlns:c16="http://schemas.microsoft.com/office/drawing/2014/chart" uri="{C3380CC4-5D6E-409C-BE32-E72D297353CC}">
              <c16:uniqueId val="{00000003-A9F6-4459-B5B8-4ECF57135A45}"/>
            </c:ext>
          </c:extLst>
        </c:ser>
        <c:dLbls>
          <c:showLegendKey val="0"/>
          <c:showVal val="0"/>
          <c:showCatName val="0"/>
          <c:showSerName val="0"/>
          <c:showPercent val="0"/>
          <c:showBubbleSize val="0"/>
        </c:dLbls>
        <c:axId val="303495456"/>
        <c:axId val="303494624"/>
      </c:scatterChart>
      <c:valAx>
        <c:axId val="30349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494624"/>
        <c:crosses val="autoZero"/>
        <c:crossBetween val="midCat"/>
      </c:valAx>
      <c:valAx>
        <c:axId val="30349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millions</a:t>
                </a:r>
                <a:r>
                  <a:rPr lang="fr-FR" baseline="0"/>
                  <a:t> habitants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495456"/>
        <c:crosses val="autoZero"/>
        <c:crossBetween val="midCat"/>
      </c:valAx>
      <c:spPr>
        <a:noFill/>
        <a:ln>
          <a:noFill/>
        </a:ln>
        <a:effectLst/>
      </c:spPr>
    </c:plotArea>
    <c:legend>
      <c:legendPos val="b"/>
      <c:layout>
        <c:manualLayout>
          <c:xMode val="edge"/>
          <c:yMode val="edge"/>
          <c:x val="8.3921612063694695E-2"/>
          <c:y val="0.92022457323666795"/>
          <c:w val="0.84892320589419079"/>
          <c:h val="6.87504751749365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'VA industrielle'!$B$20</c:f>
              <c:strCache>
                <c:ptCount val="1"/>
                <c:pt idx="0">
                  <c:v>AMS 18</c:v>
                </c:pt>
              </c:strCache>
            </c:strRef>
          </c:tx>
          <c:spPr>
            <a:ln w="19050" cap="rnd">
              <a:solidFill>
                <a:srgbClr val="92D050"/>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industrielle'!$C$20:$AI$20</c:f>
              <c:numCache>
                <c:formatCode>General</c:formatCode>
                <c:ptCount val="33"/>
                <c:pt idx="0">
                  <c:v>100</c:v>
                </c:pt>
                <c:pt idx="1">
                  <c:v>101.4</c:v>
                </c:pt>
                <c:pt idx="2">
                  <c:v>102.81960000000001</c:v>
                </c:pt>
                <c:pt idx="3">
                  <c:v>103.847796</c:v>
                </c:pt>
                <c:pt idx="4">
                  <c:v>104.88627396</c:v>
                </c:pt>
                <c:pt idx="5">
                  <c:v>105.93513669959999</c:v>
                </c:pt>
                <c:pt idx="6">
                  <c:v>106.99448806659599</c:v>
                </c:pt>
                <c:pt idx="7">
                  <c:v>108.06443294726195</c:v>
                </c:pt>
                <c:pt idx="8">
                  <c:v>109.25314170968181</c:v>
                </c:pt>
                <c:pt idx="9">
                  <c:v>110.45492626848831</c:v>
                </c:pt>
                <c:pt idx="10">
                  <c:v>111.66993045744167</c:v>
                </c:pt>
                <c:pt idx="11">
                  <c:v>112.89829969247351</c:v>
                </c:pt>
                <c:pt idx="12">
                  <c:v>114.14018098909071</c:v>
                </c:pt>
                <c:pt idx="13">
                  <c:v>115.62400334194888</c:v>
                </c:pt>
                <c:pt idx="14">
                  <c:v>117.12711538539421</c:v>
                </c:pt>
                <c:pt idx="15">
                  <c:v>118.64976788540432</c:v>
                </c:pt>
                <c:pt idx="16">
                  <c:v>120.19221486791456</c:v>
                </c:pt>
                <c:pt idx="17">
                  <c:v>121.75471366119743</c:v>
                </c:pt>
                <c:pt idx="18">
                  <c:v>123.33752493879298</c:v>
                </c:pt>
                <c:pt idx="19">
                  <c:v>124.94091276299727</c:v>
                </c:pt>
                <c:pt idx="20">
                  <c:v>126.56514462891623</c:v>
                </c:pt>
                <c:pt idx="21">
                  <c:v>128.21049150909212</c:v>
                </c:pt>
                <c:pt idx="22">
                  <c:v>129.87722789871032</c:v>
                </c:pt>
                <c:pt idx="23">
                  <c:v>131.56563186139354</c:v>
                </c:pt>
                <c:pt idx="24">
                  <c:v>133.27598507559165</c:v>
                </c:pt>
                <c:pt idx="25">
                  <c:v>135.00857288157434</c:v>
                </c:pt>
                <c:pt idx="26">
                  <c:v>136.76368432903479</c:v>
                </c:pt>
                <c:pt idx="27">
                  <c:v>138.54161222531224</c:v>
                </c:pt>
                <c:pt idx="28">
                  <c:v>140.34265318424127</c:v>
                </c:pt>
                <c:pt idx="29">
                  <c:v>142.1671076756364</c:v>
                </c:pt>
                <c:pt idx="30">
                  <c:v>144.01528007541967</c:v>
                </c:pt>
                <c:pt idx="31">
                  <c:v>145.8874787164001</c:v>
                </c:pt>
                <c:pt idx="32">
                  <c:v>147.78401593971327</c:v>
                </c:pt>
              </c:numCache>
            </c:numRef>
          </c:yVal>
          <c:smooth val="1"/>
          <c:extLst>
            <c:ext xmlns:c16="http://schemas.microsoft.com/office/drawing/2014/chart" uri="{C3380CC4-5D6E-409C-BE32-E72D297353CC}">
              <c16:uniqueId val="{00000000-F5FE-40EF-9C62-6A807BB0C7E9}"/>
            </c:ext>
          </c:extLst>
        </c:ser>
        <c:ser>
          <c:idx val="1"/>
          <c:order val="1"/>
          <c:tx>
            <c:strRef>
              <c:f>'VA industrielle'!$B$22</c:f>
              <c:strCache>
                <c:ptCount val="1"/>
                <c:pt idx="0">
                  <c:v>AME 21</c:v>
                </c:pt>
              </c:strCache>
            </c:strRef>
          </c:tx>
          <c:spPr>
            <a:ln w="19050" cap="rnd">
              <a:solidFill>
                <a:schemeClr val="accent2"/>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industrielle'!$C$22:$AI$22</c:f>
              <c:numCache>
                <c:formatCode>General</c:formatCode>
                <c:ptCount val="33"/>
                <c:pt idx="0">
                  <c:v>100</c:v>
                </c:pt>
                <c:pt idx="1">
                  <c:v>101.31539403407143</c:v>
                </c:pt>
                <c:pt idx="2">
                  <c:v>92.958615750341849</c:v>
                </c:pt>
                <c:pt idx="3">
                  <c:v>99.838582535791048</c:v>
                </c:pt>
                <c:pt idx="4">
                  <c:v>101.6070362109557</c:v>
                </c:pt>
                <c:pt idx="5">
                  <c:v>103.27448067683179</c:v>
                </c:pt>
                <c:pt idx="6">
                  <c:v>104.91629154979603</c:v>
                </c:pt>
                <c:pt idx="7">
                  <c:v>105.83343399148264</c:v>
                </c:pt>
                <c:pt idx="8">
                  <c:v>106.89176833139746</c:v>
                </c:pt>
                <c:pt idx="9">
                  <c:v>107.96068601471143</c:v>
                </c:pt>
                <c:pt idx="10">
                  <c:v>109.04029287485854</c:v>
                </c:pt>
                <c:pt idx="11">
                  <c:v>110.13069580360713</c:v>
                </c:pt>
                <c:pt idx="12">
                  <c:v>111.2320027616432</c:v>
                </c:pt>
                <c:pt idx="13">
                  <c:v>112.67801879754455</c:v>
                </c:pt>
                <c:pt idx="14">
                  <c:v>114.14283304191262</c:v>
                </c:pt>
                <c:pt idx="15">
                  <c:v>115.62668987145747</c:v>
                </c:pt>
                <c:pt idx="16">
                  <c:v>117.12983683978641</c:v>
                </c:pt>
                <c:pt idx="17">
                  <c:v>118.65252471870362</c:v>
                </c:pt>
                <c:pt idx="18">
                  <c:v>120.19500754004675</c:v>
                </c:pt>
                <c:pt idx="19">
                  <c:v>121.75754263806733</c:v>
                </c:pt>
                <c:pt idx="20">
                  <c:v>123.34039069236219</c:v>
                </c:pt>
                <c:pt idx="21">
                  <c:v>124.94381577136289</c:v>
                </c:pt>
                <c:pt idx="22">
                  <c:v>126.5680853763906</c:v>
                </c:pt>
                <c:pt idx="23">
                  <c:v>128.21347048628365</c:v>
                </c:pt>
                <c:pt idx="24">
                  <c:v>129.88024560260533</c:v>
                </c:pt>
                <c:pt idx="25">
                  <c:v>131.56868879543919</c:v>
                </c:pt>
                <c:pt idx="26">
                  <c:v>133.27908174977989</c:v>
                </c:pt>
                <c:pt idx="27">
                  <c:v>135.01170981252702</c:v>
                </c:pt>
                <c:pt idx="28">
                  <c:v>136.76686204008985</c:v>
                </c:pt>
                <c:pt idx="29">
                  <c:v>138.54483124661101</c:v>
                </c:pt>
                <c:pt idx="30">
                  <c:v>140.34591405281694</c:v>
                </c:pt>
                <c:pt idx="31">
                  <c:v>142.17041093550355</c:v>
                </c:pt>
                <c:pt idx="32">
                  <c:v>144.01862627766508</c:v>
                </c:pt>
              </c:numCache>
            </c:numRef>
          </c:yVal>
          <c:smooth val="1"/>
          <c:extLst>
            <c:ext xmlns:c16="http://schemas.microsoft.com/office/drawing/2014/chart" uri="{C3380CC4-5D6E-409C-BE32-E72D297353CC}">
              <c16:uniqueId val="{00000001-F5FE-40EF-9C62-6A807BB0C7E9}"/>
            </c:ext>
          </c:extLst>
        </c:ser>
        <c:ser>
          <c:idx val="2"/>
          <c:order val="2"/>
          <c:tx>
            <c:strRef>
              <c:f>'VA industrielle'!$B$21</c:f>
              <c:strCache>
                <c:ptCount val="1"/>
                <c:pt idx="0">
                  <c:v>AME 18</c:v>
                </c:pt>
              </c:strCache>
            </c:strRef>
          </c:tx>
          <c:spPr>
            <a:ln w="19050" cap="rnd">
              <a:solidFill>
                <a:schemeClr val="accent3"/>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industrielle'!$C$21:$AI$21</c:f>
              <c:numCache>
                <c:formatCode>General</c:formatCode>
                <c:ptCount val="33"/>
                <c:pt idx="0">
                  <c:v>100</c:v>
                </c:pt>
                <c:pt idx="1">
                  <c:v>101.69999999999999</c:v>
                </c:pt>
                <c:pt idx="2">
                  <c:v>103.42889999999998</c:v>
                </c:pt>
                <c:pt idx="3">
                  <c:v>105.18719129999998</c:v>
                </c:pt>
                <c:pt idx="4">
                  <c:v>106.97537355209997</c:v>
                </c:pt>
                <c:pt idx="5">
                  <c:v>108.79395490248565</c:v>
                </c:pt>
                <c:pt idx="6">
                  <c:v>110.6434521358279</c:v>
                </c:pt>
                <c:pt idx="7">
                  <c:v>112.52439082213697</c:v>
                </c:pt>
                <c:pt idx="8">
                  <c:v>114.43730546611329</c:v>
                </c:pt>
                <c:pt idx="9">
                  <c:v>116.3827396590372</c:v>
                </c:pt>
                <c:pt idx="10">
                  <c:v>118.36124623324082</c:v>
                </c:pt>
                <c:pt idx="11">
                  <c:v>120.3733874192059</c:v>
                </c:pt>
                <c:pt idx="12">
                  <c:v>122.41973500533238</c:v>
                </c:pt>
                <c:pt idx="13">
                  <c:v>122.90941394535372</c:v>
                </c:pt>
                <c:pt idx="14">
                  <c:v>123.40105160113514</c:v>
                </c:pt>
                <c:pt idx="15">
                  <c:v>123.89465580753968</c:v>
                </c:pt>
                <c:pt idx="16">
                  <c:v>124.39023443076984</c:v>
                </c:pt>
                <c:pt idx="17">
                  <c:v>124.88779536849292</c:v>
                </c:pt>
                <c:pt idx="18">
                  <c:v>125.38734654996689</c:v>
                </c:pt>
                <c:pt idx="19">
                  <c:v>125.88889593616676</c:v>
                </c:pt>
                <c:pt idx="20">
                  <c:v>126.39245151991143</c:v>
                </c:pt>
                <c:pt idx="21">
                  <c:v>126.89802132599108</c:v>
                </c:pt>
                <c:pt idx="22">
                  <c:v>127.40561341129505</c:v>
                </c:pt>
                <c:pt idx="23">
                  <c:v>127.91523586494023</c:v>
                </c:pt>
                <c:pt idx="24">
                  <c:v>128.42689680839999</c:v>
                </c:pt>
                <c:pt idx="25">
                  <c:v>128.94060439563358</c:v>
                </c:pt>
                <c:pt idx="26">
                  <c:v>129.45636681321611</c:v>
                </c:pt>
                <c:pt idx="27">
                  <c:v>129.97419228046897</c:v>
                </c:pt>
                <c:pt idx="28">
                  <c:v>130.49408904959085</c:v>
                </c:pt>
                <c:pt idx="29">
                  <c:v>131.01606540578922</c:v>
                </c:pt>
                <c:pt idx="30">
                  <c:v>131.54012966741237</c:v>
                </c:pt>
                <c:pt idx="31">
                  <c:v>132.06629018608203</c:v>
                </c:pt>
                <c:pt idx="32">
                  <c:v>132.59455534682635</c:v>
                </c:pt>
              </c:numCache>
            </c:numRef>
          </c:yVal>
          <c:smooth val="1"/>
          <c:extLst>
            <c:ext xmlns:c16="http://schemas.microsoft.com/office/drawing/2014/chart" uri="{C3380CC4-5D6E-409C-BE32-E72D297353CC}">
              <c16:uniqueId val="{00000002-F5FE-40EF-9C62-6A807BB0C7E9}"/>
            </c:ext>
          </c:extLst>
        </c:ser>
        <c:ser>
          <c:idx val="3"/>
          <c:order val="3"/>
          <c:tx>
            <c:strRef>
              <c:f>'VA industrielle'!$B$23</c:f>
              <c:strCache>
                <c:ptCount val="1"/>
                <c:pt idx="0">
                  <c:v>Ecref</c:v>
                </c:pt>
              </c:strCache>
            </c:strRef>
          </c:tx>
          <c:spPr>
            <a:ln w="19050" cap="rnd">
              <a:solidFill>
                <a:schemeClr val="accent4"/>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industrielle'!$C$23:$AI$23</c:f>
              <c:numCache>
                <c:formatCode>General</c:formatCode>
                <c:ptCount val="33"/>
                <c:pt idx="0">
                  <c:v>100</c:v>
                </c:pt>
                <c:pt idx="1">
                  <c:v>100.63783042559504</c:v>
                </c:pt>
                <c:pt idx="2">
                  <c:v>92.625754616218259</c:v>
                </c:pt>
                <c:pt idx="3">
                  <c:v>99.481085992367824</c:v>
                </c:pt>
                <c:pt idx="4">
                  <c:v>101.24320728520073</c:v>
                </c:pt>
                <c:pt idx="5">
                  <c:v>102.90468105700484</c:v>
                </c:pt>
                <c:pt idx="6">
                  <c:v>104.54061302326656</c:v>
                </c:pt>
                <c:pt idx="7">
                  <c:v>105.08110065776448</c:v>
                </c:pt>
                <c:pt idx="8">
                  <c:v>105.62438267881321</c:v>
                </c:pt>
                <c:pt idx="9">
                  <c:v>106.17047353372975</c:v>
                </c:pt>
                <c:pt idx="10">
                  <c:v>106.71938774452549</c:v>
                </c:pt>
                <c:pt idx="11">
                  <c:v>107.2711399082924</c:v>
                </c:pt>
                <c:pt idx="12">
                  <c:v>108.05230346096782</c:v>
                </c:pt>
                <c:pt idx="13">
                  <c:v>108.83915555668055</c:v>
                </c:pt>
                <c:pt idx="14">
                  <c:v>109.63173762020236</c:v>
                </c:pt>
                <c:pt idx="15">
                  <c:v>110.43009137796604</c:v>
                </c:pt>
                <c:pt idx="16">
                  <c:v>111.23425886026213</c:v>
                </c:pt>
                <c:pt idx="17">
                  <c:v>112.37338782445211</c:v>
                </c:pt>
                <c:pt idx="18">
                  <c:v>113.5241823924799</c:v>
                </c:pt>
                <c:pt idx="19">
                  <c:v>114.68676202958358</c:v>
                </c:pt>
                <c:pt idx="20">
                  <c:v>115.86124742442206</c:v>
                </c:pt>
                <c:pt idx="21">
                  <c:v>117.04776050160399</c:v>
                </c:pt>
                <c:pt idx="22">
                  <c:v>118.55991178126332</c:v>
                </c:pt>
                <c:pt idx="23">
                  <c:v>120.09159868879607</c:v>
                </c:pt>
                <c:pt idx="24">
                  <c:v>121.64307360685834</c:v>
                </c:pt>
                <c:pt idx="25">
                  <c:v>123.21459217866206</c:v>
                </c:pt>
                <c:pt idx="26">
                  <c:v>124.80641335009842</c:v>
                </c:pt>
                <c:pt idx="27">
                  <c:v>126.62502696554596</c:v>
                </c:pt>
                <c:pt idx="28">
                  <c:v>128.47014046504202</c:v>
                </c:pt>
                <c:pt idx="29">
                  <c:v>130.34213999100226</c:v>
                </c:pt>
                <c:pt idx="30">
                  <c:v>132.24141731250714</c:v>
                </c:pt>
                <c:pt idx="31">
                  <c:v>134.16836990729072</c:v>
                </c:pt>
                <c:pt idx="32">
                  <c:v>136.11526444239439</c:v>
                </c:pt>
              </c:numCache>
            </c:numRef>
          </c:yVal>
          <c:smooth val="1"/>
          <c:extLst>
            <c:ext xmlns:c16="http://schemas.microsoft.com/office/drawing/2014/chart" uri="{C3380CC4-5D6E-409C-BE32-E72D297353CC}">
              <c16:uniqueId val="{00000003-F5FE-40EF-9C62-6A807BB0C7E9}"/>
            </c:ext>
          </c:extLst>
        </c:ser>
        <c:dLbls>
          <c:showLegendKey val="0"/>
          <c:showVal val="0"/>
          <c:showCatName val="0"/>
          <c:showSerName val="0"/>
          <c:showPercent val="0"/>
          <c:showBubbleSize val="0"/>
        </c:dLbls>
        <c:axId val="348033520"/>
        <c:axId val="348033936"/>
      </c:scatterChart>
      <c:valAx>
        <c:axId val="34803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033936"/>
        <c:crosses val="autoZero"/>
        <c:crossBetween val="midCat"/>
      </c:valAx>
      <c:valAx>
        <c:axId val="348033936"/>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03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Feuil1!$A$2</c:f>
              <c:strCache>
                <c:ptCount val="1"/>
                <c:pt idx="0">
                  <c:v>Total CO2 without LULUCF (ktCO2e)</c:v>
                </c:pt>
              </c:strCache>
            </c:strRef>
          </c:tx>
          <c:spPr>
            <a:solidFill>
              <a:schemeClr val="accent1"/>
            </a:solidFill>
            <a:ln>
              <a:solidFill>
                <a:srgbClr val="0070C0"/>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Feuil1!$B$2:$AF$2</c:f>
              <c:numCache>
                <c:formatCode>#,##0.00</c:formatCode>
                <c:ptCount val="31"/>
                <c:pt idx="0">
                  <c:v>398424.78532408905</c:v>
                </c:pt>
                <c:pt idx="1">
                  <c:v>423829.90153383813</c:v>
                </c:pt>
                <c:pt idx="2">
                  <c:v>412416.79477735213</c:v>
                </c:pt>
                <c:pt idx="3">
                  <c:v>394185.24174654949</c:v>
                </c:pt>
                <c:pt idx="4">
                  <c:v>388285.63889003603</c:v>
                </c:pt>
                <c:pt idx="5">
                  <c:v>392915.76549670496</c:v>
                </c:pt>
                <c:pt idx="6">
                  <c:v>408192.69049333554</c:v>
                </c:pt>
                <c:pt idx="7">
                  <c:v>400997.00414214388</c:v>
                </c:pt>
                <c:pt idx="8">
                  <c:v>421028.68041011202</c:v>
                </c:pt>
                <c:pt idx="9">
                  <c:v>419846.19485597673</c:v>
                </c:pt>
                <c:pt idx="10">
                  <c:v>414788.46582102479</c:v>
                </c:pt>
                <c:pt idx="11">
                  <c:v>419885.47362370859</c:v>
                </c:pt>
                <c:pt idx="12">
                  <c:v>416153.26320098824</c:v>
                </c:pt>
                <c:pt idx="13">
                  <c:v>421022.74666209542</c:v>
                </c:pt>
                <c:pt idx="14">
                  <c:v>422718.52018262749</c:v>
                </c:pt>
                <c:pt idx="15">
                  <c:v>425443.52929001697</c:v>
                </c:pt>
                <c:pt idx="16">
                  <c:v>415775.69997673534</c:v>
                </c:pt>
                <c:pt idx="17">
                  <c:v>406199.8367996763</c:v>
                </c:pt>
                <c:pt idx="18">
                  <c:v>400458.75953964918</c:v>
                </c:pt>
                <c:pt idx="19">
                  <c:v>381064.54724852322</c:v>
                </c:pt>
                <c:pt idx="20">
                  <c:v>386872.04363761254</c:v>
                </c:pt>
                <c:pt idx="21">
                  <c:v>364820.42197580863</c:v>
                </c:pt>
                <c:pt idx="22">
                  <c:v>367030.67419662949</c:v>
                </c:pt>
                <c:pt idx="23">
                  <c:v>368559.42753313773</c:v>
                </c:pt>
                <c:pt idx="24">
                  <c:v>337005.913838982</c:v>
                </c:pt>
                <c:pt idx="25">
                  <c:v>341630.94012947823</c:v>
                </c:pt>
                <c:pt idx="26">
                  <c:v>344723.13088031148</c:v>
                </c:pt>
                <c:pt idx="27">
                  <c:v>347604.96204895398</c:v>
                </c:pt>
                <c:pt idx="28">
                  <c:v>332613.39061371255</c:v>
                </c:pt>
                <c:pt idx="29">
                  <c:v>326725.12715566665</c:v>
                </c:pt>
                <c:pt idx="30">
                  <c:v>289389.56840048026</c:v>
                </c:pt>
              </c:numCache>
            </c:numRef>
          </c:val>
          <c:extLst>
            <c:ext xmlns:c16="http://schemas.microsoft.com/office/drawing/2014/chart" uri="{C3380CC4-5D6E-409C-BE32-E72D297353CC}">
              <c16:uniqueId val="{00000000-0008-4208-B0C9-467781BFFF97}"/>
            </c:ext>
          </c:extLst>
        </c:ser>
        <c:ser>
          <c:idx val="1"/>
          <c:order val="1"/>
          <c:tx>
            <c:strRef>
              <c:f>Feuil1!$A$4</c:f>
              <c:strCache>
                <c:ptCount val="1"/>
                <c:pt idx="0">
                  <c:v>Total CH4 without LULUCF (ktCO2e)</c:v>
                </c:pt>
              </c:strCache>
            </c:strRef>
          </c:tx>
          <c:spPr>
            <a:solidFill>
              <a:schemeClr val="accent2"/>
            </a:solidFill>
            <a:ln>
              <a:solidFill>
                <a:srgbClr val="FF0000"/>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Feuil1!$B$4:$AF$4</c:f>
              <c:numCache>
                <c:formatCode>#,##0.00</c:formatCode>
                <c:ptCount val="31"/>
                <c:pt idx="0">
                  <c:v>69160.887685564332</c:v>
                </c:pt>
                <c:pt idx="1">
                  <c:v>69635.134280578728</c:v>
                </c:pt>
                <c:pt idx="2">
                  <c:v>69725.10207072433</c:v>
                </c:pt>
                <c:pt idx="3">
                  <c:v>70132.02589236958</c:v>
                </c:pt>
                <c:pt idx="4">
                  <c:v>70008.341088475412</c:v>
                </c:pt>
                <c:pt idx="5">
                  <c:v>70382.891401414279</c:v>
                </c:pt>
                <c:pt idx="6">
                  <c:v>69469.141672755854</c:v>
                </c:pt>
                <c:pt idx="7">
                  <c:v>68227.259262175008</c:v>
                </c:pt>
                <c:pt idx="8">
                  <c:v>68272.562368023864</c:v>
                </c:pt>
                <c:pt idx="9">
                  <c:v>68230.621431522028</c:v>
                </c:pt>
                <c:pt idx="10">
                  <c:v>68602.737988942536</c:v>
                </c:pt>
                <c:pt idx="11">
                  <c:v>68469.112684498978</c:v>
                </c:pt>
                <c:pt idx="12">
                  <c:v>66886.643263460166</c:v>
                </c:pt>
                <c:pt idx="13">
                  <c:v>65915.608050286552</c:v>
                </c:pt>
                <c:pt idx="14">
                  <c:v>64547.963432315235</c:v>
                </c:pt>
                <c:pt idx="15">
                  <c:v>63631.542532106003</c:v>
                </c:pt>
                <c:pt idx="16">
                  <c:v>63117.289311490909</c:v>
                </c:pt>
                <c:pt idx="17">
                  <c:v>62829.659260703673</c:v>
                </c:pt>
                <c:pt idx="18">
                  <c:v>63099.52500627609</c:v>
                </c:pt>
                <c:pt idx="19">
                  <c:v>61973.752261157322</c:v>
                </c:pt>
                <c:pt idx="20">
                  <c:v>61663.316953056674</c:v>
                </c:pt>
                <c:pt idx="21">
                  <c:v>60479.262967944545</c:v>
                </c:pt>
                <c:pt idx="22">
                  <c:v>59243.344755409613</c:v>
                </c:pt>
                <c:pt idx="23">
                  <c:v>59079.337590736068</c:v>
                </c:pt>
                <c:pt idx="24">
                  <c:v>58786.533343461328</c:v>
                </c:pt>
                <c:pt idx="25">
                  <c:v>57862.105200362465</c:v>
                </c:pt>
                <c:pt idx="26">
                  <c:v>57432.208740445109</c:v>
                </c:pt>
                <c:pt idx="27">
                  <c:v>57010.639486160166</c:v>
                </c:pt>
                <c:pt idx="28">
                  <c:v>56238.674336289274</c:v>
                </c:pt>
                <c:pt idx="29">
                  <c:v>55739.695805502131</c:v>
                </c:pt>
                <c:pt idx="30">
                  <c:v>54641.714722103658</c:v>
                </c:pt>
              </c:numCache>
            </c:numRef>
          </c:val>
          <c:extLst>
            <c:ext xmlns:c16="http://schemas.microsoft.com/office/drawing/2014/chart" uri="{C3380CC4-5D6E-409C-BE32-E72D297353CC}">
              <c16:uniqueId val="{00000001-0008-4208-B0C9-467781BFFF97}"/>
            </c:ext>
          </c:extLst>
        </c:ser>
        <c:ser>
          <c:idx val="2"/>
          <c:order val="2"/>
          <c:tx>
            <c:strRef>
              <c:f>Feuil1!$A$8</c:f>
              <c:strCache>
                <c:ptCount val="1"/>
                <c:pt idx="0">
                  <c:v>Total N2O without LULUCF (ktCO2e)</c:v>
                </c:pt>
              </c:strCache>
            </c:strRef>
          </c:tx>
          <c:spPr>
            <a:solidFill>
              <a:schemeClr val="accent3"/>
            </a:solidFill>
            <a:ln>
              <a:solidFill>
                <a:srgbClr val="00B050"/>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Feuil1!$B$8:$AF$8</c:f>
              <c:numCache>
                <c:formatCode>#,##0.00</c:formatCode>
                <c:ptCount val="31"/>
                <c:pt idx="0">
                  <c:v>64724.840442819645</c:v>
                </c:pt>
                <c:pt idx="1">
                  <c:v>65314.485263662515</c:v>
                </c:pt>
                <c:pt idx="2">
                  <c:v>65007.104923401785</c:v>
                </c:pt>
                <c:pt idx="3">
                  <c:v>64262.373406009545</c:v>
                </c:pt>
                <c:pt idx="4">
                  <c:v>64384.747054651656</c:v>
                </c:pt>
                <c:pt idx="5">
                  <c:v>65937.12161988669</c:v>
                </c:pt>
                <c:pt idx="6">
                  <c:v>67460.964529685094</c:v>
                </c:pt>
                <c:pt idx="7">
                  <c:v>67391.895294987655</c:v>
                </c:pt>
                <c:pt idx="8">
                  <c:v>60774.014759813115</c:v>
                </c:pt>
                <c:pt idx="9">
                  <c:v>54716.471502665212</c:v>
                </c:pt>
                <c:pt idx="10">
                  <c:v>53680.537749272575</c:v>
                </c:pt>
                <c:pt idx="11">
                  <c:v>53370.787446489339</c:v>
                </c:pt>
                <c:pt idx="12">
                  <c:v>50639.520284229511</c:v>
                </c:pt>
                <c:pt idx="13">
                  <c:v>48860.839147158491</c:v>
                </c:pt>
                <c:pt idx="14">
                  <c:v>47200.387059196823</c:v>
                </c:pt>
                <c:pt idx="15">
                  <c:v>46307.447276390252</c:v>
                </c:pt>
                <c:pt idx="16">
                  <c:v>44917.834162870146</c:v>
                </c:pt>
                <c:pt idx="17">
                  <c:v>44974.630822830957</c:v>
                </c:pt>
                <c:pt idx="18">
                  <c:v>44234.596303633472</c:v>
                </c:pt>
                <c:pt idx="19">
                  <c:v>42654.636900892205</c:v>
                </c:pt>
                <c:pt idx="20">
                  <c:v>40477.950558242614</c:v>
                </c:pt>
                <c:pt idx="21">
                  <c:v>38878.980199922364</c:v>
                </c:pt>
                <c:pt idx="22">
                  <c:v>39163.801332396717</c:v>
                </c:pt>
                <c:pt idx="23">
                  <c:v>38930.283475850403</c:v>
                </c:pt>
                <c:pt idx="24">
                  <c:v>40062.956068585561</c:v>
                </c:pt>
                <c:pt idx="25">
                  <c:v>39895.490687987513</c:v>
                </c:pt>
                <c:pt idx="26">
                  <c:v>38789.926547989024</c:v>
                </c:pt>
                <c:pt idx="27">
                  <c:v>40162.029094124264</c:v>
                </c:pt>
                <c:pt idx="28">
                  <c:v>38500.054921787887</c:v>
                </c:pt>
                <c:pt idx="29">
                  <c:v>38071.442997228092</c:v>
                </c:pt>
                <c:pt idx="30">
                  <c:v>36297.324169319545</c:v>
                </c:pt>
              </c:numCache>
            </c:numRef>
          </c:val>
          <c:extLst>
            <c:ext xmlns:c16="http://schemas.microsoft.com/office/drawing/2014/chart" uri="{C3380CC4-5D6E-409C-BE32-E72D297353CC}">
              <c16:uniqueId val="{00000002-0008-4208-B0C9-467781BFFF97}"/>
            </c:ext>
          </c:extLst>
        </c:ser>
        <c:ser>
          <c:idx val="3"/>
          <c:order val="3"/>
          <c:tx>
            <c:strRef>
              <c:f>Feuil1!$A$12</c:f>
              <c:strCache>
                <c:ptCount val="1"/>
                <c:pt idx="0">
                  <c:v>Total gaz fluorés (ktCO2e)</c:v>
                </c:pt>
              </c:strCache>
            </c:strRef>
          </c:tx>
          <c:spPr>
            <a:solidFill>
              <a:schemeClr val="accent4"/>
            </a:solidFill>
            <a:ln>
              <a:solidFill>
                <a:schemeClr val="accent3"/>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Feuil1!$B$12:$AF$12</c:f>
              <c:numCache>
                <c:formatCode>#,##0.00</c:formatCode>
                <c:ptCount val="31"/>
                <c:pt idx="0">
                  <c:v>11775.891596638055</c:v>
                </c:pt>
                <c:pt idx="1">
                  <c:v>12180.858855584369</c:v>
                </c:pt>
                <c:pt idx="2">
                  <c:v>11610.666721392568</c:v>
                </c:pt>
                <c:pt idx="3">
                  <c:v>10025.371360579766</c:v>
                </c:pt>
                <c:pt idx="4">
                  <c:v>8544.9896059714047</c:v>
                </c:pt>
                <c:pt idx="5">
                  <c:v>7257.6249228524539</c:v>
                </c:pt>
                <c:pt idx="6">
                  <c:v>8357.946017167058</c:v>
                </c:pt>
                <c:pt idx="7">
                  <c:v>9300.7957147597372</c:v>
                </c:pt>
                <c:pt idx="8">
                  <c:v>10306.914622306958</c:v>
                </c:pt>
                <c:pt idx="9">
                  <c:v>12066.577731172534</c:v>
                </c:pt>
                <c:pt idx="10">
                  <c:v>11941.942313900689</c:v>
                </c:pt>
                <c:pt idx="11">
                  <c:v>12459.204022177471</c:v>
                </c:pt>
                <c:pt idx="12">
                  <c:v>14923.216108873314</c:v>
                </c:pt>
                <c:pt idx="13">
                  <c:v>15852.047134074186</c:v>
                </c:pt>
                <c:pt idx="14">
                  <c:v>16148.725771944184</c:v>
                </c:pt>
                <c:pt idx="15">
                  <c:v>16012.881353173305</c:v>
                </c:pt>
                <c:pt idx="16">
                  <c:v>17098.501637388665</c:v>
                </c:pt>
                <c:pt idx="17">
                  <c:v>17557.498480207938</c:v>
                </c:pt>
                <c:pt idx="18">
                  <c:v>18263.522417700187</c:v>
                </c:pt>
                <c:pt idx="19">
                  <c:v>17763.485235419597</c:v>
                </c:pt>
                <c:pt idx="20">
                  <c:v>18447.527104163426</c:v>
                </c:pt>
                <c:pt idx="21">
                  <c:v>19085.929970560956</c:v>
                </c:pt>
                <c:pt idx="22">
                  <c:v>19339.032385042174</c:v>
                </c:pt>
                <c:pt idx="23">
                  <c:v>19046.051331139508</c:v>
                </c:pt>
                <c:pt idx="24">
                  <c:v>18762.534289166782</c:v>
                </c:pt>
                <c:pt idx="25">
                  <c:v>18535.34738843812</c:v>
                </c:pt>
                <c:pt idx="26">
                  <c:v>18383.987847378088</c:v>
                </c:pt>
                <c:pt idx="27">
                  <c:v>17811.787057873556</c:v>
                </c:pt>
                <c:pt idx="28">
                  <c:v>15964.626710949149</c:v>
                </c:pt>
                <c:pt idx="29">
                  <c:v>14005.467606631551</c:v>
                </c:pt>
                <c:pt idx="30">
                  <c:v>12635.711029729535</c:v>
                </c:pt>
              </c:numCache>
            </c:numRef>
          </c:val>
          <c:extLst>
            <c:ext xmlns:c16="http://schemas.microsoft.com/office/drawing/2014/chart" uri="{C3380CC4-5D6E-409C-BE32-E72D297353CC}">
              <c16:uniqueId val="{00000003-0008-4208-B0C9-467781BFFF97}"/>
            </c:ext>
          </c:extLst>
        </c:ser>
        <c:dLbls>
          <c:showLegendKey val="0"/>
          <c:showVal val="0"/>
          <c:showCatName val="0"/>
          <c:showSerName val="0"/>
          <c:showPercent val="0"/>
          <c:showBubbleSize val="0"/>
        </c:dLbls>
        <c:axId val="1965540799"/>
        <c:axId val="1965545375"/>
      </c:areaChart>
      <c:catAx>
        <c:axId val="196554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545375"/>
        <c:crosses val="autoZero"/>
        <c:auto val="1"/>
        <c:lblAlgn val="ctr"/>
        <c:lblOffset val="100"/>
        <c:noMultiLvlLbl val="0"/>
      </c:catAx>
      <c:valAx>
        <c:axId val="19655453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5407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Feuil1!$A$9</c:f>
              <c:strCache>
                <c:ptCount val="1"/>
                <c:pt idx="0">
                  <c:v>Total HFCs+PFCs (ktCO2e)</c:v>
                </c:pt>
              </c:strCache>
            </c:strRef>
          </c:tx>
          <c:spPr>
            <a:solidFill>
              <a:srgbClr val="0070C0"/>
            </a:solidFill>
            <a:ln>
              <a:noFill/>
            </a:ln>
            <a:effectLst/>
          </c:spPr>
          <c:invertIfNegative val="0"/>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Feuil1!$B$9:$AF$9</c:f>
              <c:numCache>
                <c:formatCode>#,##0.00</c:formatCode>
                <c:ptCount val="31"/>
                <c:pt idx="0">
                  <c:v>9604.6665271304155</c:v>
                </c:pt>
                <c:pt idx="1">
                  <c:v>9946.9202890802462</c:v>
                </c:pt>
                <c:pt idx="2">
                  <c:v>9336.3273333666966</c:v>
                </c:pt>
                <c:pt idx="3">
                  <c:v>7709.8516211587375</c:v>
                </c:pt>
                <c:pt idx="4">
                  <c:v>6079.1710397782963</c:v>
                </c:pt>
                <c:pt idx="5">
                  <c:v>4766.8984222921581</c:v>
                </c:pt>
                <c:pt idx="6">
                  <c:v>5857.0490300168221</c:v>
                </c:pt>
                <c:pt idx="7">
                  <c:v>6813.4163742111723</c:v>
                </c:pt>
                <c:pt idx="8">
                  <c:v>7696.033803647425</c:v>
                </c:pt>
                <c:pt idx="9">
                  <c:v>9752.687497271043</c:v>
                </c:pt>
                <c:pt idx="10">
                  <c:v>9733.2025430754693</c:v>
                </c:pt>
                <c:pt idx="11">
                  <c:v>10613.908809811499</c:v>
                </c:pt>
                <c:pt idx="12">
                  <c:v>13297.232782184301</c:v>
                </c:pt>
                <c:pt idx="13">
                  <c:v>14236.707697821159</c:v>
                </c:pt>
                <c:pt idx="14">
                  <c:v>14507.182404778776</c:v>
                </c:pt>
                <c:pt idx="15">
                  <c:v>14622.489578696477</c:v>
                </c:pt>
                <c:pt idx="16">
                  <c:v>15815.019850953942</c:v>
                </c:pt>
                <c:pt idx="17">
                  <c:v>16378.691455684726</c:v>
                </c:pt>
                <c:pt idx="18">
                  <c:v>17085.275974385324</c:v>
                </c:pt>
                <c:pt idx="19">
                  <c:v>16765.682383712065</c:v>
                </c:pt>
                <c:pt idx="20">
                  <c:v>17547.474472928167</c:v>
                </c:pt>
                <c:pt idx="21">
                  <c:v>18402.836974075562</c:v>
                </c:pt>
                <c:pt idx="22">
                  <c:v>18652.415852675858</c:v>
                </c:pt>
                <c:pt idx="23">
                  <c:v>18442.079453670674</c:v>
                </c:pt>
                <c:pt idx="24">
                  <c:v>18277.640057978169</c:v>
                </c:pt>
                <c:pt idx="25">
                  <c:v>18030.866529797542</c:v>
                </c:pt>
                <c:pt idx="26">
                  <c:v>17871.175175864337</c:v>
                </c:pt>
                <c:pt idx="27">
                  <c:v>17344.896636135745</c:v>
                </c:pt>
                <c:pt idx="28">
                  <c:v>15524.172828919465</c:v>
                </c:pt>
                <c:pt idx="29">
                  <c:v>13607.820512736003</c:v>
                </c:pt>
                <c:pt idx="30">
                  <c:v>12278.816496961015</c:v>
                </c:pt>
              </c:numCache>
            </c:numRef>
          </c:val>
          <c:extLst>
            <c:ext xmlns:c16="http://schemas.microsoft.com/office/drawing/2014/chart" uri="{C3380CC4-5D6E-409C-BE32-E72D297353CC}">
              <c16:uniqueId val="{00000000-3BF2-458E-B03D-72482351341F}"/>
            </c:ext>
          </c:extLst>
        </c:ser>
        <c:ser>
          <c:idx val="1"/>
          <c:order val="1"/>
          <c:tx>
            <c:strRef>
              <c:f>Feuil1!$A$10</c:f>
              <c:strCache>
                <c:ptCount val="1"/>
                <c:pt idx="0">
                  <c:v>Total SF6 (ktCO2e)</c:v>
                </c:pt>
              </c:strCache>
            </c:strRef>
          </c:tx>
          <c:spPr>
            <a:solidFill>
              <a:srgbClr val="00B050"/>
            </a:solidFill>
            <a:ln>
              <a:noFill/>
            </a:ln>
            <a:effectLst/>
          </c:spPr>
          <c:invertIfNegative val="0"/>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Feuil1!$B$10:$AF$10</c:f>
              <c:numCache>
                <c:formatCode>#,##0.00</c:formatCode>
                <c:ptCount val="31"/>
                <c:pt idx="0">
                  <c:v>2154.744186309204</c:v>
                </c:pt>
                <c:pt idx="1">
                  <c:v>2217.4576833056881</c:v>
                </c:pt>
                <c:pt idx="2">
                  <c:v>2256.210416507472</c:v>
                </c:pt>
                <c:pt idx="3">
                  <c:v>2295.577870750788</c:v>
                </c:pt>
                <c:pt idx="4">
                  <c:v>2443.8825106558438</c:v>
                </c:pt>
                <c:pt idx="5">
                  <c:v>2466.59683946934</c:v>
                </c:pt>
                <c:pt idx="6">
                  <c:v>2494.6370632690441</c:v>
                </c:pt>
                <c:pt idx="7">
                  <c:v>2475.9185365035601</c:v>
                </c:pt>
                <c:pt idx="8">
                  <c:v>2593.703923993668</c:v>
                </c:pt>
                <c:pt idx="9">
                  <c:v>2292.7350616642202</c:v>
                </c:pt>
                <c:pt idx="10">
                  <c:v>2180.3301783313441</c:v>
                </c:pt>
                <c:pt idx="11">
                  <c:v>1825.40351853882</c:v>
                </c:pt>
                <c:pt idx="12">
                  <c:v>1597.5376322446441</c:v>
                </c:pt>
                <c:pt idx="13">
                  <c:v>1579.7946160704601</c:v>
                </c:pt>
                <c:pt idx="14">
                  <c:v>1611.0763784374681</c:v>
                </c:pt>
                <c:pt idx="15">
                  <c:v>1354.8469542942601</c:v>
                </c:pt>
                <c:pt idx="16">
                  <c:v>1252.2121864347239</c:v>
                </c:pt>
                <c:pt idx="17">
                  <c:v>1149.0510245232119</c:v>
                </c:pt>
                <c:pt idx="18">
                  <c:v>1136.140843314864</c:v>
                </c:pt>
                <c:pt idx="19">
                  <c:v>951.44885170753196</c:v>
                </c:pt>
                <c:pt idx="20">
                  <c:v>875.09543123525998</c:v>
                </c:pt>
                <c:pt idx="21">
                  <c:v>650.96339648539197</c:v>
                </c:pt>
                <c:pt idx="22">
                  <c:v>655.26093236631596</c:v>
                </c:pt>
                <c:pt idx="23">
                  <c:v>583.57267746883201</c:v>
                </c:pt>
                <c:pt idx="24">
                  <c:v>474.26463118861199</c:v>
                </c:pt>
                <c:pt idx="25">
                  <c:v>498.10935944058002</c:v>
                </c:pt>
                <c:pt idx="26">
                  <c:v>506.57886484975199</c:v>
                </c:pt>
                <c:pt idx="27">
                  <c:v>461.052063541812</c:v>
                </c:pt>
                <c:pt idx="28">
                  <c:v>432.81643634168398</c:v>
                </c:pt>
                <c:pt idx="29">
                  <c:v>385.396416635496</c:v>
                </c:pt>
                <c:pt idx="30">
                  <c:v>346.603901236524</c:v>
                </c:pt>
              </c:numCache>
            </c:numRef>
          </c:val>
          <c:extLst>
            <c:ext xmlns:c16="http://schemas.microsoft.com/office/drawing/2014/chart" uri="{C3380CC4-5D6E-409C-BE32-E72D297353CC}">
              <c16:uniqueId val="{00000001-3BF2-458E-B03D-72482351341F}"/>
            </c:ext>
          </c:extLst>
        </c:ser>
        <c:ser>
          <c:idx val="2"/>
          <c:order val="2"/>
          <c:tx>
            <c:strRef>
              <c:f>Feuil1!$A$11</c:f>
              <c:strCache>
                <c:ptCount val="1"/>
                <c:pt idx="0">
                  <c:v>Total NF3 (ktCO2e)</c:v>
                </c:pt>
              </c:strCache>
            </c:strRef>
          </c:tx>
          <c:spPr>
            <a:solidFill>
              <a:schemeClr val="accent3"/>
            </a:solidFill>
            <a:ln>
              <a:noFill/>
            </a:ln>
            <a:effectLst/>
          </c:spPr>
          <c:invertIfNegative val="0"/>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Feuil1!$B$11:$AF$11</c:f>
              <c:numCache>
                <c:formatCode>#,##0.00</c:formatCode>
                <c:ptCount val="31"/>
                <c:pt idx="0">
                  <c:v>16.480883198436</c:v>
                </c:pt>
                <c:pt idx="1">
                  <c:v>16.480883198436</c:v>
                </c:pt>
                <c:pt idx="2">
                  <c:v>18.1289715184</c:v>
                </c:pt>
                <c:pt idx="3">
                  <c:v>19.941868670240002</c:v>
                </c:pt>
                <c:pt idx="4">
                  <c:v>21.936055537264</c:v>
                </c:pt>
                <c:pt idx="5">
                  <c:v>24.129661090955999</c:v>
                </c:pt>
                <c:pt idx="6">
                  <c:v>6.2599238811919999</c:v>
                </c:pt>
                <c:pt idx="7">
                  <c:v>11.460804045004</c:v>
                </c:pt>
                <c:pt idx="8">
                  <c:v>17.176894665864001</c:v>
                </c:pt>
                <c:pt idx="9">
                  <c:v>21.155172237272001</c:v>
                </c:pt>
                <c:pt idx="10">
                  <c:v>28.409592493876001</c:v>
                </c:pt>
                <c:pt idx="11">
                  <c:v>19.891693827152</c:v>
                </c:pt>
                <c:pt idx="12">
                  <c:v>28.445694444368002</c:v>
                </c:pt>
                <c:pt idx="13">
                  <c:v>35.544820182568003</c:v>
                </c:pt>
                <c:pt idx="14">
                  <c:v>30.466988727939999</c:v>
                </c:pt>
                <c:pt idx="15">
                  <c:v>35.544820182568003</c:v>
                </c:pt>
                <c:pt idx="16">
                  <c:v>31.269600000000001</c:v>
                </c:pt>
                <c:pt idx="17">
                  <c:v>29.756</c:v>
                </c:pt>
                <c:pt idx="18">
                  <c:v>42.105600000000003</c:v>
                </c:pt>
                <c:pt idx="19">
                  <c:v>46.353999999999999</c:v>
                </c:pt>
                <c:pt idx="20">
                  <c:v>24.9572</c:v>
                </c:pt>
                <c:pt idx="21">
                  <c:v>32.129600000000003</c:v>
                </c:pt>
                <c:pt idx="22">
                  <c:v>31.355599999999999</c:v>
                </c:pt>
                <c:pt idx="23">
                  <c:v>20.3992</c:v>
                </c:pt>
                <c:pt idx="24">
                  <c:v>10.6296</c:v>
                </c:pt>
                <c:pt idx="25">
                  <c:v>6.3714991999999997</c:v>
                </c:pt>
                <c:pt idx="26">
                  <c:v>6.2338066640000003</c:v>
                </c:pt>
                <c:pt idx="27">
                  <c:v>5.8383581959999997</c:v>
                </c:pt>
                <c:pt idx="28">
                  <c:v>7.6374456879999997</c:v>
                </c:pt>
                <c:pt idx="29">
                  <c:v>12.250677260052001</c:v>
                </c:pt>
                <c:pt idx="30">
                  <c:v>10.290631531996</c:v>
                </c:pt>
              </c:numCache>
            </c:numRef>
          </c:val>
          <c:extLst>
            <c:ext xmlns:c16="http://schemas.microsoft.com/office/drawing/2014/chart" uri="{C3380CC4-5D6E-409C-BE32-E72D297353CC}">
              <c16:uniqueId val="{00000002-3BF2-458E-B03D-72482351341F}"/>
            </c:ext>
          </c:extLst>
        </c:ser>
        <c:dLbls>
          <c:showLegendKey val="0"/>
          <c:showVal val="0"/>
          <c:showCatName val="0"/>
          <c:showSerName val="0"/>
          <c:showPercent val="0"/>
          <c:showBubbleSize val="0"/>
        </c:dLbls>
        <c:gapWidth val="150"/>
        <c:overlap val="100"/>
        <c:axId val="1943772143"/>
        <c:axId val="1943776303"/>
      </c:barChart>
      <c:catAx>
        <c:axId val="194377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776303"/>
        <c:crosses val="autoZero"/>
        <c:auto val="1"/>
        <c:lblAlgn val="ctr"/>
        <c:lblOffset val="100"/>
        <c:noMultiLvlLbl val="0"/>
      </c:catAx>
      <c:valAx>
        <c:axId val="19437763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a:t>Evolution des émissions de CO</a:t>
            </a:r>
            <a:r>
              <a:rPr lang="fr-FR" sz="1100" baseline="-25000"/>
              <a:t>2</a:t>
            </a:r>
            <a:r>
              <a:rPr lang="fr-FR" sz="1100"/>
              <a:t> des principaux secteurs (ktCO</a:t>
            </a:r>
            <a:r>
              <a:rPr lang="fr-FR" sz="1100" baseline="-25000"/>
              <a:t>2e</a:t>
            </a:r>
            <a:r>
              <a:rPr lang="fr-FR" sz="11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4648432103883"/>
          <c:y val="0.1142607174103237"/>
          <c:w val="0.83933070866141735"/>
          <c:h val="0.54594305633055706"/>
        </c:manualLayout>
      </c:layout>
      <c:areaChart>
        <c:grouping val="stacked"/>
        <c:varyColors val="0"/>
        <c:ser>
          <c:idx val="0"/>
          <c:order val="0"/>
          <c:tx>
            <c:v>1.A.1. Industries de l'énergie</c:v>
          </c:tx>
          <c:spPr>
            <a:solidFill>
              <a:schemeClr val="accent1"/>
            </a:solidFill>
            <a:ln>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KP'!$B$8:$AF$8</c:f>
              <c:numCache>
                <c:formatCode>0.00</c:formatCode>
                <c:ptCount val="31"/>
                <c:pt idx="0">
                  <c:v>347073.52787134971</c:v>
                </c:pt>
                <c:pt idx="1">
                  <c:v>373550.75071937096</c:v>
                </c:pt>
                <c:pt idx="2">
                  <c:v>364327.22425336682</c:v>
                </c:pt>
                <c:pt idx="3">
                  <c:v>347140.07729086454</c:v>
                </c:pt>
                <c:pt idx="4">
                  <c:v>340225.715556596</c:v>
                </c:pt>
                <c:pt idx="5">
                  <c:v>345693.76664773282</c:v>
                </c:pt>
                <c:pt idx="6">
                  <c:v>361559.69574796333</c:v>
                </c:pt>
                <c:pt idx="7">
                  <c:v>353459.73313898942</c:v>
                </c:pt>
                <c:pt idx="8">
                  <c:v>372912.74536816066</c:v>
                </c:pt>
                <c:pt idx="9">
                  <c:v>372086.71898674057</c:v>
                </c:pt>
                <c:pt idx="10">
                  <c:v>366225.35988739604</c:v>
                </c:pt>
                <c:pt idx="11">
                  <c:v>372892.09320358955</c:v>
                </c:pt>
                <c:pt idx="12">
                  <c:v>368797.69673033111</c:v>
                </c:pt>
                <c:pt idx="13">
                  <c:v>374794.06206250732</c:v>
                </c:pt>
                <c:pt idx="14">
                  <c:v>374641.26864324661</c:v>
                </c:pt>
                <c:pt idx="15">
                  <c:v>377276.3386740773</c:v>
                </c:pt>
                <c:pt idx="16">
                  <c:v>366010.88457365718</c:v>
                </c:pt>
                <c:pt idx="17">
                  <c:v>355614.19899781252</c:v>
                </c:pt>
                <c:pt idx="18">
                  <c:v>353767.24256804748</c:v>
                </c:pt>
                <c:pt idx="19">
                  <c:v>343810.81342573854</c:v>
                </c:pt>
                <c:pt idx="20">
                  <c:v>346147.95767335844</c:v>
                </c:pt>
                <c:pt idx="21">
                  <c:v>324522.19621384272</c:v>
                </c:pt>
                <c:pt idx="22">
                  <c:v>329274.43127475388</c:v>
                </c:pt>
                <c:pt idx="23">
                  <c:v>329287.37078941229</c:v>
                </c:pt>
                <c:pt idx="24">
                  <c:v>297780.46730377828</c:v>
                </c:pt>
                <c:pt idx="25">
                  <c:v>304214.18774502975</c:v>
                </c:pt>
                <c:pt idx="26">
                  <c:v>307112.73448895797</c:v>
                </c:pt>
                <c:pt idx="27">
                  <c:v>308740.94526129973</c:v>
                </c:pt>
                <c:pt idx="28">
                  <c:v>294063.34669160401</c:v>
                </c:pt>
                <c:pt idx="29">
                  <c:v>288790.78733144875</c:v>
                </c:pt>
                <c:pt idx="30">
                  <c:v>256968.82331215014</c:v>
                </c:pt>
              </c:numCache>
            </c:numRef>
          </c:val>
          <c:extLst>
            <c:ext xmlns:c16="http://schemas.microsoft.com/office/drawing/2014/chart" uri="{C3380CC4-5D6E-409C-BE32-E72D297353CC}">
              <c16:uniqueId val="{00000000-DA23-4097-812D-C8DD9E73DE2D}"/>
            </c:ext>
          </c:extLst>
        </c:ser>
        <c:ser>
          <c:idx val="1"/>
          <c:order val="1"/>
          <c:tx>
            <c:v>1.A.2. Industries manufacturière et de la construction</c:v>
          </c:tx>
          <c:spPr>
            <a:solidFill>
              <a:schemeClr val="accent2"/>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KP'!$B$10:$AF$10</c:f>
              <c:numCache>
                <c:formatCode>0.00</c:formatCode>
                <c:ptCount val="31"/>
                <c:pt idx="0">
                  <c:v>64590.712961659796</c:v>
                </c:pt>
                <c:pt idx="1">
                  <c:v>77696.009564922861</c:v>
                </c:pt>
                <c:pt idx="2">
                  <c:v>68012.676351908958</c:v>
                </c:pt>
                <c:pt idx="3">
                  <c:v>65543.261806741066</c:v>
                </c:pt>
                <c:pt idx="4">
                  <c:v>66699.351507990927</c:v>
                </c:pt>
                <c:pt idx="5">
                  <c:v>68882.986985946889</c:v>
                </c:pt>
                <c:pt idx="6">
                  <c:v>71016.817517849384</c:v>
                </c:pt>
                <c:pt idx="7">
                  <c:v>69043.199647183254</c:v>
                </c:pt>
                <c:pt idx="8">
                  <c:v>68059.359064685559</c:v>
                </c:pt>
                <c:pt idx="9">
                  <c:v>68646.381933612371</c:v>
                </c:pt>
                <c:pt idx="10">
                  <c:v>67107.913153784306</c:v>
                </c:pt>
                <c:pt idx="11">
                  <c:v>72053.534026867739</c:v>
                </c:pt>
                <c:pt idx="12">
                  <c:v>68001.801944438921</c:v>
                </c:pt>
                <c:pt idx="13">
                  <c:v>68030.914834464013</c:v>
                </c:pt>
                <c:pt idx="14">
                  <c:v>63911.77802184441</c:v>
                </c:pt>
                <c:pt idx="15">
                  <c:v>65392.982252178605</c:v>
                </c:pt>
                <c:pt idx="16">
                  <c:v>63958.805465519981</c:v>
                </c:pt>
                <c:pt idx="17">
                  <c:v>63097.224865014919</c:v>
                </c:pt>
                <c:pt idx="18">
                  <c:v>61289.794841782983</c:v>
                </c:pt>
                <c:pt idx="19">
                  <c:v>52489.603718436971</c:v>
                </c:pt>
                <c:pt idx="20">
                  <c:v>55776.163253961291</c:v>
                </c:pt>
                <c:pt idx="21">
                  <c:v>52467.886807919218</c:v>
                </c:pt>
                <c:pt idx="22">
                  <c:v>51136.223497938015</c:v>
                </c:pt>
                <c:pt idx="23">
                  <c:v>50588.955411737159</c:v>
                </c:pt>
                <c:pt idx="24">
                  <c:v>48036.09397821474</c:v>
                </c:pt>
                <c:pt idx="25">
                  <c:v>47164.39500072776</c:v>
                </c:pt>
                <c:pt idx="26" formatCode="#,##0.00">
                  <c:v>47039.259301359845</c:v>
                </c:pt>
                <c:pt idx="27" formatCode="#,##0.00">
                  <c:v>44796.539305233862</c:v>
                </c:pt>
                <c:pt idx="28" formatCode="#,##0.00">
                  <c:v>45887.512798223237</c:v>
                </c:pt>
                <c:pt idx="29" formatCode="#,##0.00">
                  <c:v>43802.473719040609</c:v>
                </c:pt>
                <c:pt idx="30" formatCode="#,##0.00">
                  <c:v>41588.555488161823</c:v>
                </c:pt>
              </c:numCache>
            </c:numRef>
          </c:val>
          <c:extLst>
            <c:ext xmlns:c16="http://schemas.microsoft.com/office/drawing/2014/chart" uri="{C3380CC4-5D6E-409C-BE32-E72D297353CC}">
              <c16:uniqueId val="{00000001-DA23-4097-812D-C8DD9E73DE2D}"/>
            </c:ext>
          </c:extLst>
        </c:ser>
        <c:ser>
          <c:idx val="2"/>
          <c:order val="2"/>
          <c:tx>
            <c:v>1.A.3. Transport</c:v>
          </c:tx>
          <c:spPr>
            <a:solidFill>
              <a:schemeClr val="accent3"/>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KP'!$B$11:$AF$11</c:f>
              <c:numCache>
                <c:formatCode>0.00</c:formatCode>
                <c:ptCount val="31"/>
                <c:pt idx="0">
                  <c:v>120340.58094556551</c:v>
                </c:pt>
                <c:pt idx="1">
                  <c:v>123519.01142723131</c:v>
                </c:pt>
                <c:pt idx="2">
                  <c:v>126346.18214810439</c:v>
                </c:pt>
                <c:pt idx="3">
                  <c:v>127007.24050598749</c:v>
                </c:pt>
                <c:pt idx="4">
                  <c:v>128627.69189197948</c:v>
                </c:pt>
                <c:pt idx="5">
                  <c:v>129860.9542378819</c:v>
                </c:pt>
                <c:pt idx="6">
                  <c:v>130011.11989450616</c:v>
                </c:pt>
                <c:pt idx="7">
                  <c:v>132254.65559027522</c:v>
                </c:pt>
                <c:pt idx="8">
                  <c:v>135636.18164482457</c:v>
                </c:pt>
                <c:pt idx="9">
                  <c:v>138973.96988916025</c:v>
                </c:pt>
                <c:pt idx="10">
                  <c:v>139062.05335389118</c:v>
                </c:pt>
                <c:pt idx="11">
                  <c:v>142116.92016854821</c:v>
                </c:pt>
                <c:pt idx="12">
                  <c:v>143759.42103722025</c:v>
                </c:pt>
                <c:pt idx="13">
                  <c:v>141965.79690448908</c:v>
                </c:pt>
                <c:pt idx="14">
                  <c:v>142534.9078064349</c:v>
                </c:pt>
                <c:pt idx="15">
                  <c:v>140204.34856793267</c:v>
                </c:pt>
                <c:pt idx="16">
                  <c:v>139754.47578245233</c:v>
                </c:pt>
                <c:pt idx="17">
                  <c:v>138589.80419287246</c:v>
                </c:pt>
                <c:pt idx="18">
                  <c:v>132915.1380154248</c:v>
                </c:pt>
                <c:pt idx="19">
                  <c:v>131408.95877935112</c:v>
                </c:pt>
                <c:pt idx="20">
                  <c:v>132265.79364781964</c:v>
                </c:pt>
                <c:pt idx="21">
                  <c:v>133191.86317069214</c:v>
                </c:pt>
                <c:pt idx="22">
                  <c:v>131486.26668680611</c:v>
                </c:pt>
                <c:pt idx="23">
                  <c:v>130759.23238159125</c:v>
                </c:pt>
                <c:pt idx="24">
                  <c:v>130692.88574372198</c:v>
                </c:pt>
                <c:pt idx="25">
                  <c:v>132149.34461964076</c:v>
                </c:pt>
                <c:pt idx="26" formatCode="#,##0.00">
                  <c:v>132328.77598784136</c:v>
                </c:pt>
                <c:pt idx="27" formatCode="#,##0.00">
                  <c:v>132669.15001171865</c:v>
                </c:pt>
                <c:pt idx="28" formatCode="#,##0.00">
                  <c:v>130090.03392344811</c:v>
                </c:pt>
                <c:pt idx="29" formatCode="#,##0.00">
                  <c:v>130180.48046423108</c:v>
                </c:pt>
                <c:pt idx="30" formatCode="#,##0.00">
                  <c:v>108179.03282126613</c:v>
                </c:pt>
              </c:numCache>
            </c:numRef>
          </c:val>
          <c:extLst>
            <c:ext xmlns:c16="http://schemas.microsoft.com/office/drawing/2014/chart" uri="{C3380CC4-5D6E-409C-BE32-E72D297353CC}">
              <c16:uniqueId val="{00000002-DA23-4097-812D-C8DD9E73DE2D}"/>
            </c:ext>
          </c:extLst>
        </c:ser>
        <c:ser>
          <c:idx val="3"/>
          <c:order val="3"/>
          <c:tx>
            <c:v>1.A.4. Autres secteurs</c:v>
          </c:tx>
          <c:spPr>
            <a:solidFill>
              <a:schemeClr val="accent4"/>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KP'!$B$12:$AF$12</c:f>
              <c:numCache>
                <c:formatCode>0.00</c:formatCode>
                <c:ptCount val="31"/>
                <c:pt idx="0">
                  <c:v>91854.843779862727</c:v>
                </c:pt>
                <c:pt idx="1">
                  <c:v>100953.23045165703</c:v>
                </c:pt>
                <c:pt idx="2">
                  <c:v>98818.298253529036</c:v>
                </c:pt>
                <c:pt idx="3">
                  <c:v>96141.863336102862</c:v>
                </c:pt>
                <c:pt idx="4">
                  <c:v>91239.031275800662</c:v>
                </c:pt>
                <c:pt idx="5">
                  <c:v>91026.785974988787</c:v>
                </c:pt>
                <c:pt idx="6">
                  <c:v>99550.950584109116</c:v>
                </c:pt>
                <c:pt idx="7">
                  <c:v>94309.730036517256</c:v>
                </c:pt>
                <c:pt idx="8">
                  <c:v>98214.743109084346</c:v>
                </c:pt>
                <c:pt idx="9">
                  <c:v>100041.76796553025</c:v>
                </c:pt>
                <c:pt idx="10">
                  <c:v>96141.423747879802</c:v>
                </c:pt>
                <c:pt idx="11">
                  <c:v>101204.92655803166</c:v>
                </c:pt>
                <c:pt idx="12">
                  <c:v>95684.186269890866</c:v>
                </c:pt>
                <c:pt idx="13">
                  <c:v>99829.217221003608</c:v>
                </c:pt>
                <c:pt idx="14">
                  <c:v>104347.98650537567</c:v>
                </c:pt>
                <c:pt idx="15">
                  <c:v>102706.23805838569</c:v>
                </c:pt>
                <c:pt idx="16">
                  <c:v>97338.789231045928</c:v>
                </c:pt>
                <c:pt idx="17">
                  <c:v>89429.381523094606</c:v>
                </c:pt>
                <c:pt idx="18">
                  <c:v>96203.54592423416</c:v>
                </c:pt>
                <c:pt idx="19">
                  <c:v>98624.615814807272</c:v>
                </c:pt>
                <c:pt idx="20">
                  <c:v>96196.179020779513</c:v>
                </c:pt>
                <c:pt idx="21">
                  <c:v>81814.076154066657</c:v>
                </c:pt>
                <c:pt idx="22">
                  <c:v>87745.203217087925</c:v>
                </c:pt>
                <c:pt idx="23">
                  <c:v>90685.670386742029</c:v>
                </c:pt>
                <c:pt idx="24">
                  <c:v>75132.893373595565</c:v>
                </c:pt>
                <c:pt idx="25">
                  <c:v>78173.026705826836</c:v>
                </c:pt>
                <c:pt idx="26" formatCode="#,##0.00">
                  <c:v>78196.755122174276</c:v>
                </c:pt>
                <c:pt idx="27" formatCode="#,##0.00">
                  <c:v>77777.655913284543</c:v>
                </c:pt>
                <c:pt idx="28" formatCode="#,##0.00">
                  <c:v>73782.621767281467</c:v>
                </c:pt>
                <c:pt idx="29" formatCode="#,##0.00">
                  <c:v>71839.961663916823</c:v>
                </c:pt>
                <c:pt idx="30" formatCode="#,##0.00">
                  <c:v>68903.093213286906</c:v>
                </c:pt>
              </c:numCache>
            </c:numRef>
          </c:val>
          <c:extLst>
            <c:ext xmlns:c16="http://schemas.microsoft.com/office/drawing/2014/chart" uri="{C3380CC4-5D6E-409C-BE32-E72D297353CC}">
              <c16:uniqueId val="{00000003-DA23-4097-812D-C8DD9E73DE2D}"/>
            </c:ext>
          </c:extLst>
        </c:ser>
        <c:ser>
          <c:idx val="4"/>
          <c:order val="4"/>
          <c:tx>
            <c:v>1.A.5. Autre</c:v>
          </c:tx>
          <c:spPr>
            <a:solidFill>
              <a:schemeClr val="accent5"/>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KP'!$B$13:$AF$13</c:f>
              <c:numCache>
                <c:formatCode>0.00</c:formatCode>
                <c:ptCount val="31"/>
                <c:pt idx="0">
                  <c:v>4464.24560772307</c:v>
                </c:pt>
                <c:pt idx="1">
                  <c:v>4109.97591665254</c:v>
                </c:pt>
                <c:pt idx="2">
                  <c:v>2803.9828329667157</c:v>
                </c:pt>
                <c:pt idx="3">
                  <c:v>2341.4155782823086</c:v>
                </c:pt>
                <c:pt idx="4">
                  <c:v>1077.2800448717949</c:v>
                </c:pt>
                <c:pt idx="5">
                  <c:v>593.56532853735234</c:v>
                </c:pt>
                <c:pt idx="6">
                  <c:v>981.85774649986843</c:v>
                </c:pt>
                <c:pt idx="7">
                  <c:v>1424.161912106764</c:v>
                </c:pt>
                <c:pt idx="8">
                  <c:v>2052.7226888264254</c:v>
                </c:pt>
                <c:pt idx="9">
                  <c:v>2002.0417509280621</c:v>
                </c:pt>
                <c:pt idx="10">
                  <c:v>1957.664690077559</c:v>
                </c:pt>
                <c:pt idx="11">
                  <c:v>2096.9902482619418</c:v>
                </c:pt>
                <c:pt idx="12">
                  <c:v>2665.7524760503748</c:v>
                </c:pt>
                <c:pt idx="13">
                  <c:v>2875.1623347812579</c:v>
                </c:pt>
                <c:pt idx="14">
                  <c:v>2875.1791347812623</c:v>
                </c:pt>
                <c:pt idx="15">
                  <c:v>2625.9476602555419</c:v>
                </c:pt>
                <c:pt idx="16">
                  <c:v>2648.1747697117894</c:v>
                </c:pt>
                <c:pt idx="17">
                  <c:v>2518.8249356740248</c:v>
                </c:pt>
                <c:pt idx="18">
                  <c:v>2534.3578266641475</c:v>
                </c:pt>
                <c:pt idx="19">
                  <c:v>2256.6762406888047</c:v>
                </c:pt>
                <c:pt idx="20">
                  <c:v>2258.2196996428715</c:v>
                </c:pt>
                <c:pt idx="21">
                  <c:v>2650.6152718682038</c:v>
                </c:pt>
                <c:pt idx="22">
                  <c:v>2283.6477486451472</c:v>
                </c:pt>
                <c:pt idx="23">
                  <c:v>2232.7026332530509</c:v>
                </c:pt>
                <c:pt idx="24">
                  <c:v>2118.8974724582531</c:v>
                </c:pt>
                <c:pt idx="25">
                  <c:v>2036.6779148691294</c:v>
                </c:pt>
                <c:pt idx="26" formatCode="#,##0.00">
                  <c:v>1346.6932773982185</c:v>
                </c:pt>
                <c:pt idx="27" formatCode="#,##0.00">
                  <c:v>1324.0207343931568</c:v>
                </c:pt>
                <c:pt idx="28" formatCode="#,##0.00">
                  <c:v>1417.4867047269163</c:v>
                </c:pt>
                <c:pt idx="29" formatCode="#,##0.00">
                  <c:v>1608.4777456956385</c:v>
                </c:pt>
                <c:pt idx="30" formatCode="#,##0.00">
                  <c:v>1476.3865801852398</c:v>
                </c:pt>
              </c:numCache>
            </c:numRef>
          </c:val>
          <c:extLst>
            <c:ext xmlns:c16="http://schemas.microsoft.com/office/drawing/2014/chart" uri="{C3380CC4-5D6E-409C-BE32-E72D297353CC}">
              <c16:uniqueId val="{00000004-DA23-4097-812D-C8DD9E73DE2D}"/>
            </c:ext>
          </c:extLst>
        </c:ser>
        <c:ser>
          <c:idx val="5"/>
          <c:order val="5"/>
          <c:tx>
            <c:v>1.B. Emissions fugitives de la combustion</c:v>
          </c:tx>
          <c:spPr>
            <a:solidFill>
              <a:schemeClr val="accent6"/>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KP'!$B$14:$AF$14</c:f>
              <c:numCache>
                <c:formatCode>0.00</c:formatCode>
                <c:ptCount val="31"/>
                <c:pt idx="0">
                  <c:v>4361.53682451031</c:v>
                </c:pt>
                <c:pt idx="1">
                  <c:v>4464.797336773081</c:v>
                </c:pt>
                <c:pt idx="2">
                  <c:v>4467.8738529402963</c:v>
                </c:pt>
                <c:pt idx="3">
                  <c:v>4270.3402422992767</c:v>
                </c:pt>
                <c:pt idx="4">
                  <c:v>4539.9195639463651</c:v>
                </c:pt>
                <c:pt idx="5">
                  <c:v>4421.1697410595661</c:v>
                </c:pt>
                <c:pt idx="6">
                  <c:v>4592.8451334755136</c:v>
                </c:pt>
                <c:pt idx="7">
                  <c:v>4540.8922011766108</c:v>
                </c:pt>
                <c:pt idx="8">
                  <c:v>4457.1773236280733</c:v>
                </c:pt>
                <c:pt idx="9">
                  <c:v>4147.3776957372957</c:v>
                </c:pt>
                <c:pt idx="10">
                  <c:v>4296.4126446604423</c:v>
                </c:pt>
                <c:pt idx="11">
                  <c:v>4260.0160273180081</c:v>
                </c:pt>
                <c:pt idx="12">
                  <c:v>4012.0641806662861</c:v>
                </c:pt>
                <c:pt idx="13">
                  <c:v>3973.0533925207528</c:v>
                </c:pt>
                <c:pt idx="14">
                  <c:v>4003.8622357178438</c:v>
                </c:pt>
                <c:pt idx="15">
                  <c:v>4009.2427440506808</c:v>
                </c:pt>
                <c:pt idx="16">
                  <c:v>4317.1779686359978</c:v>
                </c:pt>
                <c:pt idx="17">
                  <c:v>4625.3105407314306</c:v>
                </c:pt>
                <c:pt idx="18">
                  <c:v>4911.0036438326742</c:v>
                </c:pt>
                <c:pt idx="19">
                  <c:v>4630.1700647946973</c:v>
                </c:pt>
                <c:pt idx="20">
                  <c:v>4221.3629220611228</c:v>
                </c:pt>
                <c:pt idx="21">
                  <c:v>3991.0283143825595</c:v>
                </c:pt>
                <c:pt idx="22">
                  <c:v>3402.2795429884541</c:v>
                </c:pt>
                <c:pt idx="23">
                  <c:v>3136.5711416034587</c:v>
                </c:pt>
                <c:pt idx="24">
                  <c:v>3048.5560393752075</c:v>
                </c:pt>
                <c:pt idx="25">
                  <c:v>2945.8352320762633</c:v>
                </c:pt>
                <c:pt idx="26">
                  <c:v>2957.8002766815443</c:v>
                </c:pt>
                <c:pt idx="27">
                  <c:v>2902.0671822924378</c:v>
                </c:pt>
                <c:pt idx="28">
                  <c:v>2997.5133753245191</c:v>
                </c:pt>
                <c:pt idx="29">
                  <c:v>2587.8592802280268</c:v>
                </c:pt>
                <c:pt idx="30">
                  <c:v>2203.1033129924381</c:v>
                </c:pt>
              </c:numCache>
            </c:numRef>
          </c:val>
          <c:extLst>
            <c:ext xmlns:c16="http://schemas.microsoft.com/office/drawing/2014/chart" uri="{C3380CC4-5D6E-409C-BE32-E72D297353CC}">
              <c16:uniqueId val="{00000005-DA23-4097-812D-C8DD9E73DE2D}"/>
            </c:ext>
          </c:extLst>
        </c:ser>
        <c:ser>
          <c:idx val="6"/>
          <c:order val="6"/>
          <c:tx>
            <c:v>2. Procédés industriels</c:v>
          </c:tx>
          <c:spPr>
            <a:solidFill>
              <a:schemeClr val="accent1">
                <a:lumMod val="60000"/>
              </a:schemeClr>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KP'!$B$18:$AF$18</c:f>
              <c:numCache>
                <c:formatCode>0.00</c:formatCode>
                <c:ptCount val="31"/>
                <c:pt idx="0">
                  <c:v>42901.861136322586</c:v>
                </c:pt>
                <c:pt idx="1">
                  <c:v>41712.310082158663</c:v>
                </c:pt>
                <c:pt idx="2">
                  <c:v>39643.913280114255</c:v>
                </c:pt>
                <c:pt idx="3">
                  <c:v>38685.726570749364</c:v>
                </c:pt>
                <c:pt idx="4">
                  <c:v>39399.775133112176</c:v>
                </c:pt>
                <c:pt idx="5">
                  <c:v>38604.258330445518</c:v>
                </c:pt>
                <c:pt idx="6">
                  <c:v>38028.802138256433</c:v>
                </c:pt>
                <c:pt idx="7">
                  <c:v>39022.235215781096</c:v>
                </c:pt>
                <c:pt idx="8">
                  <c:v>39820.586891834173</c:v>
                </c:pt>
                <c:pt idx="9">
                  <c:v>39905.340225214568</c:v>
                </c:pt>
                <c:pt idx="10">
                  <c:v>40574.117820426625</c:v>
                </c:pt>
                <c:pt idx="11">
                  <c:v>39133.636022584207</c:v>
                </c:pt>
                <c:pt idx="12">
                  <c:v>39773.191114055888</c:v>
                </c:pt>
                <c:pt idx="13">
                  <c:v>38640.40704942595</c:v>
                </c:pt>
                <c:pt idx="14">
                  <c:v>40597.357036038673</c:v>
                </c:pt>
                <c:pt idx="15">
                  <c:v>40643.839060313221</c:v>
                </c:pt>
                <c:pt idx="16">
                  <c:v>41947.507076498943</c:v>
                </c:pt>
                <c:pt idx="17">
                  <c:v>42550.179146593357</c:v>
                </c:pt>
                <c:pt idx="18">
                  <c:v>38272.551724780584</c:v>
                </c:pt>
                <c:pt idx="19">
                  <c:v>29050.317631415215</c:v>
                </c:pt>
                <c:pt idx="20">
                  <c:v>32909.503130923113</c:v>
                </c:pt>
                <c:pt idx="21">
                  <c:v>32604.23401319404</c:v>
                </c:pt>
                <c:pt idx="22">
                  <c:v>30655.337488074278</c:v>
                </c:pt>
                <c:pt idx="23">
                  <c:v>32529.130949675433</c:v>
                </c:pt>
                <c:pt idx="24">
                  <c:v>32255.617010510578</c:v>
                </c:pt>
                <c:pt idx="25">
                  <c:v>30753.217321544911</c:v>
                </c:pt>
                <c:pt idx="26">
                  <c:v>30937.29060130869</c:v>
                </c:pt>
                <c:pt idx="27">
                  <c:v>32378.655643027738</c:v>
                </c:pt>
                <c:pt idx="28">
                  <c:v>31929.418902896563</c:v>
                </c:pt>
                <c:pt idx="29">
                  <c:v>31576.246999730047</c:v>
                </c:pt>
                <c:pt idx="30">
                  <c:v>26755.879871422498</c:v>
                </c:pt>
              </c:numCache>
            </c:numRef>
          </c:val>
          <c:extLst>
            <c:ext xmlns:c16="http://schemas.microsoft.com/office/drawing/2014/chart" uri="{C3380CC4-5D6E-409C-BE32-E72D297353CC}">
              <c16:uniqueId val="{00000006-DA23-4097-812D-C8DD9E73DE2D}"/>
            </c:ext>
          </c:extLst>
        </c:ser>
        <c:dLbls>
          <c:showLegendKey val="0"/>
          <c:showVal val="0"/>
          <c:showCatName val="0"/>
          <c:showSerName val="0"/>
          <c:showPercent val="0"/>
          <c:showBubbleSize val="0"/>
        </c:dLbls>
        <c:axId val="1869256511"/>
        <c:axId val="1869254431"/>
      </c:areaChart>
      <c:catAx>
        <c:axId val="18692565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254431"/>
        <c:crosses val="autoZero"/>
        <c:auto val="1"/>
        <c:lblAlgn val="ctr"/>
        <c:lblOffset val="100"/>
        <c:noMultiLvlLbl val="0"/>
      </c:catAx>
      <c:valAx>
        <c:axId val="186925443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256511"/>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1.1363793341621768E-2"/>
          <c:y val="0.79301244824711858"/>
          <c:w val="0.97946522309711281"/>
          <c:h val="0.18599017642479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Evolution des émissions de CH</a:t>
            </a:r>
            <a:r>
              <a:rPr lang="fr-FR" sz="1100" baseline="-25000"/>
              <a:t>4</a:t>
            </a:r>
            <a:r>
              <a:rPr lang="fr-FR" sz="1100"/>
              <a:t> (en ktCO2</a:t>
            </a:r>
            <a:r>
              <a:rPr lang="fr-FR" sz="1100" baseline="-25000"/>
              <a:t>e</a:t>
            </a:r>
            <a:r>
              <a:rPr lang="fr-FR"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v>Agriculture</c:v>
          </c:tx>
          <c:spPr>
            <a:solidFill>
              <a:schemeClr val="accent3"/>
            </a:solidFill>
            <a:ln w="25400">
              <a:noFill/>
            </a:ln>
            <a:effectLst/>
          </c:spPr>
          <c:cat>
            <c:strRef>
              <c:f>'Table 10s3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10s3 2020 KP'!$B$92:$AF$92</c:f>
              <c:numCache>
                <c:formatCode>0.00</c:formatCode>
                <c:ptCount val="31"/>
                <c:pt idx="0">
                  <c:v>42218.484836102623</c:v>
                </c:pt>
                <c:pt idx="1">
                  <c:v>41556.334802086843</c:v>
                </c:pt>
                <c:pt idx="2">
                  <c:v>41025.888877776524</c:v>
                </c:pt>
                <c:pt idx="3">
                  <c:v>40735.527572457991</c:v>
                </c:pt>
                <c:pt idx="4">
                  <c:v>40921.106087911619</c:v>
                </c:pt>
                <c:pt idx="5">
                  <c:v>41145.392867441333</c:v>
                </c:pt>
                <c:pt idx="6">
                  <c:v>41031.89121376878</c:v>
                </c:pt>
                <c:pt idx="7">
                  <c:v>40852.683543406398</c:v>
                </c:pt>
                <c:pt idx="8">
                  <c:v>40594.867814532248</c:v>
                </c:pt>
                <c:pt idx="9">
                  <c:v>40790.410879625015</c:v>
                </c:pt>
                <c:pt idx="10">
                  <c:v>42197.092327864812</c:v>
                </c:pt>
                <c:pt idx="11">
                  <c:v>42171.196026837308</c:v>
                </c:pt>
                <c:pt idx="12">
                  <c:v>41344.476692560769</c:v>
                </c:pt>
                <c:pt idx="13">
                  <c:v>40303.973750057616</c:v>
                </c:pt>
                <c:pt idx="14">
                  <c:v>39541.459854196561</c:v>
                </c:pt>
                <c:pt idx="15">
                  <c:v>39372.970698070909</c:v>
                </c:pt>
                <c:pt idx="16">
                  <c:v>39525.06322783303</c:v>
                </c:pt>
                <c:pt idx="17">
                  <c:v>39687.546501716475</c:v>
                </c:pt>
                <c:pt idx="18">
                  <c:v>40113.741869790421</c:v>
                </c:pt>
                <c:pt idx="19">
                  <c:v>39786.522438728629</c:v>
                </c:pt>
                <c:pt idx="20">
                  <c:v>39325.305282338566</c:v>
                </c:pt>
                <c:pt idx="21">
                  <c:v>39134.384448022021</c:v>
                </c:pt>
                <c:pt idx="22">
                  <c:v>38437.086429259187</c:v>
                </c:pt>
                <c:pt idx="23">
                  <c:v>38394.238729909775</c:v>
                </c:pt>
                <c:pt idx="24">
                  <c:v>39174.110563206334</c:v>
                </c:pt>
                <c:pt idx="25">
                  <c:v>39281.017098455057</c:v>
                </c:pt>
                <c:pt idx="26">
                  <c:v>38879.676792708888</c:v>
                </c:pt>
                <c:pt idx="27">
                  <c:v>38527.033744311462</c:v>
                </c:pt>
                <c:pt idx="28">
                  <c:v>38099.38815603363</c:v>
                </c:pt>
                <c:pt idx="29">
                  <c:v>37445.250927525318</c:v>
                </c:pt>
                <c:pt idx="30">
                  <c:v>36998.762228362975</c:v>
                </c:pt>
              </c:numCache>
            </c:numRef>
          </c:val>
          <c:extLst>
            <c:ext xmlns:c16="http://schemas.microsoft.com/office/drawing/2014/chart" uri="{C3380CC4-5D6E-409C-BE32-E72D297353CC}">
              <c16:uniqueId val="{00000000-4635-4B0E-B989-A339D06AD90F}"/>
            </c:ext>
          </c:extLst>
        </c:ser>
        <c:ser>
          <c:idx val="1"/>
          <c:order val="1"/>
          <c:tx>
            <c:v>1.B. Emissions fugitives</c:v>
          </c:tx>
          <c:spPr>
            <a:solidFill>
              <a:schemeClr val="accent2"/>
            </a:solidFill>
            <a:ln w="25400">
              <a:noFill/>
            </a:ln>
            <a:effectLst/>
          </c:spPr>
          <c:val>
            <c:numRef>
              <c:f>'Table 10s3 2020 KP'!$B$79:$AF$79</c:f>
              <c:numCache>
                <c:formatCode>0.00</c:formatCode>
                <c:ptCount val="31"/>
                <c:pt idx="0">
                  <c:v>6611.5421729121945</c:v>
                </c:pt>
                <c:pt idx="1">
                  <c:v>6265.1804196464727</c:v>
                </c:pt>
                <c:pt idx="2">
                  <c:v>6411.2087547210858</c:v>
                </c:pt>
                <c:pt idx="3">
                  <c:v>6579.8746146772983</c:v>
                </c:pt>
                <c:pt idx="4">
                  <c:v>6655.5741188145657</c:v>
                </c:pt>
                <c:pt idx="5">
                  <c:v>6549.2757674698769</c:v>
                </c:pt>
                <c:pt idx="6">
                  <c:v>5300.7144282268</c:v>
                </c:pt>
                <c:pt idx="7">
                  <c:v>4710.8571635972166</c:v>
                </c:pt>
                <c:pt idx="8">
                  <c:v>4624.2437829437722</c:v>
                </c:pt>
                <c:pt idx="9">
                  <c:v>4449.8779757765396</c:v>
                </c:pt>
                <c:pt idx="10">
                  <c:v>3535.9130028954814</c:v>
                </c:pt>
                <c:pt idx="11">
                  <c:v>3308.7465348984852</c:v>
                </c:pt>
                <c:pt idx="12">
                  <c:v>2716.8822483477006</c:v>
                </c:pt>
                <c:pt idx="13">
                  <c:v>2633.0588673499506</c:v>
                </c:pt>
                <c:pt idx="14">
                  <c:v>2146.8130892675185</c:v>
                </c:pt>
                <c:pt idx="15">
                  <c:v>1810.8393208438197</c:v>
                </c:pt>
                <c:pt idx="16">
                  <c:v>1707.640342498383</c:v>
                </c:pt>
                <c:pt idx="17">
                  <c:v>1476.7023840598799</c:v>
                </c:pt>
                <c:pt idx="18">
                  <c:v>1473.7890792070739</c:v>
                </c:pt>
                <c:pt idx="19">
                  <c:v>1467.3106633318937</c:v>
                </c:pt>
                <c:pt idx="20">
                  <c:v>1535.7285326179226</c:v>
                </c:pt>
                <c:pt idx="21">
                  <c:v>1460.7254053980423</c:v>
                </c:pt>
                <c:pt idx="22">
                  <c:v>1427.1149853338136</c:v>
                </c:pt>
                <c:pt idx="23">
                  <c:v>1376.8046182293676</c:v>
                </c:pt>
                <c:pt idx="24">
                  <c:v>1229.5751288314302</c:v>
                </c:pt>
                <c:pt idx="25">
                  <c:v>1208.7889832982014</c:v>
                </c:pt>
                <c:pt idx="26">
                  <c:v>1232.150567589083</c:v>
                </c:pt>
                <c:pt idx="27">
                  <c:v>1137.8977984285716</c:v>
                </c:pt>
                <c:pt idx="28">
                  <c:v>1084.9378325920197</c:v>
                </c:pt>
                <c:pt idx="29">
                  <c:v>1007.6045605269735</c:v>
                </c:pt>
                <c:pt idx="30">
                  <c:v>851.20713407639244</c:v>
                </c:pt>
              </c:numCache>
            </c:numRef>
          </c:val>
          <c:extLst>
            <c:ext xmlns:c16="http://schemas.microsoft.com/office/drawing/2014/chart" uri="{C3380CC4-5D6E-409C-BE32-E72D297353CC}">
              <c16:uniqueId val="{00000001-4635-4B0E-B989-A339D06AD90F}"/>
            </c:ext>
          </c:extLst>
        </c:ser>
        <c:ser>
          <c:idx val="2"/>
          <c:order val="2"/>
          <c:tx>
            <c:v>5. Déchets</c:v>
          </c:tx>
          <c:spPr>
            <a:solidFill>
              <a:schemeClr val="accent1"/>
            </a:solidFill>
            <a:ln w="25400">
              <a:noFill/>
            </a:ln>
            <a:effectLst/>
          </c:spPr>
          <c:val>
            <c:numRef>
              <c:f>'Table 10s3 2020 KP'!$B$112:$AF$112</c:f>
              <c:numCache>
                <c:formatCode>0.00</c:formatCode>
                <c:ptCount val="31"/>
                <c:pt idx="0">
                  <c:v>14318.243798268932</c:v>
                </c:pt>
                <c:pt idx="1">
                  <c:v>14954.59272487071</c:v>
                </c:pt>
                <c:pt idx="2">
                  <c:v>15705.732765493334</c:v>
                </c:pt>
                <c:pt idx="3">
                  <c:v>16493.969358850347</c:v>
                </c:pt>
                <c:pt idx="4">
                  <c:v>16822.538631386491</c:v>
                </c:pt>
                <c:pt idx="5">
                  <c:v>17098.584194983981</c:v>
                </c:pt>
                <c:pt idx="6">
                  <c:v>17304.456234639416</c:v>
                </c:pt>
                <c:pt idx="7">
                  <c:v>17515.769332511725</c:v>
                </c:pt>
                <c:pt idx="8">
                  <c:v>18024.560728171095</c:v>
                </c:pt>
                <c:pt idx="9">
                  <c:v>18319.159935388587</c:v>
                </c:pt>
                <c:pt idx="10">
                  <c:v>18601.96609167257</c:v>
                </c:pt>
                <c:pt idx="11">
                  <c:v>18859.649006729709</c:v>
                </c:pt>
                <c:pt idx="12">
                  <c:v>19089.801692806319</c:v>
                </c:pt>
                <c:pt idx="13">
                  <c:v>19231.408194473759</c:v>
                </c:pt>
                <c:pt idx="14">
                  <c:v>19222.035036921694</c:v>
                </c:pt>
                <c:pt idx="15">
                  <c:v>19129.034668169821</c:v>
                </c:pt>
                <c:pt idx="16">
                  <c:v>19090.621122619068</c:v>
                </c:pt>
                <c:pt idx="17">
                  <c:v>19118.511541230433</c:v>
                </c:pt>
                <c:pt idx="18">
                  <c:v>19085.815991578915</c:v>
                </c:pt>
                <c:pt idx="19">
                  <c:v>18487.372147108355</c:v>
                </c:pt>
                <c:pt idx="20">
                  <c:v>18487.319719549734</c:v>
                </c:pt>
                <c:pt idx="21">
                  <c:v>18043.362741579498</c:v>
                </c:pt>
                <c:pt idx="22">
                  <c:v>17441.827045261089</c:v>
                </c:pt>
                <c:pt idx="23">
                  <c:v>17343.173969714884</c:v>
                </c:pt>
                <c:pt idx="24">
                  <c:v>16778.770147277166</c:v>
                </c:pt>
                <c:pt idx="25">
                  <c:v>15752.923662820487</c:v>
                </c:pt>
                <c:pt idx="26">
                  <c:v>15668.587508933948</c:v>
                </c:pt>
                <c:pt idx="27">
                  <c:v>15787.280279748882</c:v>
                </c:pt>
                <c:pt idx="28">
                  <c:v>15586.426051086908</c:v>
                </c:pt>
                <c:pt idx="29">
                  <c:v>15830.263962869862</c:v>
                </c:pt>
                <c:pt idx="30">
                  <c:v>15458.253187830755</c:v>
                </c:pt>
              </c:numCache>
            </c:numRef>
          </c:val>
          <c:extLst>
            <c:ext xmlns:c16="http://schemas.microsoft.com/office/drawing/2014/chart" uri="{C3380CC4-5D6E-409C-BE32-E72D297353CC}">
              <c16:uniqueId val="{00000002-4635-4B0E-B989-A339D06AD90F}"/>
            </c:ext>
          </c:extLst>
        </c:ser>
        <c:dLbls>
          <c:showLegendKey val="0"/>
          <c:showVal val="0"/>
          <c:showCatName val="0"/>
          <c:showSerName val="0"/>
          <c:showPercent val="0"/>
          <c:showBubbleSize val="0"/>
        </c:dLbls>
        <c:axId val="7715055"/>
        <c:axId val="7717551"/>
      </c:areaChart>
      <c:catAx>
        <c:axId val="77150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7551"/>
        <c:crosses val="autoZero"/>
        <c:auto val="1"/>
        <c:lblAlgn val="ctr"/>
        <c:lblOffset val="100"/>
        <c:noMultiLvlLbl val="0"/>
      </c:catAx>
      <c:valAx>
        <c:axId val="77175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055"/>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a:t>Evolution des émissions de N</a:t>
            </a:r>
            <a:r>
              <a:rPr lang="fr-FR" sz="1100" baseline="-25000"/>
              <a:t>2</a:t>
            </a:r>
            <a:r>
              <a:rPr lang="fr-FR" sz="1100"/>
              <a:t>O (en ktCO</a:t>
            </a:r>
            <a:r>
              <a:rPr lang="fr-FR" sz="1100" baseline="-25000"/>
              <a:t>2e</a:t>
            </a:r>
            <a:r>
              <a:rPr lang="fr-FR" sz="11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1"/>
          <c:order val="0"/>
          <c:tx>
            <c:v>1. Energie</c:v>
          </c:tx>
          <c:spPr>
            <a:solidFill>
              <a:schemeClr val="accent2"/>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KP'!$B$71:$AF$71</c:f>
              <c:numCache>
                <c:formatCode>0.00</c:formatCode>
                <c:ptCount val="31"/>
                <c:pt idx="0">
                  <c:v>3432.6384201544979</c:v>
                </c:pt>
                <c:pt idx="1">
                  <c:v>3612.2781053756557</c:v>
                </c:pt>
                <c:pt idx="2">
                  <c:v>3591.6252547566601</c:v>
                </c:pt>
                <c:pt idx="3">
                  <c:v>3673.8460740537557</c:v>
                </c:pt>
                <c:pt idx="4">
                  <c:v>3701.5530402941922</c:v>
                </c:pt>
                <c:pt idx="5">
                  <c:v>4046.207327078967</c:v>
                </c:pt>
                <c:pt idx="6">
                  <c:v>4491.3349704055736</c:v>
                </c:pt>
                <c:pt idx="7">
                  <c:v>4692.7111351957083</c:v>
                </c:pt>
                <c:pt idx="8">
                  <c:v>5084.983972233189</c:v>
                </c:pt>
                <c:pt idx="9">
                  <c:v>3996.6363137838198</c:v>
                </c:pt>
                <c:pt idx="10">
                  <c:v>3900.0857909798888</c:v>
                </c:pt>
                <c:pt idx="11">
                  <c:v>4039.3263183088734</c:v>
                </c:pt>
                <c:pt idx="12">
                  <c:v>4173.6985343171673</c:v>
                </c:pt>
                <c:pt idx="13">
                  <c:v>4239.5369236772212</c:v>
                </c:pt>
                <c:pt idx="14">
                  <c:v>4266.7188836397818</c:v>
                </c:pt>
                <c:pt idx="15">
                  <c:v>4183.4050318514928</c:v>
                </c:pt>
                <c:pt idx="16">
                  <c:v>3942.4811990772882</c:v>
                </c:pt>
                <c:pt idx="17">
                  <c:v>3791.5107321816349</c:v>
                </c:pt>
                <c:pt idx="18">
                  <c:v>3785.2440688985021</c:v>
                </c:pt>
                <c:pt idx="19">
                  <c:v>3543.3886559498842</c:v>
                </c:pt>
                <c:pt idx="20">
                  <c:v>3637.7685520391428</c:v>
                </c:pt>
                <c:pt idx="21">
                  <c:v>3577.803263185363</c:v>
                </c:pt>
                <c:pt idx="22">
                  <c:v>3674.948885183022</c:v>
                </c:pt>
                <c:pt idx="23">
                  <c:v>3801.2311605805257</c:v>
                </c:pt>
                <c:pt idx="24">
                  <c:v>3671.3340694795843</c:v>
                </c:pt>
                <c:pt idx="25">
                  <c:v>3730.7994978461502</c:v>
                </c:pt>
                <c:pt idx="26">
                  <c:v>3731.4160372913202</c:v>
                </c:pt>
                <c:pt idx="27">
                  <c:v>3705.5214760686367</c:v>
                </c:pt>
                <c:pt idx="28">
                  <c:v>3573.5143929032242</c:v>
                </c:pt>
                <c:pt idx="29">
                  <c:v>3536.6719981972747</c:v>
                </c:pt>
                <c:pt idx="30">
                  <c:v>3430.1063871592796</c:v>
                </c:pt>
              </c:numCache>
            </c:numRef>
          </c:val>
          <c:extLst>
            <c:ext xmlns:c16="http://schemas.microsoft.com/office/drawing/2014/chart" uri="{C3380CC4-5D6E-409C-BE32-E72D297353CC}">
              <c16:uniqueId val="{00000000-6605-4401-BD54-9CF03CC855AF}"/>
            </c:ext>
          </c:extLst>
        </c:ser>
        <c:ser>
          <c:idx val="0"/>
          <c:order val="1"/>
          <c:tx>
            <c:v>2. Procédés industriels</c:v>
          </c:tx>
          <c:spPr>
            <a:solidFill>
              <a:schemeClr val="accent1"/>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KP'!$B$82:$AF$82</c:f>
              <c:numCache>
                <c:formatCode>0.00</c:formatCode>
                <c:ptCount val="31"/>
                <c:pt idx="0">
                  <c:v>23830.711826511175</c:v>
                </c:pt>
                <c:pt idx="1">
                  <c:v>24003.415714658498</c:v>
                </c:pt>
                <c:pt idx="2">
                  <c:v>24458.625128583531</c:v>
                </c:pt>
                <c:pt idx="3">
                  <c:v>24462.397511529154</c:v>
                </c:pt>
                <c:pt idx="4">
                  <c:v>25112.390457179165</c:v>
                </c:pt>
                <c:pt idx="5">
                  <c:v>25931.9858462704</c:v>
                </c:pt>
                <c:pt idx="6">
                  <c:v>26418.610528536519</c:v>
                </c:pt>
                <c:pt idx="7">
                  <c:v>25833.564683069348</c:v>
                </c:pt>
                <c:pt idx="8">
                  <c:v>18627.228497382297</c:v>
                </c:pt>
                <c:pt idx="9">
                  <c:v>13395.464102184433</c:v>
                </c:pt>
                <c:pt idx="10">
                  <c:v>11923.8333287367</c:v>
                </c:pt>
                <c:pt idx="11">
                  <c:v>11925.012829081637</c:v>
                </c:pt>
                <c:pt idx="12">
                  <c:v>9610.4108860600281</c:v>
                </c:pt>
                <c:pt idx="13">
                  <c:v>9468.9907022321422</c:v>
                </c:pt>
                <c:pt idx="14">
                  <c:v>6705.7171608610442</c:v>
                </c:pt>
                <c:pt idx="15">
                  <c:v>6760.2716896035408</c:v>
                </c:pt>
                <c:pt idx="16">
                  <c:v>6051.9732018352515</c:v>
                </c:pt>
                <c:pt idx="17">
                  <c:v>5631.8115828555983</c:v>
                </c:pt>
                <c:pt idx="18">
                  <c:v>4640.0366859751084</c:v>
                </c:pt>
                <c:pt idx="19">
                  <c:v>3925.545575166439</c:v>
                </c:pt>
                <c:pt idx="20">
                  <c:v>2287.0033158058914</c:v>
                </c:pt>
                <c:pt idx="21">
                  <c:v>1386.1403958220362</c:v>
                </c:pt>
                <c:pt idx="22">
                  <c:v>1021.0978404373012</c:v>
                </c:pt>
                <c:pt idx="23">
                  <c:v>1001.0852102260452</c:v>
                </c:pt>
                <c:pt idx="24">
                  <c:v>1183.5308075428322</c:v>
                </c:pt>
                <c:pt idx="25">
                  <c:v>1291.222944964522</c:v>
                </c:pt>
                <c:pt idx="26">
                  <c:v>1027.4972941966278</c:v>
                </c:pt>
                <c:pt idx="27">
                  <c:v>1658.3759064580895</c:v>
                </c:pt>
                <c:pt idx="28">
                  <c:v>1090.2100569975553</c:v>
                </c:pt>
                <c:pt idx="29">
                  <c:v>917.59233390553743</c:v>
                </c:pt>
                <c:pt idx="30">
                  <c:v>741.7121572625357</c:v>
                </c:pt>
              </c:numCache>
            </c:numRef>
          </c:val>
          <c:extLst>
            <c:ext xmlns:c16="http://schemas.microsoft.com/office/drawing/2014/chart" uri="{C3380CC4-5D6E-409C-BE32-E72D297353CC}">
              <c16:uniqueId val="{00000001-6605-4401-BD54-9CF03CC855AF}"/>
            </c:ext>
          </c:extLst>
        </c:ser>
        <c:ser>
          <c:idx val="2"/>
          <c:order val="2"/>
          <c:tx>
            <c:v>3. Agriculture</c:v>
          </c:tx>
          <c:spPr>
            <a:solidFill>
              <a:srgbClr val="92D050"/>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KP'!$B$91:$AF$91</c:f>
              <c:numCache>
                <c:formatCode>0.00</c:formatCode>
                <c:ptCount val="31"/>
                <c:pt idx="0">
                  <c:v>36690.816890244751</c:v>
                </c:pt>
                <c:pt idx="1">
                  <c:v>36910.072876350197</c:v>
                </c:pt>
                <c:pt idx="2">
                  <c:v>36173.958860208877</c:v>
                </c:pt>
                <c:pt idx="3">
                  <c:v>35343.853209026485</c:v>
                </c:pt>
                <c:pt idx="4">
                  <c:v>34785.492319937119</c:v>
                </c:pt>
                <c:pt idx="5">
                  <c:v>35162.439177233755</c:v>
                </c:pt>
                <c:pt idx="6">
                  <c:v>35765.021598632207</c:v>
                </c:pt>
                <c:pt idx="7">
                  <c:v>36103.825717794149</c:v>
                </c:pt>
                <c:pt idx="8">
                  <c:v>36310.178892825497</c:v>
                </c:pt>
                <c:pt idx="9">
                  <c:v>36582.958180731286</c:v>
                </c:pt>
                <c:pt idx="10">
                  <c:v>37106.132537179961</c:v>
                </c:pt>
                <c:pt idx="11">
                  <c:v>36674.640550330732</c:v>
                </c:pt>
                <c:pt idx="12">
                  <c:v>36140.990910720458</c:v>
                </c:pt>
                <c:pt idx="13">
                  <c:v>34449.460119560252</c:v>
                </c:pt>
                <c:pt idx="14">
                  <c:v>35537.57786433673</c:v>
                </c:pt>
                <c:pt idx="15">
                  <c:v>34680.25498495096</c:v>
                </c:pt>
                <c:pt idx="16">
                  <c:v>34237.635956839993</c:v>
                </c:pt>
                <c:pt idx="17">
                  <c:v>34914.719829457339</c:v>
                </c:pt>
                <c:pt idx="18">
                  <c:v>35175.782757875029</c:v>
                </c:pt>
                <c:pt idx="19">
                  <c:v>34551.057341892432</c:v>
                </c:pt>
                <c:pt idx="20">
                  <c:v>33892.04350789258</c:v>
                </c:pt>
                <c:pt idx="21">
                  <c:v>33294.970699722056</c:v>
                </c:pt>
                <c:pt idx="22">
                  <c:v>33826.705642956011</c:v>
                </c:pt>
                <c:pt idx="23">
                  <c:v>33498.505108381301</c:v>
                </c:pt>
                <c:pt idx="24">
                  <c:v>34608.114561828428</c:v>
                </c:pt>
                <c:pt idx="25">
                  <c:v>34263.095673924734</c:v>
                </c:pt>
                <c:pt idx="26">
                  <c:v>33444.620681872962</c:v>
                </c:pt>
                <c:pt idx="27">
                  <c:v>34200.244714180983</c:v>
                </c:pt>
                <c:pt idx="28">
                  <c:v>33265.747788582034</c:v>
                </c:pt>
                <c:pt idx="29">
                  <c:v>33020.189660113698</c:v>
                </c:pt>
                <c:pt idx="30">
                  <c:v>31528.556534395699</c:v>
                </c:pt>
              </c:numCache>
            </c:numRef>
          </c:val>
          <c:extLst>
            <c:ext xmlns:c16="http://schemas.microsoft.com/office/drawing/2014/chart" uri="{C3380CC4-5D6E-409C-BE32-E72D297353CC}">
              <c16:uniqueId val="{00000002-6605-4401-BD54-9CF03CC855AF}"/>
            </c:ext>
          </c:extLst>
        </c:ser>
        <c:ser>
          <c:idx val="3"/>
          <c:order val="3"/>
          <c:tx>
            <c:v>5. Déchets</c:v>
          </c:tx>
          <c:spPr>
            <a:solidFill>
              <a:schemeClr val="accent4"/>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KP'!$B$111:$AF$111</c:f>
              <c:numCache>
                <c:formatCode>0.00</c:formatCode>
                <c:ptCount val="31"/>
                <c:pt idx="0">
                  <c:v>770.6733059092212</c:v>
                </c:pt>
                <c:pt idx="1">
                  <c:v>788.71856727816487</c:v>
                </c:pt>
                <c:pt idx="2">
                  <c:v>782.89567985271765</c:v>
                </c:pt>
                <c:pt idx="3">
                  <c:v>782.27661140014595</c:v>
                </c:pt>
                <c:pt idx="4">
                  <c:v>785.31123724118027</c:v>
                </c:pt>
                <c:pt idx="5">
                  <c:v>796.48926930357425</c:v>
                </c:pt>
                <c:pt idx="6">
                  <c:v>785.99743211078885</c:v>
                </c:pt>
                <c:pt idx="7">
                  <c:v>761.79375892845781</c:v>
                </c:pt>
                <c:pt idx="8">
                  <c:v>751.62339737213642</c:v>
                </c:pt>
                <c:pt idx="9">
                  <c:v>741.41290596567922</c:v>
                </c:pt>
                <c:pt idx="10">
                  <c:v>750.48609237602932</c:v>
                </c:pt>
                <c:pt idx="11">
                  <c:v>731.8077487680988</c:v>
                </c:pt>
                <c:pt idx="12">
                  <c:v>714.41995313185623</c:v>
                </c:pt>
                <c:pt idx="13">
                  <c:v>702.85140168887835</c:v>
                </c:pt>
                <c:pt idx="14">
                  <c:v>690.37315035927122</c:v>
                </c:pt>
                <c:pt idx="15">
                  <c:v>683.51556998425872</c:v>
                </c:pt>
                <c:pt idx="16">
                  <c:v>685.74380511761728</c:v>
                </c:pt>
                <c:pt idx="17">
                  <c:v>636.58867833638703</c:v>
                </c:pt>
                <c:pt idx="18">
                  <c:v>633.53279088482657</c:v>
                </c:pt>
                <c:pt idx="19">
                  <c:v>634.64532788345457</c:v>
                </c:pt>
                <c:pt idx="20">
                  <c:v>661.13518250499658</c:v>
                </c:pt>
                <c:pt idx="21">
                  <c:v>620.06584119290801</c:v>
                </c:pt>
                <c:pt idx="22">
                  <c:v>641.04896382038112</c:v>
                </c:pt>
                <c:pt idx="23">
                  <c:v>629.4619966625321</c:v>
                </c:pt>
                <c:pt idx="24">
                  <c:v>599.97662973471313</c:v>
                </c:pt>
                <c:pt idx="25">
                  <c:v>610.37257125210931</c:v>
                </c:pt>
                <c:pt idx="26">
                  <c:v>586.3925346281203</c:v>
                </c:pt>
                <c:pt idx="27">
                  <c:v>597.88699741655739</c:v>
                </c:pt>
                <c:pt idx="28">
                  <c:v>570.58268330508167</c:v>
                </c:pt>
                <c:pt idx="29">
                  <c:v>596.9890050115855</c:v>
                </c:pt>
                <c:pt idx="30">
                  <c:v>596.94909050203705</c:v>
                </c:pt>
              </c:numCache>
            </c:numRef>
          </c:val>
          <c:extLst>
            <c:ext xmlns:c16="http://schemas.microsoft.com/office/drawing/2014/chart" uri="{C3380CC4-5D6E-409C-BE32-E72D297353CC}">
              <c16:uniqueId val="{00000003-6605-4401-BD54-9CF03CC855AF}"/>
            </c:ext>
          </c:extLst>
        </c:ser>
        <c:dLbls>
          <c:showLegendKey val="0"/>
          <c:showVal val="0"/>
          <c:showCatName val="0"/>
          <c:showSerName val="0"/>
          <c:showPercent val="0"/>
          <c:showBubbleSize val="0"/>
        </c:dLbls>
        <c:axId val="75593647"/>
        <c:axId val="75594479"/>
      </c:areaChart>
      <c:catAx>
        <c:axId val="755936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4479"/>
        <c:crosses val="autoZero"/>
        <c:auto val="1"/>
        <c:lblAlgn val="ctr"/>
        <c:lblOffset val="100"/>
        <c:tickLblSkip val="2"/>
        <c:tickMarkSkip val="2"/>
        <c:noMultiLvlLbl val="0"/>
      </c:catAx>
      <c:valAx>
        <c:axId val="75594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3647"/>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aseline="0"/>
              <a:t>Evolution des émissions de gaz fluorés (en ktCO2e)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v>HFCs</c:v>
          </c:tx>
          <c:spPr>
            <a:solidFill>
              <a:schemeClr val="accent1"/>
            </a:solidFill>
            <a:ln>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KP'!$B$8:$AF$8</c:f>
              <c:numCache>
                <c:formatCode>0.00</c:formatCode>
                <c:ptCount val="31"/>
                <c:pt idx="0">
                  <c:v>4402.1999432862885</c:v>
                </c:pt>
                <c:pt idx="1">
                  <c:v>5124.3768176149169</c:v>
                </c:pt>
                <c:pt idx="2">
                  <c:v>4418.0113536218887</c:v>
                </c:pt>
                <c:pt idx="3">
                  <c:v>2865.7882351234502</c:v>
                </c:pt>
                <c:pt idx="4">
                  <c:v>1753.6855827155216</c:v>
                </c:pt>
                <c:pt idx="5">
                  <c:v>1702.3380797289115</c:v>
                </c:pt>
                <c:pt idx="6">
                  <c:v>3060.7992021160994</c:v>
                </c:pt>
                <c:pt idx="7">
                  <c:v>3917.4423290002433</c:v>
                </c:pt>
                <c:pt idx="8">
                  <c:v>4304.3188373082494</c:v>
                </c:pt>
                <c:pt idx="9">
                  <c:v>5534.2860023687745</c:v>
                </c:pt>
                <c:pt idx="10">
                  <c:v>6735.7139788457707</c:v>
                </c:pt>
                <c:pt idx="11">
                  <c:v>7960.9409708441326</c:v>
                </c:pt>
                <c:pt idx="12">
                  <c:v>9123.0695631652834</c:v>
                </c:pt>
                <c:pt idx="13">
                  <c:v>10385.851029677364</c:v>
                </c:pt>
                <c:pt idx="14">
                  <c:v>11868.327106745546</c:v>
                </c:pt>
                <c:pt idx="15">
                  <c:v>12862.161691452959</c:v>
                </c:pt>
                <c:pt idx="16">
                  <c:v>14352.623881136171</c:v>
                </c:pt>
                <c:pt idx="17">
                  <c:v>15199.261145746563</c:v>
                </c:pt>
                <c:pt idx="18">
                  <c:v>16307.529181860809</c:v>
                </c:pt>
                <c:pt idx="19">
                  <c:v>16206.870320668324</c:v>
                </c:pt>
                <c:pt idx="20">
                  <c:v>16930.104251024091</c:v>
                </c:pt>
                <c:pt idx="21">
                  <c:v>17628.798748263853</c:v>
                </c:pt>
                <c:pt idx="22">
                  <c:v>17862.070424717534</c:v>
                </c:pt>
                <c:pt idx="23">
                  <c:v>17771.584038401619</c:v>
                </c:pt>
                <c:pt idx="24">
                  <c:v>17661.759377797953</c:v>
                </c:pt>
                <c:pt idx="25">
                  <c:v>17494.30134725857</c:v>
                </c:pt>
                <c:pt idx="26">
                  <c:v>17205.167204115074</c:v>
                </c:pt>
                <c:pt idx="27">
                  <c:v>16637.217448801763</c:v>
                </c:pt>
                <c:pt idx="28">
                  <c:v>14847.43804713845</c:v>
                </c:pt>
                <c:pt idx="29">
                  <c:v>12992.417239861117</c:v>
                </c:pt>
                <c:pt idx="30">
                  <c:v>11735.322229166266</c:v>
                </c:pt>
              </c:numCache>
            </c:numRef>
          </c:val>
          <c:extLst>
            <c:ext xmlns:c16="http://schemas.microsoft.com/office/drawing/2014/chart" uri="{C3380CC4-5D6E-409C-BE32-E72D297353CC}">
              <c16:uniqueId val="{00000000-470D-49E2-AA57-F8003A2D45C0}"/>
            </c:ext>
          </c:extLst>
        </c:ser>
        <c:ser>
          <c:idx val="1"/>
          <c:order val="1"/>
          <c:tx>
            <c:v>PFCs</c:v>
          </c:tx>
          <c:spPr>
            <a:solidFill>
              <a:schemeClr val="accent2"/>
            </a:solidFill>
            <a:ln w="25400">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KP'!$B$29:$AF$29</c:f>
              <c:numCache>
                <c:formatCode>0.00</c:formatCode>
                <c:ptCount val="31"/>
                <c:pt idx="0">
                  <c:v>5202.4665838441279</c:v>
                </c:pt>
                <c:pt idx="1">
                  <c:v>4822.5434714653293</c:v>
                </c:pt>
                <c:pt idx="2">
                  <c:v>4918.3159797448079</c:v>
                </c:pt>
                <c:pt idx="3">
                  <c:v>4844.0633860352873</c:v>
                </c:pt>
                <c:pt idx="4">
                  <c:v>4325.4854570627749</c:v>
                </c:pt>
                <c:pt idx="5">
                  <c:v>3064.5603425632466</c:v>
                </c:pt>
                <c:pt idx="6">
                  <c:v>2796.2498279007227</c:v>
                </c:pt>
                <c:pt idx="7">
                  <c:v>2895.974045210929</c:v>
                </c:pt>
                <c:pt idx="8">
                  <c:v>3391.7149663391751</c:v>
                </c:pt>
                <c:pt idx="9">
                  <c:v>4218.4014949022685</c:v>
                </c:pt>
                <c:pt idx="10">
                  <c:v>2997.4885642296986</c:v>
                </c:pt>
                <c:pt idx="11">
                  <c:v>2652.9678389673654</c:v>
                </c:pt>
                <c:pt idx="12">
                  <c:v>4174.1632190190185</c:v>
                </c:pt>
                <c:pt idx="13">
                  <c:v>3850.856668143796</c:v>
                </c:pt>
                <c:pt idx="14">
                  <c:v>2638.8552980332306</c:v>
                </c:pt>
                <c:pt idx="15">
                  <c:v>1760.3278872435178</c:v>
                </c:pt>
                <c:pt idx="16">
                  <c:v>1462.3959698177719</c:v>
                </c:pt>
                <c:pt idx="17">
                  <c:v>1179.430309938163</c:v>
                </c:pt>
                <c:pt idx="18">
                  <c:v>777.74679252451597</c:v>
                </c:pt>
                <c:pt idx="19">
                  <c:v>558.81206304373995</c:v>
                </c:pt>
                <c:pt idx="20">
                  <c:v>617.37022190407299</c:v>
                </c:pt>
                <c:pt idx="21">
                  <c:v>774.03822581170971</c:v>
                </c:pt>
                <c:pt idx="22">
                  <c:v>790.34542795832158</c:v>
                </c:pt>
                <c:pt idx="23">
                  <c:v>670.495415269055</c:v>
                </c:pt>
                <c:pt idx="24">
                  <c:v>615.88068018021704</c:v>
                </c:pt>
                <c:pt idx="25">
                  <c:v>536.56518253897093</c:v>
                </c:pt>
                <c:pt idx="26">
                  <c:v>666.00797174926299</c:v>
                </c:pt>
                <c:pt idx="27">
                  <c:v>707.67918733398108</c:v>
                </c:pt>
                <c:pt idx="28">
                  <c:v>676.73478178101595</c:v>
                </c:pt>
                <c:pt idx="29">
                  <c:v>615.40327287488583</c:v>
                </c:pt>
                <c:pt idx="30">
                  <c:v>543.49426779474891</c:v>
                </c:pt>
              </c:numCache>
            </c:numRef>
          </c:val>
          <c:extLst>
            <c:ext xmlns:c16="http://schemas.microsoft.com/office/drawing/2014/chart" uri="{C3380CC4-5D6E-409C-BE32-E72D297353CC}">
              <c16:uniqueId val="{00000001-470D-49E2-AA57-F8003A2D45C0}"/>
            </c:ext>
          </c:extLst>
        </c:ser>
        <c:ser>
          <c:idx val="2"/>
          <c:order val="2"/>
          <c:tx>
            <c:v>SF6</c:v>
          </c:tx>
          <c:spPr>
            <a:solidFill>
              <a:schemeClr val="accent3"/>
            </a:solidFill>
            <a:ln w="25400">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KP'!$B$41:$AF$41</c:f>
              <c:numCache>
                <c:formatCode>0.00</c:formatCode>
                <c:ptCount val="31"/>
                <c:pt idx="0">
                  <c:v>2154.744186309204</c:v>
                </c:pt>
                <c:pt idx="1">
                  <c:v>2217.4576833056881</c:v>
                </c:pt>
                <c:pt idx="2">
                  <c:v>2256.210416507472</c:v>
                </c:pt>
                <c:pt idx="3">
                  <c:v>2295.577870750788</c:v>
                </c:pt>
                <c:pt idx="4">
                  <c:v>2443.8825106558438</c:v>
                </c:pt>
                <c:pt idx="5">
                  <c:v>2466.59683946934</c:v>
                </c:pt>
                <c:pt idx="6">
                  <c:v>2494.6370632690441</c:v>
                </c:pt>
                <c:pt idx="7">
                  <c:v>2475.9185365035601</c:v>
                </c:pt>
                <c:pt idx="8">
                  <c:v>2593.703923993668</c:v>
                </c:pt>
                <c:pt idx="9">
                  <c:v>2292.7350616642202</c:v>
                </c:pt>
                <c:pt idx="10">
                  <c:v>2180.3301783313441</c:v>
                </c:pt>
                <c:pt idx="11">
                  <c:v>1825.40351853882</c:v>
                </c:pt>
                <c:pt idx="12">
                  <c:v>1597.5376322446441</c:v>
                </c:pt>
                <c:pt idx="13">
                  <c:v>1579.7946160704601</c:v>
                </c:pt>
                <c:pt idx="14">
                  <c:v>1611.0763784374681</c:v>
                </c:pt>
                <c:pt idx="15">
                  <c:v>1354.8469542942601</c:v>
                </c:pt>
                <c:pt idx="16">
                  <c:v>1252.2121864347239</c:v>
                </c:pt>
                <c:pt idx="17">
                  <c:v>1149.0510245232119</c:v>
                </c:pt>
                <c:pt idx="18">
                  <c:v>1136.140843314864</c:v>
                </c:pt>
                <c:pt idx="19">
                  <c:v>951.44885170753196</c:v>
                </c:pt>
                <c:pt idx="20">
                  <c:v>875.09543123525998</c:v>
                </c:pt>
                <c:pt idx="21">
                  <c:v>650.96339648539197</c:v>
                </c:pt>
                <c:pt idx="22">
                  <c:v>655.26093236631596</c:v>
                </c:pt>
                <c:pt idx="23">
                  <c:v>583.57267746883201</c:v>
                </c:pt>
                <c:pt idx="24">
                  <c:v>474.26463118861199</c:v>
                </c:pt>
                <c:pt idx="25">
                  <c:v>498.10935944058002</c:v>
                </c:pt>
                <c:pt idx="26">
                  <c:v>506.57886484975199</c:v>
                </c:pt>
                <c:pt idx="27">
                  <c:v>461.052063541812</c:v>
                </c:pt>
                <c:pt idx="28">
                  <c:v>432.81643634168398</c:v>
                </c:pt>
                <c:pt idx="29">
                  <c:v>385.396416635496</c:v>
                </c:pt>
                <c:pt idx="30">
                  <c:v>346.603901236524</c:v>
                </c:pt>
              </c:numCache>
            </c:numRef>
          </c:val>
          <c:extLst>
            <c:ext xmlns:c16="http://schemas.microsoft.com/office/drawing/2014/chart" uri="{C3380CC4-5D6E-409C-BE32-E72D297353CC}">
              <c16:uniqueId val="{00000002-470D-49E2-AA57-F8003A2D45C0}"/>
            </c:ext>
          </c:extLst>
        </c:ser>
        <c:ser>
          <c:idx val="3"/>
          <c:order val="3"/>
          <c:tx>
            <c:v>NF3</c:v>
          </c:tx>
          <c:spPr>
            <a:solidFill>
              <a:schemeClr val="accent4"/>
            </a:solidFill>
            <a:ln w="25400">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KP'!$B$43:$AF$43</c:f>
              <c:numCache>
                <c:formatCode>0.00</c:formatCode>
                <c:ptCount val="31"/>
                <c:pt idx="0">
                  <c:v>16.480883198436</c:v>
                </c:pt>
                <c:pt idx="1">
                  <c:v>18.1289715184</c:v>
                </c:pt>
                <c:pt idx="2">
                  <c:v>19.941868670240002</c:v>
                </c:pt>
                <c:pt idx="3">
                  <c:v>21.936055537264</c:v>
                </c:pt>
                <c:pt idx="4">
                  <c:v>24.129661090955999</c:v>
                </c:pt>
                <c:pt idx="5">
                  <c:v>6.2599238811919999</c:v>
                </c:pt>
                <c:pt idx="6">
                  <c:v>11.460804045004</c:v>
                </c:pt>
                <c:pt idx="7">
                  <c:v>17.176894665864001</c:v>
                </c:pt>
                <c:pt idx="8">
                  <c:v>21.155172237272001</c:v>
                </c:pt>
                <c:pt idx="9">
                  <c:v>28.409592493876001</c:v>
                </c:pt>
                <c:pt idx="10">
                  <c:v>19.891693827152</c:v>
                </c:pt>
                <c:pt idx="11">
                  <c:v>28.445694444368002</c:v>
                </c:pt>
                <c:pt idx="12">
                  <c:v>35.544820182568003</c:v>
                </c:pt>
                <c:pt idx="13">
                  <c:v>30.466988727939999</c:v>
                </c:pt>
                <c:pt idx="14">
                  <c:v>35.544820182568003</c:v>
                </c:pt>
                <c:pt idx="15">
                  <c:v>31.269600000000001</c:v>
                </c:pt>
                <c:pt idx="16">
                  <c:v>29.756</c:v>
                </c:pt>
                <c:pt idx="17">
                  <c:v>42.105600000000003</c:v>
                </c:pt>
                <c:pt idx="18">
                  <c:v>46.353999999999999</c:v>
                </c:pt>
                <c:pt idx="19">
                  <c:v>24.9572</c:v>
                </c:pt>
                <c:pt idx="20">
                  <c:v>32.129600000000003</c:v>
                </c:pt>
                <c:pt idx="21">
                  <c:v>31.355599999999999</c:v>
                </c:pt>
                <c:pt idx="22">
                  <c:v>20.3992</c:v>
                </c:pt>
                <c:pt idx="23">
                  <c:v>10.6296</c:v>
                </c:pt>
                <c:pt idx="24">
                  <c:v>6.3714991999999997</c:v>
                </c:pt>
                <c:pt idx="25">
                  <c:v>6.2338066640000003</c:v>
                </c:pt>
                <c:pt idx="26">
                  <c:v>5.8383581959999997</c:v>
                </c:pt>
                <c:pt idx="27">
                  <c:v>7.6374456879999997</c:v>
                </c:pt>
                <c:pt idx="28">
                  <c:v>12.250677260052001</c:v>
                </c:pt>
                <c:pt idx="29">
                  <c:v>10.290631531996</c:v>
                </c:pt>
                <c:pt idx="30">
                  <c:v>8.5404853959199993</c:v>
                </c:pt>
              </c:numCache>
            </c:numRef>
          </c:val>
          <c:extLst>
            <c:ext xmlns:c16="http://schemas.microsoft.com/office/drawing/2014/chart" uri="{C3380CC4-5D6E-409C-BE32-E72D297353CC}">
              <c16:uniqueId val="{00000003-470D-49E2-AA57-F8003A2D45C0}"/>
            </c:ext>
          </c:extLst>
        </c:ser>
        <c:dLbls>
          <c:showLegendKey val="0"/>
          <c:showVal val="0"/>
          <c:showCatName val="0"/>
          <c:showSerName val="0"/>
          <c:showPercent val="0"/>
          <c:showBubbleSize val="0"/>
        </c:dLbls>
        <c:axId val="1959856463"/>
        <c:axId val="1959850639"/>
      </c:areaChart>
      <c:catAx>
        <c:axId val="1959856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850639"/>
        <c:crosses val="autoZero"/>
        <c:auto val="1"/>
        <c:lblAlgn val="ctr"/>
        <c:lblOffset val="100"/>
        <c:tickLblSkip val="2"/>
        <c:noMultiLvlLbl val="0"/>
      </c:catAx>
      <c:valAx>
        <c:axId val="19598506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856463"/>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26501155956216"/>
          <c:y val="0.10286883569846991"/>
          <c:w val="0.83346112998026678"/>
          <c:h val="0.69271696568861962"/>
        </c:manualLayout>
      </c:layout>
      <c:scatterChart>
        <c:scatterStyle val="lineMarker"/>
        <c:varyColors val="0"/>
        <c:ser>
          <c:idx val="1"/>
          <c:order val="1"/>
          <c:tx>
            <c:strRef>
              <c:f>Feuil1!$A$4</c:f>
              <c:strCache>
                <c:ptCount val="1"/>
                <c:pt idx="0">
                  <c:v>ESD target</c:v>
                </c:pt>
              </c:strCache>
            </c:strRef>
          </c:tx>
          <c:spPr>
            <a:ln w="25400" cap="rnd">
              <a:noFill/>
              <a:round/>
            </a:ln>
            <a:effectLst/>
          </c:spPr>
          <c:marker>
            <c:symbol val="circle"/>
            <c:size val="5"/>
            <c:spPr>
              <a:solidFill>
                <a:schemeClr val="accent2"/>
              </a:solidFill>
              <a:ln w="9525">
                <a:solidFill>
                  <a:schemeClr val="accent2"/>
                </a:solidFill>
              </a:ln>
              <a:effectLst/>
            </c:spPr>
          </c:marker>
          <c:xVal>
            <c:numRef>
              <c:f>Feuil1!$B$2:$AA$2</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xVal>
          <c:yVal>
            <c:numRef>
              <c:f>Feuil1!$B$4:$AA$4</c:f>
              <c:numCache>
                <c:formatCode>General</c:formatCode>
                <c:ptCount val="26"/>
                <c:pt idx="8">
                  <c:v>394076.34700000001</c:v>
                </c:pt>
                <c:pt idx="9">
                  <c:v>389460.75799999997</c:v>
                </c:pt>
                <c:pt idx="10">
                  <c:v>384432.81400000001</c:v>
                </c:pt>
                <c:pt idx="11">
                  <c:v>379404.87</c:v>
                </c:pt>
                <c:pt idx="12">
                  <c:v>358181.61</c:v>
                </c:pt>
                <c:pt idx="13">
                  <c:v>352946.1</c:v>
                </c:pt>
                <c:pt idx="14">
                  <c:v>347710.587</c:v>
                </c:pt>
                <c:pt idx="15">
                  <c:v>342475.07500000001</c:v>
                </c:pt>
              </c:numCache>
            </c:numRef>
          </c:yVal>
          <c:smooth val="0"/>
          <c:extLst>
            <c:ext xmlns:c16="http://schemas.microsoft.com/office/drawing/2014/chart" uri="{C3380CC4-5D6E-409C-BE32-E72D297353CC}">
              <c16:uniqueId val="{00000000-370C-436D-9FD3-733A858B65BD}"/>
            </c:ext>
          </c:extLst>
        </c:ser>
        <c:dLbls>
          <c:showLegendKey val="0"/>
          <c:showVal val="0"/>
          <c:showCatName val="0"/>
          <c:showSerName val="0"/>
          <c:showPercent val="0"/>
          <c:showBubbleSize val="0"/>
        </c:dLbls>
        <c:axId val="1874848527"/>
        <c:axId val="1874836879"/>
      </c:scatterChart>
      <c:scatterChart>
        <c:scatterStyle val="smoothMarker"/>
        <c:varyColors val="0"/>
        <c:ser>
          <c:idx val="0"/>
          <c:order val="0"/>
          <c:tx>
            <c:strRef>
              <c:f>Feuil1!$A$3</c:f>
              <c:strCache>
                <c:ptCount val="1"/>
                <c:pt idx="0">
                  <c:v>Historical ESD emissions</c:v>
                </c:pt>
              </c:strCache>
            </c:strRef>
          </c:tx>
          <c:spPr>
            <a:ln w="34925" cap="rnd">
              <a:solidFill>
                <a:schemeClr val="accent1"/>
              </a:solidFill>
              <a:round/>
            </a:ln>
            <a:effectLst/>
          </c:spPr>
          <c:marker>
            <c:symbol val="none"/>
          </c:marker>
          <c:xVal>
            <c:numRef>
              <c:f>Feuil1!$B$2:$AA$2</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xVal>
          <c:yVal>
            <c:numRef>
              <c:f>Feuil1!$B$3:$AA$3</c:f>
              <c:numCache>
                <c:formatCode>#,##0.00</c:formatCode>
                <c:ptCount val="26"/>
                <c:pt idx="0">
                  <c:v>392260.08</c:v>
                </c:pt>
                <c:pt idx="1">
                  <c:v>387214.45</c:v>
                </c:pt>
                <c:pt idx="2">
                  <c:v>378980.58</c:v>
                </c:pt>
                <c:pt idx="3">
                  <c:v>381986.21</c:v>
                </c:pt>
                <c:pt idx="4">
                  <c:v>373463.83</c:v>
                </c:pt>
                <c:pt idx="5">
                  <c:v>375013.6</c:v>
                </c:pt>
                <c:pt idx="6">
                  <c:v>361531.58</c:v>
                </c:pt>
                <c:pt idx="7">
                  <c:v>365369.12</c:v>
                </c:pt>
                <c:pt idx="8" formatCode="General">
                  <c:v>366116.65100000001</c:v>
                </c:pt>
                <c:pt idx="9" formatCode="General">
                  <c:v>353528.78600000002</c:v>
                </c:pt>
                <c:pt idx="10" formatCode="General">
                  <c:v>353009.85100000002</c:v>
                </c:pt>
                <c:pt idx="11" formatCode="General">
                  <c:v>351924.66800000001</c:v>
                </c:pt>
                <c:pt idx="12" formatCode="General">
                  <c:v>352795.70600000001</c:v>
                </c:pt>
                <c:pt idx="13" formatCode="General">
                  <c:v>342199.87300000002</c:v>
                </c:pt>
                <c:pt idx="14" formatCode="General">
                  <c:v>336358.31699999998</c:v>
                </c:pt>
                <c:pt idx="15" formatCode="General">
                  <c:v>307767.71500000003</c:v>
                </c:pt>
                <c:pt idx="16">
                  <c:v>327477.53000000003</c:v>
                </c:pt>
              </c:numCache>
            </c:numRef>
          </c:yVal>
          <c:smooth val="1"/>
          <c:extLst>
            <c:ext xmlns:c16="http://schemas.microsoft.com/office/drawing/2014/chart" uri="{C3380CC4-5D6E-409C-BE32-E72D297353CC}">
              <c16:uniqueId val="{00000001-370C-436D-9FD3-733A858B65BD}"/>
            </c:ext>
          </c:extLst>
        </c:ser>
        <c:dLbls>
          <c:showLegendKey val="0"/>
          <c:showVal val="0"/>
          <c:showCatName val="0"/>
          <c:showSerName val="0"/>
          <c:showPercent val="0"/>
          <c:showBubbleSize val="0"/>
        </c:dLbls>
        <c:axId val="1874848527"/>
        <c:axId val="1874836879"/>
      </c:scatterChart>
      <c:valAx>
        <c:axId val="1874848527"/>
        <c:scaling>
          <c:orientation val="minMax"/>
          <c:max val="2021"/>
          <c:min val="201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836879"/>
        <c:crosses val="autoZero"/>
        <c:crossBetween val="midCat"/>
      </c:valAx>
      <c:valAx>
        <c:axId val="1874836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ktCO2eq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848527"/>
        <c:crosses val="autoZero"/>
        <c:crossBetween val="midCat"/>
      </c:valAx>
      <c:spPr>
        <a:noFill/>
        <a:ln>
          <a:noFill/>
        </a:ln>
        <a:effectLst/>
      </c:spPr>
    </c:plotArea>
    <c:legend>
      <c:legendPos val="b"/>
      <c:layout>
        <c:manualLayout>
          <c:xMode val="edge"/>
          <c:yMode val="edge"/>
          <c:x val="1.0937442136058956E-2"/>
          <c:y val="0.87343016308845511"/>
          <c:w val="0.96436854238417968"/>
          <c:h val="0.1265698369115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OUVERNEMENT PPT">
      <a:majorFont>
        <a:latin typeface="Marianne"/>
        <a:ea typeface=""/>
        <a:cs typeface=""/>
      </a:majorFont>
      <a:minorFont>
        <a:latin typeface="Mariann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arty xmlns="e797f6dd-fd82-440c-8368-2d31177d6268">France</Party>
    <SubmissionCycle xmlns="e797f6dd-fd82-440c-8368-2d31177d6268" xsi:nil="true"/>
    <SecretariatComment xmlns="e797f6dd-fd82-440c-8368-2d31177d6268" xsi:nil="true"/>
    <SubmissionStatus xmlns="e797f6dd-fd82-440c-8368-2d31177d6268" xsi:nil="true"/>
    <PartyComment xmlns="e797f6dd-fd82-440c-8368-2d31177d6268" xsi:nil="true"/>
    <SubmissionNumber xmlns="e797f6dd-fd82-440c-8368-2d31177d6268" xsi:nil="true"/>
    <AnnexIParty xmlns="e797f6dd-fd82-440c-8368-2d31177d6268" xsi:nil="true"/>
    <RecordType xmlns="e797f6dd-fd82-440c-8368-2d31177d6268" xsi:nil="true"/>
    <UNF3CLanguage xmlns="e797f6dd-fd82-440c-8368-2d31177d6268" xsi:nil="true"/>
    <SubmissionDate xmlns="e797f6dd-fd82-440c-8368-2d31177d626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NC Submission" ma:contentTypeID="0x0101001FA945B3443244438EF3675AF0DF0D3D00235752C2D8300F4D9968B1A001C59A41" ma:contentTypeVersion="2" ma:contentTypeDescription="National Communication Submission Content Type" ma:contentTypeScope="" ma:versionID="60292ed444e994c802f5758afe27c882">
  <xsd:schema xmlns:xsd="http://www.w3.org/2001/XMLSchema" xmlns:xs="http://www.w3.org/2001/XMLSchema" xmlns:p="http://schemas.microsoft.com/office/2006/metadata/properties" xmlns:ns2="e797f6dd-fd82-440c-8368-2d31177d6268" targetNamespace="http://schemas.microsoft.com/office/2006/metadata/properties" ma:root="true" ma:fieldsID="313ea55eeae046745620c338e30844ec" ns2:_="">
    <xsd:import namespace="e797f6dd-fd82-440c-8368-2d31177d6268"/>
    <xsd:element name="properties">
      <xsd:complexType>
        <xsd:sequence>
          <xsd:element name="documentManagement">
            <xsd:complexType>
              <xsd:all>
                <xsd:element ref="ns2:SubmissionStatus" minOccurs="0"/>
                <xsd:element ref="ns2:Party" minOccurs="0"/>
                <xsd:element ref="ns2:SubmissionCycle" minOccurs="0"/>
                <xsd:element ref="ns2:SubmissionNumber" minOccurs="0"/>
                <xsd:element ref="ns2:RecordType" minOccurs="0"/>
                <xsd:element ref="ns2:SubmissionDate" minOccurs="0"/>
                <xsd:element ref="ns2:UNF3CLanguage" minOccurs="0"/>
                <xsd:element ref="ns2:PartyComment" minOccurs="0"/>
                <xsd:element ref="ns2:SecretariatComment" minOccurs="0"/>
                <xsd:element ref="ns2:AnnexIPar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7f6dd-fd82-440c-8368-2d31177d6268" elementFormDefault="qualified">
    <xsd:import namespace="http://schemas.microsoft.com/office/2006/documentManagement/types"/>
    <xsd:import namespace="http://schemas.microsoft.com/office/infopath/2007/PartnerControls"/>
    <xsd:element name="SubmissionStatus" ma:index="8" nillable="true" ma:displayName="Submission Status" ma:internalName="SubmissionStatus">
      <xsd:simpleType>
        <xsd:restriction base="dms:Choice">
          <xsd:enumeration value="Submitted"/>
          <xsd:enumeration value="Validated"/>
          <xsd:enumeration value="Published"/>
          <xsd:enumeration value="Rejected"/>
        </xsd:restriction>
      </xsd:simpleType>
    </xsd:element>
    <xsd:element name="Party" ma:index="9" nillable="true" ma:displayName="Party" ma:internalName="Party">
      <xsd:simpleType>
        <xsd:restriction base="dms:Text"/>
      </xsd:simpleType>
    </xsd:element>
    <xsd:element name="SubmissionCycle" ma:index="10" nillable="true" ma:displayName="Submission Cycle" ma:internalName="SubmissionCycle">
      <xsd:simpleType>
        <xsd:restriction base="dms:Choice">
          <xsd:enumeration value="NC1"/>
          <xsd:enumeration value="NC2"/>
          <xsd:enumeration value="NC3"/>
          <xsd:enumeration value="NC4"/>
          <xsd:enumeration value="NC5"/>
          <xsd:enumeration value="NC6"/>
          <xsd:enumeration value="NC7"/>
          <xsd:enumeration value="NC8"/>
          <xsd:enumeration value="NC9"/>
          <xsd:enumeration value="NC10"/>
          <xsd:enumeration value="BR1"/>
          <xsd:enumeration value="BR2"/>
          <xsd:enumeration value="BR3"/>
          <xsd:enumeration value="BR4"/>
          <xsd:enumeration value="BR5"/>
          <xsd:enumeration value="BUR1"/>
          <xsd:enumeration value="BUR2"/>
          <xsd:enumeration value="BUR3"/>
          <xsd:enumeration value="BUR4"/>
          <xsd:enumeration value="BUR5"/>
        </xsd:restriction>
      </xsd:simpleType>
    </xsd:element>
    <xsd:element name="SubmissionNumber" ma:index="11" nillable="true" ma:displayName="Submission Number" ma:internalName="SubmissionNumber">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restriction>
      </xsd:simpleType>
    </xsd:element>
    <xsd:element name="RecordType" ma:index="12" nillable="true" ma:displayName="Record Type" ma:internalName="RecordType">
      <xsd:simpleType>
        <xsd:restriction base="dms:Choice">
          <xsd:enumeration value="National Communication"/>
          <xsd:enumeration value="Biennial Report"/>
          <xsd:enumeration value="Biennial Update Report"/>
          <xsd:enumeration value="National Inventory Report"/>
          <xsd:enumeration value="Additional Information"/>
          <xsd:enumeration value="Cover Letter"/>
          <xsd:enumeration value="Acknowlegement of receipt"/>
          <xsd:enumeration value="Communication"/>
        </xsd:restriction>
      </xsd:simpleType>
    </xsd:element>
    <xsd:element name="SubmissionDate" ma:index="13" nillable="true" ma:displayName="Submission Date" ma:internalName="SubmissionDate">
      <xsd:simpleType>
        <xsd:restriction base="dms:DateTime"/>
      </xsd:simpleType>
    </xsd:element>
    <xsd:element name="UNF3CLanguage" ma:index="14" nillable="true" ma:displayName="Language" ma:internalName="UNF3CLanguage">
      <xsd:simpleType>
        <xsd:restriction base="dms:Choice">
          <xsd:enumeration value="English"/>
          <xsd:enumeration value="Arabic"/>
          <xsd:enumeration value="Chinese"/>
          <xsd:enumeration value="French"/>
          <xsd:enumeration value="Spanish"/>
          <xsd:enumeration value="Russian"/>
        </xsd:restriction>
      </xsd:simpleType>
    </xsd:element>
    <xsd:element name="PartyComment" ma:index="15" nillable="true" ma:displayName="Party Comment" ma:internalName="PartyComment">
      <xsd:simpleType>
        <xsd:restriction base="dms:Note">
          <xsd:maxLength value="255"/>
        </xsd:restriction>
      </xsd:simpleType>
    </xsd:element>
    <xsd:element name="SecretariatComment" ma:index="16" nillable="true" ma:displayName="Secretariat Comment" ma:internalName="SecretariatComment">
      <xsd:simpleType>
        <xsd:restriction base="dms:Note">
          <xsd:maxLength value="255"/>
        </xsd:restriction>
      </xsd:simpleType>
    </xsd:element>
    <xsd:element name="AnnexIParty" ma:index="17" nillable="true" ma:displayName="Annex I Party" ma:internalName="AnnexIPar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425D0-3337-4273-8A4C-0AE2AF1A8078}">
  <ds:schemaRefs>
    <ds:schemaRef ds:uri="http://schemas.microsoft.com/office/2006/metadata/properties"/>
    <ds:schemaRef ds:uri="http://schemas.microsoft.com/office/infopath/2007/PartnerControls"/>
    <ds:schemaRef ds:uri="e797f6dd-fd82-440c-8368-2d31177d6268"/>
  </ds:schemaRefs>
</ds:datastoreItem>
</file>

<file path=customXml/itemProps2.xml><?xml version="1.0" encoding="utf-8"?>
<ds:datastoreItem xmlns:ds="http://schemas.openxmlformats.org/officeDocument/2006/customXml" ds:itemID="{85E9EEC6-A892-429D-A8F5-44E364BD8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7f6dd-fd82-440c-8368-2d31177d6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2D8F4-DB23-43D0-8763-DDD01EE233D0}">
  <ds:schemaRefs>
    <ds:schemaRef ds:uri="http://schemas.microsoft.com/sharepoint/v3/contenttype/forms"/>
  </ds:schemaRefs>
</ds:datastoreItem>
</file>

<file path=customXml/itemProps4.xml><?xml version="1.0" encoding="utf-8"?>
<ds:datastoreItem xmlns:ds="http://schemas.openxmlformats.org/officeDocument/2006/customXml" ds:itemID="{19B24E02-B5BE-40D2-BA4F-0DD9536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74625</Words>
  <Characters>425363</Characters>
  <Application>Microsoft Office Word</Application>
  <DocSecurity>0</DocSecurity>
  <Lines>3544</Lines>
  <Paragraphs>997</Paragraphs>
  <ScaleCrop>false</ScaleCrop>
  <HeadingPairs>
    <vt:vector size="2" baseType="variant">
      <vt:variant>
        <vt:lpstr>Titre</vt:lpstr>
      </vt:variant>
      <vt:variant>
        <vt:i4>1</vt:i4>
      </vt:variant>
    </vt:vector>
  </HeadingPairs>
  <TitlesOfParts>
    <vt:vector size="1" baseType="lpstr">
      <vt:lpstr>France's BR5</vt:lpstr>
    </vt:vector>
  </TitlesOfParts>
  <Manager>GOUVERNEMENT</Manager>
  <Company>GOUVERNEMENT</Company>
  <LinksUpToDate>false</LinksUpToDate>
  <CharactersWithSpaces>498991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NC/NC8/2023</dc:title>
  <dc:subject>GOUVERNEMENT</dc:subject>
  <dc:creator>Jonathan Hess</dc:creator>
  <cp:keywords/>
  <dc:description/>
  <cp:lastModifiedBy>Lolo Gardesie-Grove</cp:lastModifiedBy>
  <cp:revision>2</cp:revision>
  <cp:lastPrinted>2023-03-06T09:08:00Z</cp:lastPrinted>
  <dcterms:created xsi:type="dcterms:W3CDTF">2023-07-12T15:47:00Z</dcterms:created>
  <dcterms:modified xsi:type="dcterms:W3CDTF">2023-07-12T15:47:00Z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0x0101001FA945B3443244438EF3675AF0DF0D3D00235752C2D8300F4D9968B1A001C59A41</vt:lpwstr>
  </property>
</Properties>
</file>